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关于《业主共有资金会计核算手册》的说明</w:t>
      </w:r>
    </w:p>
    <w:p>
      <w:pPr>
        <w:spacing w:line="360" w:lineRule="auto"/>
        <w:ind w:firstLine="0" w:firstLineChars="0"/>
        <w:jc w:val="center"/>
        <w:rPr>
          <w:rFonts w:ascii="仿宋" w:hAnsi="仿宋" w:eastAsia="仿宋" w:cs="宋体"/>
          <w:color w:val="000000"/>
          <w:kern w:val="36"/>
          <w:szCs w:val="32"/>
        </w:rPr>
      </w:pPr>
    </w:p>
    <w:p>
      <w:pPr>
        <w:autoSpaceDE w:val="0"/>
        <w:autoSpaceDN w:val="0"/>
        <w:adjustRightInd w:val="0"/>
        <w:spacing w:line="360" w:lineRule="auto"/>
        <w:ind w:firstLine="640"/>
        <w:rPr>
          <w:rFonts w:ascii="仿宋" w:hAnsi="仿宋" w:eastAsia="仿宋"/>
          <w:b/>
          <w:szCs w:val="32"/>
        </w:rPr>
      </w:pPr>
      <w:r>
        <w:rPr>
          <w:rFonts w:hint="eastAsia" w:ascii="仿宋" w:hAnsi="仿宋" w:eastAsia="仿宋" w:cs="宋体"/>
          <w:szCs w:val="32"/>
        </w:rPr>
        <w:t>为深入贯彻落实党的十九大精神，做好社区治理工作，规范小区物业管理活动和经济业务活动秩序，结合新修订的《深圳经济特区物业管理条例》（</w:t>
      </w:r>
      <w:r>
        <w:rPr>
          <w:rFonts w:hint="eastAsia" w:ascii="仿宋" w:hAnsi="仿宋" w:eastAsia="仿宋" w:cs="宋体"/>
          <w:szCs w:val="32"/>
          <w:lang w:eastAsia="zh-CN"/>
        </w:rPr>
        <w:t>以</w:t>
      </w:r>
      <w:r>
        <w:rPr>
          <w:rFonts w:hint="eastAsia" w:ascii="仿宋" w:hAnsi="仿宋" w:eastAsia="仿宋" w:cs="宋体"/>
          <w:szCs w:val="32"/>
        </w:rPr>
        <w:t>下称《条例》），经过深入调研、征求各方意见，市住</w:t>
      </w:r>
      <w:r>
        <w:rPr>
          <w:rFonts w:hint="eastAsia" w:ascii="仿宋" w:hAnsi="仿宋" w:eastAsia="仿宋" w:cs="宋体"/>
          <w:szCs w:val="32"/>
          <w:lang w:eastAsia="zh-CN"/>
        </w:rPr>
        <w:t>房</w:t>
      </w:r>
      <w:r>
        <w:rPr>
          <w:rFonts w:hint="eastAsia" w:ascii="仿宋" w:hAnsi="仿宋" w:eastAsia="仿宋" w:cs="宋体"/>
          <w:szCs w:val="32"/>
        </w:rPr>
        <w:t>建</w:t>
      </w:r>
      <w:r>
        <w:rPr>
          <w:rFonts w:hint="eastAsia" w:ascii="仿宋" w:hAnsi="仿宋" w:eastAsia="仿宋" w:cs="宋体"/>
          <w:szCs w:val="32"/>
          <w:lang w:eastAsia="zh-CN"/>
        </w:rPr>
        <w:t>设</w:t>
      </w:r>
      <w:r>
        <w:rPr>
          <w:rFonts w:hint="eastAsia" w:ascii="仿宋" w:hAnsi="仿宋" w:eastAsia="仿宋" w:cs="宋体"/>
          <w:szCs w:val="32"/>
        </w:rPr>
        <w:t>局委托市注册会计师协会起草拟定了《业主共有资金会计核算手册》（下称《核算手册》）。现就有关情况说明如下：</w:t>
      </w:r>
    </w:p>
    <w:p>
      <w:pPr>
        <w:spacing w:line="360" w:lineRule="auto"/>
        <w:ind w:firstLine="640"/>
        <w:rPr>
          <w:rFonts w:ascii="黑体" w:hAnsi="黑体" w:eastAsia="黑体"/>
          <w:szCs w:val="32"/>
        </w:rPr>
      </w:pPr>
      <w:r>
        <w:rPr>
          <w:rFonts w:hint="eastAsia" w:ascii="黑体" w:hAnsi="黑体" w:eastAsia="黑体"/>
          <w:szCs w:val="32"/>
        </w:rPr>
        <w:t>一、核算手册起草的背景</w:t>
      </w:r>
    </w:p>
    <w:p>
      <w:pPr>
        <w:spacing w:line="360" w:lineRule="auto"/>
        <w:ind w:firstLine="640"/>
        <w:rPr>
          <w:rFonts w:ascii="仿宋" w:hAnsi="仿宋" w:eastAsia="仿宋" w:cs="宋体"/>
          <w:szCs w:val="32"/>
        </w:rPr>
      </w:pPr>
      <w:r>
        <w:rPr>
          <w:rFonts w:hint="eastAsia" w:ascii="仿宋" w:hAnsi="仿宋" w:eastAsia="仿宋" w:cs="宋体"/>
          <w:szCs w:val="32"/>
        </w:rPr>
        <w:t>《深圳经济特区物业管理条例》（以下简称</w:t>
      </w:r>
      <w:r>
        <w:rPr>
          <w:rFonts w:hint="eastAsia" w:ascii="仿宋" w:hAnsi="仿宋" w:eastAsia="仿宋" w:cs="宋体"/>
          <w:szCs w:val="32"/>
          <w:lang w:eastAsia="zh-CN"/>
        </w:rPr>
        <w:t>《</w:t>
      </w:r>
      <w:r>
        <w:rPr>
          <w:rFonts w:hint="eastAsia" w:ascii="仿宋" w:hAnsi="仿宋" w:eastAsia="仿宋" w:cs="宋体"/>
          <w:szCs w:val="32"/>
        </w:rPr>
        <w:t>条例</w:t>
      </w:r>
      <w:r>
        <w:rPr>
          <w:rFonts w:hint="eastAsia" w:ascii="仿宋" w:hAnsi="仿宋" w:eastAsia="仿宋" w:cs="宋体"/>
          <w:szCs w:val="32"/>
          <w:lang w:eastAsia="zh-CN"/>
        </w:rPr>
        <w:t>》</w:t>
      </w:r>
      <w:r>
        <w:rPr>
          <w:rFonts w:hint="eastAsia" w:ascii="仿宋" w:hAnsi="仿宋" w:eastAsia="仿宋" w:cs="宋体"/>
          <w:szCs w:val="32"/>
        </w:rPr>
        <w:t>）经市人大</w:t>
      </w:r>
      <w:bookmarkStart w:id="0" w:name="_GoBack"/>
      <w:bookmarkEnd w:id="0"/>
      <w:r>
        <w:rPr>
          <w:rFonts w:hint="eastAsia" w:ascii="仿宋" w:hAnsi="仿宋" w:eastAsia="仿宋" w:cs="宋体"/>
          <w:szCs w:val="32"/>
        </w:rPr>
        <w:t>常委会于2019年8月29日修订通过，已予公布，将于2020年3月1日起施行。</w:t>
      </w:r>
      <w:r>
        <w:rPr>
          <w:rFonts w:hint="eastAsia" w:ascii="仿宋" w:hAnsi="仿宋" w:eastAsia="仿宋" w:cs="宋体"/>
          <w:szCs w:val="32"/>
          <w:lang w:eastAsia="zh-CN"/>
        </w:rPr>
        <w:t>《条例》</w:t>
      </w:r>
      <w:r>
        <w:rPr>
          <w:rFonts w:hint="eastAsia" w:ascii="仿宋" w:hAnsi="仿宋" w:eastAsia="仿宋" w:cs="宋体"/>
          <w:szCs w:val="32"/>
        </w:rPr>
        <w:t>建立</w:t>
      </w:r>
      <w:r>
        <w:rPr>
          <w:rFonts w:hint="eastAsia" w:ascii="仿宋" w:hAnsi="仿宋" w:eastAsia="仿宋" w:cs="宋体"/>
          <w:szCs w:val="32"/>
          <w:lang w:eastAsia="zh-CN"/>
        </w:rPr>
        <w:t>了</w:t>
      </w:r>
      <w:r>
        <w:rPr>
          <w:rFonts w:hint="eastAsia" w:ascii="仿宋" w:hAnsi="仿宋" w:eastAsia="仿宋" w:cs="宋体"/>
          <w:szCs w:val="32"/>
        </w:rPr>
        <w:t>业主大会组织备案制度，明确业主大会在物业管理领域的市场主体地位</w:t>
      </w:r>
      <w:r>
        <w:rPr>
          <w:rFonts w:hint="eastAsia" w:ascii="仿宋" w:hAnsi="仿宋" w:eastAsia="仿宋" w:cs="宋体"/>
          <w:szCs w:val="32"/>
          <w:lang w:eastAsia="zh-CN"/>
        </w:rPr>
        <w:t>，</w:t>
      </w:r>
      <w:r>
        <w:rPr>
          <w:rFonts w:hint="eastAsia" w:ascii="仿宋" w:hAnsi="仿宋" w:eastAsia="仿宋" w:cs="宋体"/>
          <w:szCs w:val="32"/>
        </w:rPr>
        <w:t>规定</w:t>
      </w:r>
      <w:r>
        <w:rPr>
          <w:rFonts w:hint="eastAsia" w:ascii="仿宋" w:hAnsi="仿宋" w:eastAsia="仿宋" w:cs="宋体"/>
          <w:szCs w:val="32"/>
          <w:lang w:eastAsia="zh-CN"/>
        </w:rPr>
        <w:t>首届</w:t>
      </w:r>
      <w:r>
        <w:rPr>
          <w:rFonts w:hint="eastAsia" w:ascii="仿宋" w:hAnsi="仿宋" w:eastAsia="仿宋" w:cs="宋体"/>
          <w:szCs w:val="32"/>
        </w:rPr>
        <w:t>业主大会</w:t>
      </w:r>
      <w:r>
        <w:rPr>
          <w:rFonts w:hint="eastAsia" w:ascii="仿宋" w:hAnsi="仿宋" w:eastAsia="仿宋" w:cs="宋体"/>
          <w:szCs w:val="32"/>
          <w:lang w:eastAsia="zh-CN"/>
        </w:rPr>
        <w:t>召开并选举产生业主委员会之日起十五内，由业主委员会向所在地区</w:t>
      </w:r>
      <w:r>
        <w:rPr>
          <w:rFonts w:hint="eastAsia" w:ascii="仿宋" w:hAnsi="仿宋" w:eastAsia="仿宋" w:cs="宋体"/>
          <w:szCs w:val="32"/>
        </w:rPr>
        <w:t>住</w:t>
      </w:r>
      <w:r>
        <w:rPr>
          <w:rFonts w:hint="eastAsia" w:ascii="仿宋" w:hAnsi="仿宋" w:eastAsia="仿宋" w:cs="宋体"/>
          <w:szCs w:val="32"/>
          <w:lang w:eastAsia="zh-CN"/>
        </w:rPr>
        <w:t>房和</w:t>
      </w:r>
      <w:r>
        <w:rPr>
          <w:rFonts w:hint="eastAsia" w:ascii="仿宋" w:hAnsi="仿宋" w:eastAsia="仿宋" w:cs="宋体"/>
          <w:szCs w:val="32"/>
        </w:rPr>
        <w:t>建</w:t>
      </w:r>
      <w:r>
        <w:rPr>
          <w:rFonts w:hint="eastAsia" w:ascii="仿宋" w:hAnsi="仿宋" w:eastAsia="仿宋" w:cs="宋体"/>
          <w:szCs w:val="32"/>
          <w:lang w:eastAsia="zh-CN"/>
        </w:rPr>
        <w:t>设</w:t>
      </w:r>
      <w:r>
        <w:rPr>
          <w:rFonts w:hint="eastAsia" w:ascii="仿宋" w:hAnsi="仿宋" w:eastAsia="仿宋" w:cs="宋体"/>
          <w:szCs w:val="32"/>
        </w:rPr>
        <w:t>部门</w:t>
      </w:r>
      <w:r>
        <w:rPr>
          <w:rFonts w:hint="eastAsia" w:ascii="仿宋" w:hAnsi="仿宋" w:eastAsia="仿宋" w:cs="宋体"/>
          <w:szCs w:val="32"/>
          <w:lang w:eastAsia="zh-CN"/>
        </w:rPr>
        <w:t>办理业主大会</w:t>
      </w:r>
      <w:r>
        <w:rPr>
          <w:rFonts w:hint="eastAsia" w:ascii="仿宋" w:hAnsi="仿宋" w:eastAsia="仿宋" w:cs="宋体"/>
          <w:szCs w:val="32"/>
        </w:rPr>
        <w:t>备案，取得统一社会信用代码证书，业主大会可以凭统一社会信用代码证书</w:t>
      </w:r>
      <w:r>
        <w:rPr>
          <w:rFonts w:hint="eastAsia" w:ascii="仿宋" w:hAnsi="仿宋" w:eastAsia="仿宋" w:cs="宋体"/>
          <w:szCs w:val="32"/>
          <w:lang w:eastAsia="zh-CN"/>
        </w:rPr>
        <w:t>在数据共享银</w:t>
      </w:r>
      <w:r>
        <w:rPr>
          <w:rFonts w:hint="eastAsia" w:ascii="仿宋" w:hAnsi="仿宋" w:eastAsia="仿宋" w:cs="宋体"/>
          <w:szCs w:val="32"/>
        </w:rPr>
        <w:t>行开设业主共有资金</w:t>
      </w:r>
      <w:r>
        <w:rPr>
          <w:rFonts w:hint="eastAsia" w:ascii="仿宋" w:hAnsi="仿宋" w:eastAsia="仿宋" w:cs="宋体"/>
          <w:szCs w:val="32"/>
          <w:lang w:eastAsia="zh-CN"/>
        </w:rPr>
        <w:t>基本</w:t>
      </w:r>
      <w:r>
        <w:rPr>
          <w:rFonts w:hint="eastAsia" w:ascii="仿宋" w:hAnsi="仿宋" w:eastAsia="仿宋" w:cs="宋体"/>
          <w:szCs w:val="32"/>
        </w:rPr>
        <w:t>账户，也可以</w:t>
      </w:r>
      <w:r>
        <w:rPr>
          <w:rFonts w:hint="eastAsia" w:ascii="仿宋" w:hAnsi="仿宋" w:eastAsia="仿宋" w:cs="宋体"/>
          <w:szCs w:val="32"/>
          <w:lang w:eastAsia="zh-CN"/>
        </w:rPr>
        <w:t>继续使用物业</w:t>
      </w:r>
      <w:r>
        <w:rPr>
          <w:rFonts w:hint="eastAsia" w:ascii="仿宋" w:hAnsi="仿宋" w:eastAsia="仿宋" w:cs="宋体"/>
          <w:szCs w:val="32"/>
        </w:rPr>
        <w:t>服务企业</w:t>
      </w:r>
      <w:r>
        <w:rPr>
          <w:rFonts w:hint="eastAsia" w:ascii="仿宋" w:hAnsi="仿宋" w:eastAsia="仿宋" w:cs="宋体"/>
          <w:szCs w:val="32"/>
          <w:lang w:eastAsia="zh-CN"/>
        </w:rPr>
        <w:t>在数据共享银行</w:t>
      </w:r>
      <w:r>
        <w:rPr>
          <w:rFonts w:hint="eastAsia" w:ascii="仿宋" w:hAnsi="仿宋" w:eastAsia="仿宋" w:cs="宋体"/>
          <w:szCs w:val="32"/>
        </w:rPr>
        <w:t>开设</w:t>
      </w:r>
      <w:r>
        <w:rPr>
          <w:rFonts w:hint="eastAsia" w:ascii="仿宋" w:hAnsi="仿宋" w:eastAsia="仿宋" w:cs="宋体"/>
          <w:szCs w:val="32"/>
          <w:lang w:eastAsia="zh-CN"/>
        </w:rPr>
        <w:t>的</w:t>
      </w:r>
      <w:r>
        <w:rPr>
          <w:rFonts w:hint="eastAsia" w:ascii="仿宋" w:hAnsi="仿宋" w:eastAsia="仿宋" w:cs="宋体"/>
          <w:szCs w:val="32"/>
        </w:rPr>
        <w:t>业主共有资金共管账户。新条例同时增设了第六章专章</w:t>
      </w:r>
      <w:r>
        <w:rPr>
          <w:rFonts w:hint="eastAsia" w:ascii="仿宋" w:hAnsi="仿宋" w:eastAsia="仿宋" w:cs="宋体"/>
          <w:szCs w:val="32"/>
          <w:lang w:eastAsia="zh-CN"/>
        </w:rPr>
        <w:t>“</w:t>
      </w:r>
      <w:r>
        <w:rPr>
          <w:rFonts w:hint="eastAsia" w:ascii="仿宋" w:hAnsi="仿宋" w:eastAsia="仿宋" w:cs="宋体"/>
          <w:szCs w:val="32"/>
        </w:rPr>
        <w:t>业主共有资金管理</w:t>
      </w:r>
      <w:r>
        <w:rPr>
          <w:rFonts w:hint="eastAsia" w:ascii="仿宋" w:hAnsi="仿宋" w:eastAsia="仿宋" w:cs="宋体"/>
          <w:szCs w:val="32"/>
          <w:lang w:eastAsia="zh-CN"/>
        </w:rPr>
        <w:t>”</w:t>
      </w:r>
      <w:r>
        <w:rPr>
          <w:rFonts w:hint="eastAsia" w:ascii="仿宋" w:hAnsi="仿宋" w:eastAsia="仿宋" w:cs="宋体"/>
          <w:szCs w:val="32"/>
        </w:rPr>
        <w:t>，设计了共有资金审计制度、资金使用公开制度等一系列</w:t>
      </w:r>
      <w:r>
        <w:rPr>
          <w:rFonts w:hint="eastAsia" w:ascii="仿宋" w:hAnsi="仿宋" w:eastAsia="仿宋" w:cs="宋体"/>
          <w:szCs w:val="32"/>
          <w:lang w:eastAsia="zh-CN"/>
        </w:rPr>
        <w:t>规定</w:t>
      </w:r>
      <w:r>
        <w:rPr>
          <w:rFonts w:hint="eastAsia" w:ascii="仿宋" w:hAnsi="仿宋" w:eastAsia="仿宋" w:cs="宋体"/>
          <w:szCs w:val="32"/>
        </w:rPr>
        <w:t>，一方面确保业主共有资金安全，另一方面也促进业主自治组织规范运作。</w:t>
      </w:r>
    </w:p>
    <w:p>
      <w:pPr>
        <w:spacing w:line="360" w:lineRule="auto"/>
        <w:ind w:firstLine="640"/>
        <w:rPr>
          <w:rFonts w:ascii="仿宋" w:hAnsi="仿宋" w:eastAsia="仿宋" w:cs="宋体"/>
          <w:szCs w:val="32"/>
        </w:rPr>
      </w:pPr>
      <w:r>
        <w:rPr>
          <w:rFonts w:hint="eastAsia" w:ascii="仿宋" w:hAnsi="仿宋" w:eastAsia="仿宋" w:cs="宋体"/>
          <w:szCs w:val="32"/>
        </w:rPr>
        <w:t>《条例》修改基本确立了“业主大会”将作为一个新的会计主体，对业主共有资金进行独立建账核算。但由于业主大会的法律地位的特殊性（社会组织管理局不受理登记，不属于民间非营利组织</w:t>
      </w:r>
      <w:r>
        <w:rPr>
          <w:rFonts w:hint="eastAsia" w:ascii="仿宋" w:hAnsi="仿宋" w:eastAsia="仿宋" w:cs="宋体"/>
          <w:szCs w:val="32"/>
          <w:lang w:eastAsia="zh-CN"/>
        </w:rPr>
        <w:t>，也</w:t>
      </w:r>
      <w:r>
        <w:rPr>
          <w:rFonts w:hint="eastAsia" w:ascii="仿宋" w:hAnsi="仿宋" w:eastAsia="仿宋" w:cs="宋体"/>
          <w:szCs w:val="32"/>
        </w:rPr>
        <w:t>不属于企业</w:t>
      </w:r>
      <w:r>
        <w:rPr>
          <w:rFonts w:hint="eastAsia" w:ascii="仿宋" w:hAnsi="仿宋" w:eastAsia="仿宋" w:cs="宋体"/>
          <w:szCs w:val="32"/>
          <w:lang w:eastAsia="zh-CN"/>
        </w:rPr>
        <w:t>或</w:t>
      </w:r>
      <w:r>
        <w:rPr>
          <w:rFonts w:hint="eastAsia" w:ascii="仿宋" w:hAnsi="仿宋" w:eastAsia="仿宋" w:cs="宋体"/>
          <w:szCs w:val="32"/>
        </w:rPr>
        <w:t>事业单位），因此，目前没有现成的会计制度可供依照执行。</w:t>
      </w:r>
    </w:p>
    <w:p>
      <w:pPr>
        <w:spacing w:line="360" w:lineRule="auto"/>
        <w:ind w:firstLine="640"/>
        <w:rPr>
          <w:rFonts w:ascii="仿宋" w:hAnsi="仿宋" w:eastAsia="仿宋" w:cs="宋体"/>
          <w:szCs w:val="32"/>
        </w:rPr>
      </w:pPr>
      <w:r>
        <w:rPr>
          <w:rFonts w:hint="eastAsia" w:ascii="仿宋" w:hAnsi="仿宋" w:eastAsia="仿宋" w:cs="宋体"/>
          <w:szCs w:val="32"/>
        </w:rPr>
        <w:t>基于此，为完善的相关配套制度，</w:t>
      </w:r>
      <w:r>
        <w:rPr>
          <w:rFonts w:hint="eastAsia" w:ascii="仿宋" w:hAnsi="仿宋" w:eastAsia="仿宋" w:cs="宋体"/>
          <w:szCs w:val="32"/>
          <w:lang w:eastAsia="zh-CN"/>
        </w:rPr>
        <w:t>规范业主共有资金管理，保障广大业主对共有资金的知情权，市</w:t>
      </w:r>
      <w:r>
        <w:rPr>
          <w:rFonts w:hint="eastAsia" w:ascii="仿宋" w:hAnsi="仿宋" w:eastAsia="仿宋" w:cs="宋体"/>
          <w:szCs w:val="32"/>
        </w:rPr>
        <w:t>住</w:t>
      </w:r>
      <w:r>
        <w:rPr>
          <w:rFonts w:hint="eastAsia" w:ascii="仿宋" w:hAnsi="仿宋" w:eastAsia="仿宋" w:cs="宋体"/>
          <w:szCs w:val="32"/>
          <w:lang w:eastAsia="zh-CN"/>
        </w:rPr>
        <w:t>房</w:t>
      </w:r>
      <w:r>
        <w:rPr>
          <w:rFonts w:hint="eastAsia" w:ascii="仿宋" w:hAnsi="仿宋" w:eastAsia="仿宋" w:cs="宋体"/>
          <w:szCs w:val="32"/>
        </w:rPr>
        <w:t>建</w:t>
      </w:r>
      <w:r>
        <w:rPr>
          <w:rFonts w:hint="eastAsia" w:ascii="仿宋" w:hAnsi="仿宋" w:eastAsia="仿宋" w:cs="宋体"/>
          <w:szCs w:val="32"/>
          <w:lang w:eastAsia="zh-CN"/>
        </w:rPr>
        <w:t>设</w:t>
      </w:r>
      <w:r>
        <w:rPr>
          <w:rFonts w:hint="eastAsia" w:ascii="仿宋" w:hAnsi="仿宋" w:eastAsia="仿宋" w:cs="宋体"/>
          <w:szCs w:val="32"/>
        </w:rPr>
        <w:t>局委托市注册会计师协会</w:t>
      </w:r>
      <w:r>
        <w:rPr>
          <w:rFonts w:hint="eastAsia" w:ascii="仿宋" w:hAnsi="仿宋" w:eastAsia="仿宋" w:cs="宋体"/>
          <w:szCs w:val="32"/>
          <w:lang w:eastAsia="zh-CN"/>
        </w:rPr>
        <w:t>编制</w:t>
      </w:r>
      <w:r>
        <w:rPr>
          <w:rFonts w:hint="eastAsia" w:ascii="仿宋" w:hAnsi="仿宋" w:eastAsia="仿宋" w:cs="宋体"/>
          <w:szCs w:val="32"/>
        </w:rPr>
        <w:t>《业主共有资金会计</w:t>
      </w:r>
      <w:r>
        <w:rPr>
          <w:rFonts w:hint="eastAsia" w:ascii="仿宋" w:hAnsi="仿宋" w:eastAsia="仿宋" w:cs="宋体"/>
          <w:szCs w:val="32"/>
          <w:lang w:eastAsia="zh-CN"/>
        </w:rPr>
        <w:t>核算手册</w:t>
      </w:r>
      <w:r>
        <w:rPr>
          <w:rFonts w:hint="eastAsia" w:ascii="仿宋" w:hAnsi="仿宋" w:eastAsia="仿宋" w:cs="宋体"/>
          <w:szCs w:val="32"/>
        </w:rPr>
        <w:t>》，研究编制共有资金会计制度。</w:t>
      </w:r>
    </w:p>
    <w:p>
      <w:pPr>
        <w:spacing w:line="360" w:lineRule="auto"/>
        <w:ind w:firstLine="640"/>
        <w:rPr>
          <w:rFonts w:ascii="黑体" w:hAnsi="黑体" w:eastAsia="黑体"/>
          <w:szCs w:val="32"/>
        </w:rPr>
      </w:pPr>
      <w:r>
        <w:rPr>
          <w:rFonts w:hint="eastAsia" w:ascii="黑体" w:hAnsi="黑体" w:eastAsia="黑体"/>
          <w:szCs w:val="32"/>
        </w:rPr>
        <w:t>二、起草过程</w:t>
      </w:r>
    </w:p>
    <w:p>
      <w:pPr>
        <w:spacing w:line="360" w:lineRule="auto"/>
        <w:ind w:firstLine="640"/>
        <w:rPr>
          <w:rFonts w:ascii="仿宋" w:hAnsi="仿宋" w:eastAsia="仿宋"/>
          <w:szCs w:val="32"/>
        </w:rPr>
      </w:pPr>
      <w:r>
        <w:rPr>
          <w:rFonts w:hint="eastAsia" w:ascii="仿宋" w:hAnsi="仿宋" w:eastAsia="仿宋"/>
          <w:szCs w:val="32"/>
        </w:rPr>
        <w:t>为做好配套会计制度的编制工作，</w:t>
      </w:r>
      <w:r>
        <w:rPr>
          <w:rFonts w:hint="eastAsia" w:ascii="仿宋" w:hAnsi="仿宋" w:eastAsia="仿宋"/>
          <w:szCs w:val="32"/>
          <w:lang w:eastAsia="zh-CN"/>
        </w:rPr>
        <w:t>市住房建设局</w:t>
      </w:r>
      <w:r>
        <w:rPr>
          <w:rFonts w:hint="eastAsia" w:ascii="仿宋" w:hAnsi="仿宋" w:eastAsia="仿宋"/>
          <w:szCs w:val="32"/>
        </w:rPr>
        <w:t>与</w:t>
      </w:r>
      <w:r>
        <w:rPr>
          <w:rFonts w:hint="eastAsia" w:ascii="仿宋" w:hAnsi="仿宋" w:eastAsia="仿宋"/>
          <w:szCs w:val="32"/>
          <w:lang w:eastAsia="zh-CN"/>
        </w:rPr>
        <w:t>市注册会计师协会</w:t>
      </w:r>
      <w:r>
        <w:rPr>
          <w:rFonts w:hint="eastAsia" w:ascii="仿宋" w:hAnsi="仿宋" w:eastAsia="仿宋"/>
          <w:szCs w:val="32"/>
        </w:rPr>
        <w:t>成立了课题组，</w:t>
      </w:r>
      <w:r>
        <w:rPr>
          <w:rFonts w:hint="eastAsia" w:ascii="仿宋" w:hAnsi="仿宋" w:eastAsia="仿宋"/>
          <w:szCs w:val="32"/>
          <w:lang w:eastAsia="zh-CN"/>
        </w:rPr>
        <w:t>市住房建设局委派从事物业监管工作的同志参加课题组，市注册会计师协会课题组成员由</w:t>
      </w:r>
      <w:r>
        <w:rPr>
          <w:rFonts w:hint="eastAsia" w:ascii="仿宋" w:hAnsi="仿宋" w:eastAsia="仿宋"/>
          <w:szCs w:val="32"/>
        </w:rPr>
        <w:t>协会理事、正副秘书长并征集</w:t>
      </w:r>
      <w:r>
        <w:rPr>
          <w:rFonts w:hint="eastAsia" w:ascii="仿宋" w:hAnsi="仿宋" w:eastAsia="仿宋"/>
          <w:szCs w:val="32"/>
          <w:lang w:eastAsia="zh-CN"/>
        </w:rPr>
        <w:t>注册会计师</w:t>
      </w:r>
      <w:r>
        <w:rPr>
          <w:rFonts w:hint="eastAsia" w:ascii="仿宋" w:hAnsi="仿宋" w:eastAsia="仿宋"/>
          <w:szCs w:val="32"/>
        </w:rPr>
        <w:t>事务所技术专家组成。</w:t>
      </w:r>
    </w:p>
    <w:p>
      <w:pPr>
        <w:spacing w:line="360" w:lineRule="auto"/>
        <w:ind w:firstLine="640"/>
        <w:rPr>
          <w:rFonts w:ascii="仿宋" w:hAnsi="仿宋" w:eastAsia="仿宋"/>
          <w:szCs w:val="32"/>
        </w:rPr>
      </w:pPr>
      <w:r>
        <w:rPr>
          <w:rFonts w:hint="eastAsia" w:ascii="仿宋" w:hAnsi="仿宋" w:eastAsia="仿宋"/>
          <w:szCs w:val="32"/>
        </w:rPr>
        <w:t>课题组首先进行了资料收集</w:t>
      </w:r>
      <w:r>
        <w:rPr>
          <w:rFonts w:hint="eastAsia" w:ascii="仿宋" w:hAnsi="仿宋" w:eastAsia="仿宋"/>
          <w:szCs w:val="32"/>
          <w:lang w:eastAsia="zh-CN"/>
        </w:rPr>
        <w:t>和广泛调研：</w:t>
      </w:r>
      <w:r>
        <w:rPr>
          <w:rFonts w:hint="eastAsia" w:ascii="仿宋" w:hAnsi="仿宋" w:eastAsia="仿宋"/>
          <w:szCs w:val="32"/>
        </w:rPr>
        <w:t>前往多家会计师事务所开展物业业务调研；</w:t>
      </w:r>
      <w:r>
        <w:rPr>
          <w:rFonts w:hint="eastAsia" w:ascii="仿宋" w:hAnsi="仿宋" w:eastAsia="仿宋"/>
          <w:szCs w:val="32"/>
          <w:lang w:eastAsia="zh-CN"/>
        </w:rPr>
        <w:t>去</w:t>
      </w:r>
      <w:r>
        <w:rPr>
          <w:rFonts w:hint="eastAsia" w:ascii="仿宋" w:hAnsi="仿宋" w:eastAsia="仿宋"/>
          <w:szCs w:val="32"/>
        </w:rPr>
        <w:t>雍翠豪园、景洲大厦</w:t>
      </w:r>
      <w:r>
        <w:rPr>
          <w:rFonts w:hint="eastAsia" w:ascii="仿宋" w:hAnsi="仿宋" w:eastAsia="仿宋"/>
          <w:szCs w:val="32"/>
          <w:lang w:eastAsia="zh-CN"/>
        </w:rPr>
        <w:t>等</w:t>
      </w:r>
      <w:r>
        <w:rPr>
          <w:rFonts w:hint="eastAsia" w:ascii="仿宋" w:hAnsi="仿宋" w:eastAsia="仿宋"/>
          <w:szCs w:val="32"/>
        </w:rPr>
        <w:t>业主</w:t>
      </w:r>
      <w:r>
        <w:rPr>
          <w:rFonts w:hint="eastAsia" w:ascii="仿宋" w:hAnsi="仿宋" w:eastAsia="仿宋"/>
          <w:szCs w:val="32"/>
          <w:lang w:eastAsia="zh-CN"/>
        </w:rPr>
        <w:t>共有资金自管做得较好的</w:t>
      </w:r>
      <w:r>
        <w:rPr>
          <w:rFonts w:hint="eastAsia" w:ascii="仿宋" w:hAnsi="仿宋" w:eastAsia="仿宋"/>
          <w:szCs w:val="32"/>
        </w:rPr>
        <w:t>小区实地调研；与万科物业</w:t>
      </w:r>
      <w:r>
        <w:rPr>
          <w:rFonts w:hint="eastAsia" w:ascii="仿宋" w:hAnsi="仿宋" w:eastAsia="仿宋"/>
          <w:szCs w:val="32"/>
          <w:lang w:eastAsia="zh-CN"/>
        </w:rPr>
        <w:t>、</w:t>
      </w:r>
      <w:r>
        <w:rPr>
          <w:rFonts w:hint="eastAsia" w:ascii="仿宋" w:hAnsi="仿宋" w:eastAsia="仿宋"/>
          <w:szCs w:val="32"/>
        </w:rPr>
        <w:t>招商物业</w:t>
      </w:r>
      <w:r>
        <w:rPr>
          <w:rFonts w:hint="eastAsia" w:ascii="仿宋" w:hAnsi="仿宋" w:eastAsia="仿宋"/>
          <w:szCs w:val="32"/>
          <w:lang w:eastAsia="zh-CN"/>
        </w:rPr>
        <w:t>等</w:t>
      </w:r>
      <w:r>
        <w:rPr>
          <w:rFonts w:hint="eastAsia" w:ascii="仿宋" w:hAnsi="仿宋" w:eastAsia="仿宋"/>
          <w:szCs w:val="32"/>
        </w:rPr>
        <w:t>物业</w:t>
      </w:r>
      <w:r>
        <w:rPr>
          <w:rFonts w:hint="eastAsia" w:ascii="仿宋" w:hAnsi="仿宋" w:eastAsia="仿宋"/>
          <w:szCs w:val="32"/>
          <w:lang w:eastAsia="zh-CN"/>
        </w:rPr>
        <w:t>服务</w:t>
      </w:r>
      <w:r>
        <w:rPr>
          <w:rFonts w:hint="eastAsia" w:ascii="仿宋" w:hAnsi="仿宋" w:eastAsia="仿宋"/>
          <w:szCs w:val="32"/>
        </w:rPr>
        <w:t>企业开展</w:t>
      </w:r>
      <w:r>
        <w:rPr>
          <w:rFonts w:hint="eastAsia" w:ascii="仿宋" w:hAnsi="仿宋" w:eastAsia="仿宋"/>
          <w:szCs w:val="32"/>
          <w:lang w:eastAsia="zh-CN"/>
        </w:rPr>
        <w:t>座谈</w:t>
      </w:r>
      <w:r>
        <w:rPr>
          <w:rFonts w:hint="eastAsia" w:ascii="仿宋" w:hAnsi="仿宋" w:eastAsia="仿宋"/>
          <w:szCs w:val="32"/>
        </w:rPr>
        <w:t>交流；与杨志敏（市人大代表）、杨锋</w:t>
      </w:r>
      <w:r>
        <w:rPr>
          <w:rFonts w:hint="eastAsia" w:ascii="仿宋" w:hAnsi="仿宋" w:eastAsia="仿宋"/>
          <w:szCs w:val="32"/>
          <w:lang w:eastAsia="zh-CN"/>
        </w:rPr>
        <w:t>（罗湖区人大代表）</w:t>
      </w:r>
      <w:r>
        <w:rPr>
          <w:rFonts w:hint="eastAsia" w:ascii="仿宋" w:hAnsi="仿宋" w:eastAsia="仿宋"/>
          <w:szCs w:val="32"/>
        </w:rPr>
        <w:t>等物业行业专家进行探讨；前往市税务局、市财政局多次听取意见。在与</w:t>
      </w:r>
      <w:r>
        <w:rPr>
          <w:rFonts w:hint="eastAsia" w:ascii="仿宋" w:hAnsi="仿宋" w:eastAsia="仿宋"/>
          <w:szCs w:val="32"/>
          <w:lang w:eastAsia="zh-CN"/>
        </w:rPr>
        <w:t>市</w:t>
      </w:r>
      <w:r>
        <w:rPr>
          <w:rFonts w:hint="eastAsia" w:ascii="仿宋" w:hAnsi="仿宋" w:eastAsia="仿宋"/>
          <w:szCs w:val="32"/>
        </w:rPr>
        <w:t>财政局的交流研讨会上，</w:t>
      </w:r>
      <w:r>
        <w:rPr>
          <w:rFonts w:hint="eastAsia" w:ascii="仿宋" w:hAnsi="仿宋" w:eastAsia="仿宋"/>
          <w:szCs w:val="32"/>
          <w:lang w:eastAsia="zh-CN"/>
        </w:rPr>
        <w:t>市财政局提出</w:t>
      </w:r>
      <w:r>
        <w:rPr>
          <w:rFonts w:hint="eastAsia" w:ascii="仿宋" w:hAnsi="仿宋" w:eastAsia="仿宋"/>
          <w:szCs w:val="32"/>
        </w:rPr>
        <w:t>，在现有的会计制度体系及深圳的会计立法条件上，对业主大会“业主共有资金”的会计核算确定为一个新的会计制度来颁布，存在较大障碍。课题组结合与相关部门的沟通情况，编制</w:t>
      </w:r>
      <w:r>
        <w:rPr>
          <w:rFonts w:hint="eastAsia" w:ascii="仿宋" w:hAnsi="仿宋" w:eastAsia="仿宋"/>
          <w:szCs w:val="32"/>
          <w:lang w:eastAsia="zh-CN"/>
        </w:rPr>
        <w:t>了</w:t>
      </w:r>
      <w:r>
        <w:rPr>
          <w:rFonts w:hint="eastAsia" w:ascii="仿宋" w:hAnsi="仿宋" w:eastAsia="仿宋"/>
          <w:szCs w:val="32"/>
        </w:rPr>
        <w:t>基于民间非营利组织会计制度框架下的《</w:t>
      </w:r>
      <w:r>
        <w:rPr>
          <w:rFonts w:hint="eastAsia" w:ascii="仿宋" w:hAnsi="仿宋" w:eastAsia="仿宋"/>
          <w:szCs w:val="32"/>
          <w:lang w:eastAsia="zh-CN"/>
        </w:rPr>
        <w:t>业主</w:t>
      </w:r>
      <w:r>
        <w:rPr>
          <w:rFonts w:hint="eastAsia" w:ascii="仿宋" w:hAnsi="仿宋" w:eastAsia="仿宋"/>
          <w:szCs w:val="32"/>
        </w:rPr>
        <w:t>共有资金会计核算手册</w:t>
      </w:r>
      <w:r>
        <w:rPr>
          <w:rFonts w:hint="eastAsia" w:ascii="仿宋" w:hAnsi="仿宋" w:eastAsia="仿宋"/>
          <w:szCs w:val="32"/>
          <w:lang w:eastAsia="zh-CN"/>
        </w:rPr>
        <w:t>（初稿）</w:t>
      </w:r>
      <w:r>
        <w:rPr>
          <w:rFonts w:hint="eastAsia" w:ascii="仿宋" w:hAnsi="仿宋" w:eastAsia="仿宋"/>
          <w:szCs w:val="32"/>
        </w:rPr>
        <w:t>》</w:t>
      </w:r>
      <w:r>
        <w:rPr>
          <w:rFonts w:hint="eastAsia" w:ascii="仿宋" w:hAnsi="仿宋" w:eastAsia="仿宋"/>
          <w:szCs w:val="32"/>
          <w:lang w:eastAsia="zh-CN"/>
        </w:rPr>
        <w:t>，并由市注册会计师协会牵头在行业内广泛征求意见，课题组根据征集来的意见进行了多次修改完善，现形成征求意见稿。</w:t>
      </w:r>
    </w:p>
    <w:p>
      <w:pPr>
        <w:spacing w:line="360" w:lineRule="auto"/>
        <w:ind w:firstLine="640"/>
        <w:rPr>
          <w:rFonts w:ascii="黑体" w:hAnsi="黑体" w:eastAsia="黑体"/>
          <w:szCs w:val="32"/>
        </w:rPr>
      </w:pPr>
      <w:r>
        <w:rPr>
          <w:rFonts w:hint="eastAsia" w:ascii="黑体" w:hAnsi="黑体" w:eastAsia="黑体"/>
          <w:szCs w:val="32"/>
        </w:rPr>
        <w:t>三、核算手册的主要内容</w:t>
      </w:r>
    </w:p>
    <w:p>
      <w:pPr>
        <w:spacing w:line="360" w:lineRule="auto"/>
        <w:ind w:firstLine="640"/>
        <w:jc w:val="left"/>
        <w:rPr>
          <w:rFonts w:ascii="仿宋" w:hAnsi="仿宋" w:eastAsia="仿宋"/>
          <w:szCs w:val="32"/>
        </w:rPr>
      </w:pPr>
      <w:r>
        <w:rPr>
          <w:rFonts w:hint="eastAsia" w:ascii="仿宋" w:hAnsi="仿宋" w:eastAsia="仿宋"/>
          <w:szCs w:val="32"/>
        </w:rPr>
        <w:t>核算手册共分五个部分。</w:t>
      </w:r>
    </w:p>
    <w:p>
      <w:pPr>
        <w:spacing w:line="360" w:lineRule="auto"/>
        <w:ind w:firstLine="640"/>
        <w:jc w:val="left"/>
        <w:rPr>
          <w:rFonts w:ascii="仿宋" w:hAnsi="仿宋" w:eastAsia="仿宋"/>
          <w:szCs w:val="32"/>
        </w:rPr>
      </w:pPr>
      <w:r>
        <w:rPr>
          <w:rFonts w:hint="eastAsia" w:ascii="仿宋" w:hAnsi="仿宋" w:eastAsia="仿宋"/>
          <w:b/>
          <w:bCs/>
          <w:szCs w:val="32"/>
        </w:rPr>
        <w:t>第一部分：会计制度。</w:t>
      </w:r>
      <w:r>
        <w:rPr>
          <w:rFonts w:hint="eastAsia" w:ascii="仿宋" w:hAnsi="仿宋" w:eastAsia="仿宋"/>
          <w:szCs w:val="32"/>
        </w:rPr>
        <w:t>结合业主大会的特点并按照《民间非营利组织会计制度》编制，精简了《民间非营利组织会计制度》中不适合业主大会的部分；</w:t>
      </w:r>
    </w:p>
    <w:p>
      <w:pPr>
        <w:spacing w:line="360" w:lineRule="auto"/>
        <w:ind w:firstLine="640"/>
        <w:jc w:val="left"/>
        <w:rPr>
          <w:rFonts w:ascii="仿宋" w:hAnsi="仿宋" w:eastAsia="仿宋"/>
          <w:szCs w:val="32"/>
        </w:rPr>
      </w:pPr>
      <w:r>
        <w:rPr>
          <w:rFonts w:hint="eastAsia" w:ascii="仿宋" w:hAnsi="仿宋" w:eastAsia="仿宋"/>
          <w:b/>
          <w:bCs/>
          <w:szCs w:val="32"/>
        </w:rPr>
        <w:t>第二部分：会计科目使用说明。</w:t>
      </w:r>
      <w:r>
        <w:rPr>
          <w:rFonts w:hint="eastAsia" w:ascii="仿宋" w:hAnsi="仿宋" w:eastAsia="仿宋"/>
          <w:szCs w:val="32"/>
        </w:rPr>
        <w:t>除一级科目外，在《民间非营利组织会计制度》总体框架下，根据业主大会的业务活动特点，细化了业主大会可能经常使用的会计科目，比如：货币资金、往来类科目、收支类科目、物业专项维修资金等；</w:t>
      </w:r>
    </w:p>
    <w:p>
      <w:pPr>
        <w:spacing w:line="360" w:lineRule="auto"/>
        <w:ind w:firstLine="640"/>
        <w:jc w:val="left"/>
        <w:rPr>
          <w:rFonts w:ascii="仿宋" w:hAnsi="仿宋" w:eastAsia="仿宋"/>
          <w:szCs w:val="32"/>
        </w:rPr>
      </w:pPr>
      <w:r>
        <w:rPr>
          <w:rFonts w:hint="eastAsia" w:ascii="仿宋" w:hAnsi="仿宋" w:eastAsia="仿宋"/>
          <w:b/>
          <w:bCs/>
          <w:szCs w:val="32"/>
        </w:rPr>
        <w:t>第三部分：会计报表编制说明。</w:t>
      </w:r>
      <w:r>
        <w:rPr>
          <w:rFonts w:hint="eastAsia" w:ascii="仿宋" w:hAnsi="仿宋" w:eastAsia="仿宋"/>
          <w:szCs w:val="32"/>
        </w:rPr>
        <w:t>详细说明会计报表编制和列示；</w:t>
      </w:r>
    </w:p>
    <w:p>
      <w:pPr>
        <w:spacing w:line="360" w:lineRule="auto"/>
        <w:ind w:firstLine="640"/>
        <w:jc w:val="left"/>
        <w:rPr>
          <w:rFonts w:ascii="仿宋" w:hAnsi="仿宋" w:eastAsia="仿宋"/>
          <w:szCs w:val="32"/>
        </w:rPr>
      </w:pPr>
      <w:r>
        <w:rPr>
          <w:rFonts w:hint="eastAsia" w:ascii="仿宋" w:hAnsi="仿宋" w:eastAsia="仿宋"/>
          <w:b/>
          <w:bCs/>
          <w:szCs w:val="32"/>
        </w:rPr>
        <w:t>第四部分：业务报表编制说明。</w:t>
      </w:r>
      <w:r>
        <w:rPr>
          <w:rFonts w:hint="eastAsia" w:ascii="仿宋" w:hAnsi="仿宋" w:eastAsia="仿宋"/>
          <w:szCs w:val="32"/>
        </w:rPr>
        <w:t>详细说明业务报表各项目的含义，如何利用会计数据编制业务报表以及业务报表与会计科目之间的勾稽关系。业务报表也是为了实现业主对</w:t>
      </w:r>
      <w:r>
        <w:rPr>
          <w:rFonts w:hint="eastAsia" w:ascii="仿宋" w:hAnsi="仿宋" w:eastAsia="仿宋"/>
          <w:szCs w:val="32"/>
          <w:lang w:eastAsia="zh-CN"/>
        </w:rPr>
        <w:t>共有资金</w:t>
      </w:r>
      <w:r>
        <w:rPr>
          <w:rFonts w:hint="eastAsia" w:ascii="仿宋" w:hAnsi="仿宋" w:eastAsia="仿宋"/>
          <w:szCs w:val="32"/>
        </w:rPr>
        <w:t>财务信息的知情权，主管部门实现对业主大会的财务监管的关键载体；</w:t>
      </w:r>
    </w:p>
    <w:p>
      <w:pPr>
        <w:spacing w:line="360" w:lineRule="auto"/>
        <w:ind w:firstLine="640"/>
        <w:rPr>
          <w:rFonts w:hint="eastAsia" w:ascii="仿宋" w:hAnsi="仿宋" w:eastAsia="仿宋"/>
          <w:szCs w:val="32"/>
        </w:rPr>
      </w:pPr>
      <w:r>
        <w:rPr>
          <w:rFonts w:hint="eastAsia" w:ascii="仿宋" w:hAnsi="仿宋" w:eastAsia="仿宋"/>
          <w:b/>
          <w:bCs/>
          <w:szCs w:val="32"/>
        </w:rPr>
        <w:t>第五部分：附件。</w:t>
      </w:r>
      <w:r>
        <w:rPr>
          <w:rFonts w:hint="eastAsia" w:ascii="仿宋" w:hAnsi="仿宋" w:eastAsia="仿宋"/>
          <w:szCs w:val="32"/>
        </w:rPr>
        <w:t>列示了会计报表、会计科目表和业务报表的格式。</w:t>
      </w:r>
    </w:p>
    <w:p>
      <w:pPr>
        <w:spacing w:line="360" w:lineRule="auto"/>
        <w:ind w:firstLine="640"/>
        <w:rPr>
          <w:rFonts w:hint="eastAsia" w:ascii="仿宋" w:hAnsi="仿宋" w:eastAsia="仿宋"/>
          <w:szCs w:val="32"/>
        </w:rPr>
      </w:pPr>
      <w:r>
        <w:rPr>
          <w:rFonts w:hint="eastAsia" w:ascii="仿宋" w:hAnsi="仿宋" w:eastAsia="仿宋"/>
          <w:szCs w:val="32"/>
        </w:rPr>
        <w:t>其中一、三部分是基于《民间非营利组织会计制度》下对业主大会会计核算的原则性规定；第二、四部分则是为了适应和满足《条例》对业主共有资金管理需要而作的更具体、细化的规定，也是《核算手册》的重点和核心。若没有这两部分内容的具体规定，业主共有资金的核算、管理将无章可循，业主大会信息公开、行业监管将面临较大的困难和障碍。</w:t>
      </w:r>
    </w:p>
    <w:p>
      <w:pPr>
        <w:spacing w:line="360" w:lineRule="auto"/>
        <w:ind w:firstLine="640"/>
        <w:rPr>
          <w:rFonts w:hint="eastAsia" w:ascii="黑体" w:hAnsi="黑体" w:eastAsia="黑体"/>
          <w:szCs w:val="32"/>
        </w:rPr>
      </w:pPr>
      <w:r>
        <w:rPr>
          <w:rFonts w:hint="eastAsia" w:ascii="黑体" w:hAnsi="黑体" w:eastAsia="黑体"/>
          <w:szCs w:val="32"/>
        </w:rPr>
        <w:t>四、其他说明</w:t>
      </w:r>
    </w:p>
    <w:p>
      <w:pPr>
        <w:spacing w:line="360" w:lineRule="auto"/>
        <w:ind w:firstLine="640"/>
        <w:rPr>
          <w:rFonts w:ascii="仿宋" w:hAnsi="仿宋" w:eastAsia="仿宋"/>
          <w:szCs w:val="32"/>
        </w:rPr>
      </w:pPr>
      <w:r>
        <w:rPr>
          <w:rFonts w:hint="eastAsia" w:ascii="仿宋" w:hAnsi="仿宋" w:eastAsia="仿宋"/>
          <w:szCs w:val="32"/>
        </w:rPr>
        <w:t>《民间非营利组织会计制度》于2005年1月1日起施行，至今已经15年未作修订和补充，可能存在一些缺陷和不足，不一定能完全适应时代发展、新的主体的核算需要。又基于业主大会主体的特殊性，基于《民间非营利组织会计制度》框架下的《核算手册》可能也不能完全满足业主大会的核算需要，期待国家层面的制度进一步完善后的进一步修订和补充。</w:t>
      </w:r>
    </w:p>
    <w:sectPr>
      <w:headerReference r:id="rId7" w:type="first"/>
      <w:footerReference r:id="rId10" w:type="first"/>
      <w:headerReference r:id="rId5" w:type="default"/>
      <w:footerReference r:id="rId8" w:type="default"/>
      <w:headerReference r:id="rId6" w:type="even"/>
      <w:footerReference r:id="rId9" w:type="even"/>
      <w:pgSz w:w="11906" w:h="16838"/>
      <w:pgMar w:top="1304" w:right="1304" w:bottom="130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right"/>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881311620"/>
                  <w:docPartObj>
                    <w:docPartGallery w:val="autotext"/>
                  </w:docPartObj>
                </w:sdtPr>
                <w:sdtContent>
                  <w:p>
                    <w:pPr>
                      <w:pStyle w:val="10"/>
                      <w:ind w:firstLine="360"/>
                      <w:jc w:val="right"/>
                    </w:pPr>
                    <w:r>
                      <w:fldChar w:fldCharType="begin"/>
                    </w:r>
                    <w:r>
                      <w:instrText xml:space="preserve">PAGE   \* MERGEFORMAT</w:instrText>
                    </w:r>
                    <w:r>
                      <w:fldChar w:fldCharType="separate"/>
                    </w:r>
                    <w:r>
                      <w:rPr>
                        <w:lang w:val="zh-CN"/>
                      </w:rPr>
                      <w:t>4</w:t>
                    </w:r>
                    <w:r>
                      <w:fldChar w:fldCharType="end"/>
                    </w:r>
                  </w:p>
                </w:sdtContent>
              </w:sdt>
              <w:p/>
            </w:txbxContent>
          </v:textbox>
        </v:shape>
      </w:pict>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13B7"/>
    <w:rsid w:val="00040F5E"/>
    <w:rsid w:val="000462F5"/>
    <w:rsid w:val="0007146C"/>
    <w:rsid w:val="00095450"/>
    <w:rsid w:val="000C3055"/>
    <w:rsid w:val="000E2D8B"/>
    <w:rsid w:val="001346D8"/>
    <w:rsid w:val="0013741A"/>
    <w:rsid w:val="0014036B"/>
    <w:rsid w:val="001D2EC3"/>
    <w:rsid w:val="0027270A"/>
    <w:rsid w:val="00282C56"/>
    <w:rsid w:val="002C1DC0"/>
    <w:rsid w:val="002E0C66"/>
    <w:rsid w:val="002F1BB8"/>
    <w:rsid w:val="002F779C"/>
    <w:rsid w:val="00302B08"/>
    <w:rsid w:val="003234F1"/>
    <w:rsid w:val="004027CD"/>
    <w:rsid w:val="0044667B"/>
    <w:rsid w:val="004855C4"/>
    <w:rsid w:val="004B7157"/>
    <w:rsid w:val="004C3C9A"/>
    <w:rsid w:val="004F3594"/>
    <w:rsid w:val="004F6CEB"/>
    <w:rsid w:val="005349E8"/>
    <w:rsid w:val="00557DC6"/>
    <w:rsid w:val="00566AC6"/>
    <w:rsid w:val="0057706D"/>
    <w:rsid w:val="00595FEC"/>
    <w:rsid w:val="005C5628"/>
    <w:rsid w:val="005E0C65"/>
    <w:rsid w:val="00600FE7"/>
    <w:rsid w:val="00607F00"/>
    <w:rsid w:val="00616A4C"/>
    <w:rsid w:val="006332BB"/>
    <w:rsid w:val="00641A29"/>
    <w:rsid w:val="006A7B20"/>
    <w:rsid w:val="006B247D"/>
    <w:rsid w:val="006C49D6"/>
    <w:rsid w:val="006F486C"/>
    <w:rsid w:val="007476E4"/>
    <w:rsid w:val="007542AE"/>
    <w:rsid w:val="0076691F"/>
    <w:rsid w:val="00795126"/>
    <w:rsid w:val="007D25A9"/>
    <w:rsid w:val="008177B3"/>
    <w:rsid w:val="0083669B"/>
    <w:rsid w:val="008413B7"/>
    <w:rsid w:val="008720A7"/>
    <w:rsid w:val="00874A37"/>
    <w:rsid w:val="00894349"/>
    <w:rsid w:val="008C33B0"/>
    <w:rsid w:val="008D2F03"/>
    <w:rsid w:val="0090102A"/>
    <w:rsid w:val="009157E3"/>
    <w:rsid w:val="009331A5"/>
    <w:rsid w:val="00943AA0"/>
    <w:rsid w:val="00954378"/>
    <w:rsid w:val="00994A7D"/>
    <w:rsid w:val="009C5F0B"/>
    <w:rsid w:val="009E3B24"/>
    <w:rsid w:val="00A24070"/>
    <w:rsid w:val="00A27A3F"/>
    <w:rsid w:val="00A54D3F"/>
    <w:rsid w:val="00A57A3E"/>
    <w:rsid w:val="00AB1567"/>
    <w:rsid w:val="00AD13CA"/>
    <w:rsid w:val="00AE20BB"/>
    <w:rsid w:val="00B25F9C"/>
    <w:rsid w:val="00B30706"/>
    <w:rsid w:val="00B32514"/>
    <w:rsid w:val="00B444FD"/>
    <w:rsid w:val="00B475C2"/>
    <w:rsid w:val="00B47BF4"/>
    <w:rsid w:val="00BD592B"/>
    <w:rsid w:val="00BF442A"/>
    <w:rsid w:val="00C029CE"/>
    <w:rsid w:val="00C44605"/>
    <w:rsid w:val="00C46E67"/>
    <w:rsid w:val="00C529D8"/>
    <w:rsid w:val="00C562AA"/>
    <w:rsid w:val="00C95949"/>
    <w:rsid w:val="00CA3117"/>
    <w:rsid w:val="00CC6766"/>
    <w:rsid w:val="00D54F80"/>
    <w:rsid w:val="00D64261"/>
    <w:rsid w:val="00D9068E"/>
    <w:rsid w:val="00DC223F"/>
    <w:rsid w:val="00DD7B09"/>
    <w:rsid w:val="00DF04DF"/>
    <w:rsid w:val="00DF3C14"/>
    <w:rsid w:val="00E609D5"/>
    <w:rsid w:val="00E92873"/>
    <w:rsid w:val="00E95B99"/>
    <w:rsid w:val="00EC43F2"/>
    <w:rsid w:val="00ED1651"/>
    <w:rsid w:val="00ED21C1"/>
    <w:rsid w:val="00EE5913"/>
    <w:rsid w:val="00EF0500"/>
    <w:rsid w:val="00F20679"/>
    <w:rsid w:val="00F36C16"/>
    <w:rsid w:val="00F475D6"/>
    <w:rsid w:val="00F8262D"/>
    <w:rsid w:val="00FC6623"/>
    <w:rsid w:val="00FE213D"/>
    <w:rsid w:val="08BB62AC"/>
    <w:rsid w:val="28BA5C91"/>
    <w:rsid w:val="2CD66192"/>
    <w:rsid w:val="457A24D5"/>
    <w:rsid w:val="67DF2565"/>
    <w:rsid w:val="6A951775"/>
    <w:rsid w:val="7DC949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link w:val="24"/>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tLeast"/>
      <w:outlineLvl w:val="1"/>
    </w:pPr>
    <w:rPr>
      <w:rFonts w:asciiTheme="majorHAnsi" w:hAnsiTheme="majorHAnsi" w:eastAsiaTheme="majorEastAsia" w:cstheme="majorBidi"/>
      <w:b/>
      <w:bCs/>
      <w:szCs w:val="32"/>
    </w:rPr>
  </w:style>
  <w:style w:type="paragraph" w:styleId="4">
    <w:name w:val="heading 3"/>
    <w:basedOn w:val="5"/>
    <w:next w:val="1"/>
    <w:link w:val="20"/>
    <w:qFormat/>
    <w:uiPriority w:val="0"/>
    <w:pPr>
      <w:spacing w:before="260" w:after="260" w:line="416" w:lineRule="auto"/>
      <w:outlineLvl w:val="2"/>
    </w:pPr>
    <w:rPr>
      <w:rFonts w:ascii="Times New Roman" w:hAnsi="Times New Roman" w:eastAsia="黑体" w:cs="Times New Roman"/>
      <w:b w:val="0"/>
      <w:bCs w:val="0"/>
      <w:sz w:val="32"/>
      <w:szCs w:val="32"/>
    </w:rPr>
  </w:style>
  <w:style w:type="paragraph" w:styleId="5">
    <w:name w:val="heading 4"/>
    <w:basedOn w:val="1"/>
    <w:next w:val="1"/>
    <w:link w:val="23"/>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pPr>
    <w:rPr>
      <w:sz w:val="24"/>
      <w:szCs w:val="20"/>
    </w:rPr>
  </w:style>
  <w:style w:type="paragraph" w:styleId="7">
    <w:name w:val="Body Text"/>
    <w:basedOn w:val="1"/>
    <w:link w:val="21"/>
    <w:uiPriority w:val="0"/>
    <w:pPr>
      <w:autoSpaceDE w:val="0"/>
      <w:autoSpaceDN w:val="0"/>
      <w:adjustRightInd w:val="0"/>
      <w:jc w:val="left"/>
    </w:pPr>
    <w:rPr>
      <w:rFonts w:ascii="宋体" w:hAnsi="Times New Roman" w:eastAsiaTheme="minorEastAsia" w:cstheme="minorBidi"/>
      <w:sz w:val="28"/>
    </w:rPr>
  </w:style>
  <w:style w:type="paragraph" w:styleId="8">
    <w:name w:val="toc 3"/>
    <w:basedOn w:val="1"/>
    <w:next w:val="1"/>
    <w:unhideWhenUsed/>
    <w:qFormat/>
    <w:uiPriority w:val="39"/>
    <w:pPr>
      <w:widowControl/>
      <w:spacing w:after="100" w:line="259" w:lineRule="auto"/>
      <w:ind w:left="440" w:firstLine="0" w:firstLineChars="0"/>
      <w:jc w:val="left"/>
    </w:pPr>
    <w:rPr>
      <w:rFonts w:asciiTheme="minorHAnsi" w:hAnsiTheme="minorHAnsi" w:eastAsiaTheme="minorEastAsia"/>
      <w:kern w:val="0"/>
      <w:sz w:val="22"/>
    </w:rPr>
  </w:style>
  <w:style w:type="paragraph" w:styleId="9">
    <w:name w:val="Balloon Text"/>
    <w:basedOn w:val="1"/>
    <w:link w:val="27"/>
    <w:semiHidden/>
    <w:unhideWhenUsed/>
    <w:qFormat/>
    <w:uiPriority w:val="99"/>
    <w:pPr>
      <w:spacing w:line="240" w:lineRule="auto"/>
    </w:pPr>
    <w:rPr>
      <w:sz w:val="18"/>
      <w:szCs w:val="18"/>
    </w:rPr>
  </w:style>
  <w:style w:type="paragraph" w:styleId="10">
    <w:name w:val="footer"/>
    <w:basedOn w:val="1"/>
    <w:link w:val="26"/>
    <w:unhideWhenUsed/>
    <w:qFormat/>
    <w:uiPriority w:val="99"/>
    <w:pPr>
      <w:tabs>
        <w:tab w:val="center" w:pos="4153"/>
        <w:tab w:val="right" w:pos="8306"/>
      </w:tabs>
      <w:snapToGrid w:val="0"/>
      <w:spacing w:line="240" w:lineRule="atLeast"/>
      <w:jc w:val="left"/>
    </w:pPr>
    <w:rPr>
      <w:sz w:val="18"/>
      <w:szCs w:val="18"/>
    </w:rPr>
  </w:style>
  <w:style w:type="paragraph" w:styleId="11">
    <w:name w:val="header"/>
    <w:basedOn w:val="1"/>
    <w:link w:val="25"/>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2">
    <w:name w:val="toc 1"/>
    <w:basedOn w:val="1"/>
    <w:next w:val="1"/>
    <w:unhideWhenUsed/>
    <w:qFormat/>
    <w:uiPriority w:val="39"/>
    <w:pPr>
      <w:widowControl/>
      <w:spacing w:after="100" w:line="259" w:lineRule="auto"/>
      <w:ind w:firstLine="0" w:firstLineChars="0"/>
      <w:jc w:val="left"/>
    </w:pPr>
    <w:rPr>
      <w:rFonts w:asciiTheme="minorHAnsi" w:hAnsiTheme="minorHAnsi" w:eastAsiaTheme="minorEastAsia"/>
      <w:kern w:val="0"/>
      <w:sz w:val="22"/>
    </w:rPr>
  </w:style>
  <w:style w:type="paragraph" w:styleId="13">
    <w:name w:val="toc 2"/>
    <w:basedOn w:val="1"/>
    <w:next w:val="1"/>
    <w:unhideWhenUsed/>
    <w:qFormat/>
    <w:uiPriority w:val="39"/>
    <w:pPr>
      <w:widowControl/>
      <w:spacing w:after="100" w:line="259" w:lineRule="auto"/>
      <w:ind w:left="220" w:firstLine="0" w:firstLineChars="0"/>
      <w:jc w:val="left"/>
    </w:pPr>
    <w:rPr>
      <w:rFonts w:asciiTheme="minorHAnsi" w:hAnsiTheme="minorHAnsi" w:eastAsiaTheme="minorEastAsia"/>
      <w:kern w:val="0"/>
      <w:sz w:val="22"/>
    </w:rPr>
  </w:style>
  <w:style w:type="paragraph" w:styleId="14">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16">
    <w:name w:val="Table Grid"/>
    <w:basedOn w:val="15"/>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Emphasis"/>
    <w:basedOn w:val="17"/>
    <w:qFormat/>
    <w:uiPriority w:val="20"/>
    <w:rPr>
      <w:i/>
      <w:iCs/>
    </w:rPr>
  </w:style>
  <w:style w:type="character" w:styleId="19">
    <w:name w:val="Hyperlink"/>
    <w:unhideWhenUsed/>
    <w:qFormat/>
    <w:uiPriority w:val="99"/>
    <w:rPr>
      <w:color w:val="0563C1"/>
      <w:u w:val="single"/>
    </w:rPr>
  </w:style>
  <w:style w:type="character" w:customStyle="1" w:styleId="20">
    <w:name w:val="标题 3 Char"/>
    <w:basedOn w:val="17"/>
    <w:link w:val="4"/>
    <w:qFormat/>
    <w:uiPriority w:val="0"/>
    <w:rPr>
      <w:rFonts w:ascii="Times New Roman" w:hAnsi="Times New Roman" w:eastAsia="黑体" w:cs="Times New Roman"/>
      <w:sz w:val="32"/>
      <w:szCs w:val="32"/>
    </w:rPr>
  </w:style>
  <w:style w:type="character" w:customStyle="1" w:styleId="21">
    <w:name w:val="正文文本 Char"/>
    <w:link w:val="7"/>
    <w:qFormat/>
    <w:uiPriority w:val="0"/>
    <w:rPr>
      <w:rFonts w:ascii="宋体" w:hAnsi="Times New Roman"/>
      <w:sz w:val="28"/>
    </w:rPr>
  </w:style>
  <w:style w:type="character" w:customStyle="1" w:styleId="22">
    <w:name w:val="正文文本 字符1"/>
    <w:basedOn w:val="17"/>
    <w:semiHidden/>
    <w:qFormat/>
    <w:uiPriority w:val="99"/>
    <w:rPr>
      <w:rFonts w:ascii="Calibri" w:hAnsi="Calibri" w:eastAsia="仿宋_GB2312" w:cs="Times New Roman"/>
      <w:sz w:val="32"/>
    </w:rPr>
  </w:style>
  <w:style w:type="character" w:customStyle="1" w:styleId="23">
    <w:name w:val="标题 4 Char"/>
    <w:basedOn w:val="17"/>
    <w:link w:val="5"/>
    <w:qFormat/>
    <w:uiPriority w:val="9"/>
    <w:rPr>
      <w:rFonts w:asciiTheme="majorHAnsi" w:hAnsiTheme="majorHAnsi" w:eastAsiaTheme="majorEastAsia" w:cstheme="majorBidi"/>
      <w:b/>
      <w:bCs/>
      <w:sz w:val="28"/>
      <w:szCs w:val="28"/>
    </w:rPr>
  </w:style>
  <w:style w:type="character" w:customStyle="1" w:styleId="24">
    <w:name w:val="标题 1 Char"/>
    <w:basedOn w:val="17"/>
    <w:link w:val="2"/>
    <w:qFormat/>
    <w:uiPriority w:val="9"/>
    <w:rPr>
      <w:rFonts w:ascii="Calibri" w:hAnsi="Calibri" w:eastAsia="仿宋_GB2312" w:cs="Times New Roman"/>
      <w:b/>
      <w:bCs/>
      <w:kern w:val="44"/>
      <w:sz w:val="44"/>
      <w:szCs w:val="44"/>
    </w:rPr>
  </w:style>
  <w:style w:type="character" w:customStyle="1" w:styleId="25">
    <w:name w:val="页眉 Char"/>
    <w:basedOn w:val="17"/>
    <w:link w:val="11"/>
    <w:uiPriority w:val="99"/>
    <w:rPr>
      <w:rFonts w:ascii="Calibri" w:hAnsi="Calibri" w:eastAsia="仿宋_GB2312" w:cs="Times New Roman"/>
      <w:sz w:val="18"/>
      <w:szCs w:val="18"/>
    </w:rPr>
  </w:style>
  <w:style w:type="character" w:customStyle="1" w:styleId="26">
    <w:name w:val="页脚 Char"/>
    <w:basedOn w:val="17"/>
    <w:link w:val="10"/>
    <w:qFormat/>
    <w:uiPriority w:val="99"/>
    <w:rPr>
      <w:rFonts w:ascii="Calibri" w:hAnsi="Calibri" w:eastAsia="仿宋_GB2312" w:cs="Times New Roman"/>
      <w:sz w:val="18"/>
      <w:szCs w:val="18"/>
    </w:rPr>
  </w:style>
  <w:style w:type="character" w:customStyle="1" w:styleId="27">
    <w:name w:val="批注框文本 Char"/>
    <w:basedOn w:val="17"/>
    <w:link w:val="9"/>
    <w:semiHidden/>
    <w:qFormat/>
    <w:uiPriority w:val="99"/>
    <w:rPr>
      <w:rFonts w:ascii="Calibri" w:hAnsi="Calibri" w:eastAsia="仿宋_GB2312" w:cs="Times New Roman"/>
      <w:sz w:val="18"/>
      <w:szCs w:val="18"/>
    </w:rPr>
  </w:style>
  <w:style w:type="paragraph" w:styleId="28">
    <w:name w:val="List Paragraph"/>
    <w:basedOn w:val="1"/>
    <w:qFormat/>
    <w:uiPriority w:val="34"/>
    <w:pPr>
      <w:ind w:firstLine="420"/>
    </w:pPr>
  </w:style>
  <w:style w:type="character" w:customStyle="1" w:styleId="29">
    <w:name w:val="标题 2 Char"/>
    <w:basedOn w:val="17"/>
    <w:link w:val="3"/>
    <w:qFormat/>
    <w:uiPriority w:val="9"/>
    <w:rPr>
      <w:rFonts w:asciiTheme="majorHAnsi" w:hAnsiTheme="majorHAnsi" w:eastAsiaTheme="majorEastAsia" w:cstheme="majorBidi"/>
      <w:b/>
      <w:bCs/>
      <w:sz w:val="32"/>
      <w:szCs w:val="32"/>
    </w:rPr>
  </w:style>
  <w:style w:type="paragraph" w:customStyle="1" w:styleId="30">
    <w:name w:val="样式1"/>
    <w:basedOn w:val="1"/>
    <w:link w:val="32"/>
    <w:qFormat/>
    <w:uiPriority w:val="0"/>
    <w:pPr>
      <w:ind w:left="640" w:firstLine="560"/>
    </w:pPr>
    <w:rPr>
      <w:rFonts w:ascii="仿宋" w:hAnsi="仿宋" w:eastAsia="仿宋"/>
      <w:sz w:val="28"/>
    </w:rPr>
  </w:style>
  <w:style w:type="paragraph" w:customStyle="1" w:styleId="31">
    <w:name w:val="列出段落1"/>
    <w:basedOn w:val="1"/>
    <w:qFormat/>
    <w:uiPriority w:val="34"/>
    <w:pPr>
      <w:spacing w:line="240" w:lineRule="auto"/>
      <w:ind w:firstLine="420"/>
    </w:pPr>
    <w:rPr>
      <w:rFonts w:eastAsia="宋体" w:cs="黑体"/>
      <w:sz w:val="21"/>
    </w:rPr>
  </w:style>
  <w:style w:type="character" w:customStyle="1" w:styleId="32">
    <w:name w:val="样式1 字符"/>
    <w:basedOn w:val="17"/>
    <w:link w:val="30"/>
    <w:qFormat/>
    <w:uiPriority w:val="0"/>
    <w:rPr>
      <w:rFonts w:ascii="仿宋" w:hAnsi="仿宋" w:eastAsia="仿宋" w:cs="Times New Roman"/>
      <w:sz w:val="28"/>
    </w:rPr>
  </w:style>
  <w:style w:type="paragraph" w:customStyle="1" w:styleId="33">
    <w:name w:val="TOC Heading"/>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49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E603A3-12B9-425A-871E-26FBBC6C524C}">
  <ds:schemaRefs/>
</ds:datastoreItem>
</file>

<file path=docProps/app.xml><?xml version="1.0" encoding="utf-8"?>
<Properties xmlns="http://schemas.openxmlformats.org/officeDocument/2006/extended-properties" xmlns:vt="http://schemas.openxmlformats.org/officeDocument/2006/docPropsVTypes">
  <Template>Normal</Template>
  <Pages>4</Pages>
  <Words>285</Words>
  <Characters>1629</Characters>
  <Lines>13</Lines>
  <Paragraphs>3</Paragraphs>
  <TotalTime>5</TotalTime>
  <ScaleCrop>false</ScaleCrop>
  <LinksUpToDate>false</LinksUpToDate>
  <CharactersWithSpaces>1911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2018-05-09T03:00:00Z</dcterms:created>
  <dc:creator>beautiful.soulxjx@outlook.com</dc:creator>
  <cp:lastModifiedBy>阿营</cp:lastModifiedBy>
  <cp:lastPrinted>2018-05-10T07:50:00Z</cp:lastPrinted>
  <dcterms:modified xsi:type="dcterms:W3CDTF">2022-04-20T06:26:24Z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DAD51D7FEBD042BB972B2649E19BF66E</vt:lpwstr>
  </property>
</Properties>
</file>