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关于起草《深圳前海深港现代服务业合作区促进商贸物流业高质量发展办法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（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征求意见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稿）》的说明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为贯彻落实《全面深化前海深港现代服务业合作区改革开放方案》精神，促进深圳前海深港现代服务业合作区（以下简称“前海合作区”）贸易、现代物流、航运服务、商业高质量发展，结合前海实际，</w:t>
      </w:r>
      <w:r>
        <w:rPr>
          <w:rFonts w:hint="default" w:ascii="仿宋_GB2312" w:eastAsia="仿宋_GB2312"/>
          <w:color w:val="auto"/>
          <w:sz w:val="32"/>
          <w:szCs w:val="32"/>
        </w:rPr>
        <w:t>前海管理局研究起</w:t>
      </w:r>
      <w:r>
        <w:rPr>
          <w:rFonts w:hint="eastAsia" w:ascii="仿宋_GB2312" w:eastAsia="仿宋_GB2312"/>
          <w:color w:val="auto"/>
          <w:sz w:val="32"/>
          <w:szCs w:val="32"/>
        </w:rPr>
        <w:t>草了《深圳前海深港现代服务业合作区促进商贸物流业高质量发展办法（</w:t>
      </w:r>
      <w:r>
        <w:rPr>
          <w:rFonts w:hint="default" w:ascii="仿宋_GB2312" w:eastAsia="仿宋_GB2312"/>
          <w:color w:val="auto"/>
          <w:sz w:val="32"/>
          <w:szCs w:val="32"/>
        </w:rPr>
        <w:t>征求意见</w:t>
      </w:r>
      <w:r>
        <w:rPr>
          <w:rFonts w:hint="eastAsia" w:ascii="仿宋_GB2312" w:eastAsia="仿宋_GB2312"/>
          <w:color w:val="auto"/>
          <w:sz w:val="32"/>
          <w:szCs w:val="32"/>
        </w:rPr>
        <w:t>稿）》（以下简称“《办法》”）</w:t>
      </w:r>
      <w:r>
        <w:rPr>
          <w:rFonts w:hint="default" w:ascii="仿宋_GB2312" w:eastAsia="仿宋_GB2312"/>
          <w:color w:val="auto"/>
          <w:sz w:val="32"/>
          <w:szCs w:val="32"/>
        </w:rPr>
        <w:t>。现将有关情况说明</w:t>
      </w:r>
      <w:r>
        <w:rPr>
          <w:rFonts w:hint="eastAsia" w:ascii="仿宋_GB2312" w:eastAsia="仿宋_GB2312"/>
          <w:color w:val="auto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ascii="黑体" w:hAnsi="黑体" w:eastAsia="黑体"/>
          <w:color w:val="auto"/>
          <w:sz w:val="32"/>
          <w:szCs w:val="32"/>
        </w:rPr>
        <w:t>起草背景</w:t>
      </w:r>
    </w:p>
    <w:p>
      <w:pPr>
        <w:spacing w:line="560" w:lineRule="exact"/>
        <w:ind w:firstLine="642" w:firstLineChars="200"/>
        <w:rPr>
          <w:rFonts w:ascii="楷体_GB2312" w:hAnsi="楷体" w:eastAsia="楷体_GB2312" w:cs="楷体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kern w:val="0"/>
          <w:sz w:val="32"/>
          <w:szCs w:val="32"/>
        </w:rPr>
        <w:t>（一）是推动前海形成“国内国际双循环新发展格局”的重要举措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  <w:t>习近平总书记提出要“逐步形成以国内大循环为主体、国内国际双循环相互促进的新发展格局”。本《办法》支持产业范围包括与“国际循环”紧密相关的</w:t>
      </w:r>
      <w:r>
        <w:rPr>
          <w:rFonts w:hint="eastAsia" w:ascii="仿宋_GB2312" w:eastAsia="仿宋_GB2312"/>
          <w:color w:val="auto"/>
          <w:sz w:val="32"/>
          <w:szCs w:val="32"/>
        </w:rPr>
        <w:t>贸易、现代物流、航运服务等，在新冠疫情背景下，从收入端、成本端多元予以企业发展支持，保障“国际循环”畅通；《办法》</w:t>
      </w: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  <w:t>从前海商业发展实际出发，对批发零售企业、商业运营主体、商户及电商直播予以支持，有利于缓解前海人气不足问题，营造浓厚商业氛围，推动形成</w:t>
      </w:r>
      <w:r>
        <w:rPr>
          <w:rFonts w:hint="eastAsia" w:ascii="仿宋_GB2312" w:eastAsia="仿宋_GB2312"/>
          <w:color w:val="auto"/>
          <w:sz w:val="32"/>
          <w:szCs w:val="32"/>
        </w:rPr>
        <w:t>“国内国际双循环”</w:t>
      </w: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推动优质增量注入，支持存量做强做大，形成产业集聚。</w:t>
      </w:r>
    </w:p>
    <w:p>
      <w:pPr>
        <w:spacing w:line="560" w:lineRule="exact"/>
        <w:ind w:firstLine="642" w:firstLineChars="200"/>
        <w:rPr>
          <w:rFonts w:ascii="楷体_GB2312" w:hAnsi="楷体" w:eastAsia="楷体_GB2312" w:cs="楷体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kern w:val="0"/>
          <w:sz w:val="32"/>
          <w:szCs w:val="32"/>
        </w:rPr>
        <w:t>（二）</w:t>
      </w:r>
      <w:r>
        <w:rPr>
          <w:rFonts w:hint="default" w:ascii="楷体_GB2312" w:hAnsi="楷体" w:eastAsia="楷体_GB2312" w:cs="楷体"/>
          <w:b/>
          <w:color w:val="auto"/>
          <w:kern w:val="0"/>
          <w:sz w:val="32"/>
          <w:szCs w:val="32"/>
        </w:rPr>
        <w:t>是促进</w:t>
      </w:r>
      <w:r>
        <w:rPr>
          <w:rFonts w:hint="eastAsia" w:ascii="楷体_GB2312" w:hAnsi="楷体" w:eastAsia="楷体_GB2312" w:cs="楷体"/>
          <w:b/>
          <w:color w:val="auto"/>
          <w:kern w:val="0"/>
          <w:sz w:val="32"/>
          <w:szCs w:val="32"/>
        </w:rPr>
        <w:t>前海外贸</w:t>
      </w:r>
      <w:r>
        <w:rPr>
          <w:rFonts w:hint="default" w:ascii="楷体_GB2312" w:hAnsi="楷体" w:eastAsia="楷体_GB2312" w:cs="楷体"/>
          <w:b/>
          <w:color w:val="auto"/>
          <w:kern w:val="0"/>
          <w:sz w:val="32"/>
          <w:szCs w:val="32"/>
        </w:rPr>
        <w:t>高质量发展</w:t>
      </w:r>
      <w:r>
        <w:rPr>
          <w:rFonts w:ascii="楷体_GB2312" w:hAnsi="楷体" w:eastAsia="楷体_GB2312" w:cs="楷体"/>
          <w:b/>
          <w:color w:val="auto"/>
          <w:kern w:val="0"/>
          <w:sz w:val="32"/>
          <w:szCs w:val="32"/>
        </w:rPr>
        <w:t>的</w:t>
      </w:r>
      <w:r>
        <w:rPr>
          <w:rFonts w:hint="eastAsia" w:ascii="楷体_GB2312" w:hAnsi="楷体" w:eastAsia="楷体_GB2312" w:cs="楷体"/>
          <w:b/>
          <w:color w:val="auto"/>
          <w:kern w:val="0"/>
          <w:sz w:val="32"/>
          <w:szCs w:val="32"/>
        </w:rPr>
        <w:t>必要之举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商贸</w:t>
      </w:r>
      <w:r>
        <w:rPr>
          <w:rFonts w:hint="eastAsia" w:ascii="仿宋_GB2312" w:eastAsia="仿宋_GB2312"/>
          <w:color w:val="auto"/>
          <w:sz w:val="32"/>
          <w:szCs w:val="32"/>
        </w:rPr>
        <w:t>物流是前海第二大产业。受新冠疫情、中美</w:t>
      </w:r>
      <w:r>
        <w:rPr>
          <w:rFonts w:ascii="仿宋_GB2312" w:eastAsia="仿宋_GB2312"/>
          <w:color w:val="auto"/>
          <w:sz w:val="32"/>
          <w:szCs w:val="32"/>
        </w:rPr>
        <w:t>贸易摩擦</w:t>
      </w:r>
      <w:r>
        <w:rPr>
          <w:rFonts w:hint="eastAsia" w:ascii="仿宋_GB2312" w:eastAsia="仿宋_GB2312"/>
          <w:color w:val="auto"/>
          <w:sz w:val="32"/>
          <w:szCs w:val="32"/>
        </w:rPr>
        <w:t>等宏观环境影响，前海外贸形势较为严峻，</w:t>
      </w:r>
      <w:r>
        <w:rPr>
          <w:rFonts w:ascii="仿宋_GB2312" w:eastAsia="仿宋_GB2312"/>
          <w:color w:val="auto"/>
          <w:sz w:val="32"/>
          <w:szCs w:val="32"/>
        </w:rPr>
        <w:t>2021</w:t>
      </w:r>
      <w:r>
        <w:rPr>
          <w:rFonts w:hint="eastAsia" w:ascii="仿宋_GB2312" w:eastAsia="仿宋_GB2312"/>
          <w:color w:val="auto"/>
          <w:sz w:val="32"/>
          <w:szCs w:val="32"/>
        </w:rPr>
        <w:t>年1</w:t>
      </w:r>
      <w:r>
        <w:rPr>
          <w:rFonts w:ascii="仿宋_GB2312" w:eastAsia="仿宋_GB2312"/>
          <w:color w:val="auto"/>
          <w:sz w:val="32"/>
          <w:szCs w:val="32"/>
        </w:rPr>
        <w:t>-10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前海综合保税区外贸进出口额</w:t>
      </w:r>
      <w:r>
        <w:rPr>
          <w:rFonts w:hint="default" w:ascii="仿宋_GB2312" w:eastAsia="仿宋_GB2312"/>
          <w:color w:val="auto"/>
          <w:sz w:val="32"/>
          <w:szCs w:val="32"/>
        </w:rPr>
        <w:t>同比下降</w:t>
      </w:r>
      <w:r>
        <w:rPr>
          <w:rFonts w:ascii="仿宋_GB2312" w:eastAsia="仿宋_GB2312"/>
          <w:color w:val="auto"/>
          <w:sz w:val="32"/>
          <w:szCs w:val="32"/>
        </w:rPr>
        <w:t>6.0%，直至</w:t>
      </w:r>
      <w:r>
        <w:rPr>
          <w:rFonts w:hint="default" w:ascii="仿宋_GB2312" w:eastAsia="仿宋_GB2312"/>
          <w:color w:val="auto"/>
          <w:sz w:val="32"/>
          <w:szCs w:val="32"/>
        </w:rPr>
        <w:t>11月才转为正增长</w:t>
      </w:r>
      <w:r>
        <w:rPr>
          <w:rFonts w:hint="eastAsia" w:ascii="仿宋_GB2312" w:eastAsia="仿宋_GB2312"/>
          <w:color w:val="auto"/>
          <w:sz w:val="32"/>
          <w:szCs w:val="32"/>
        </w:rPr>
        <w:t>。目前，全球</w:t>
      </w:r>
      <w:r>
        <w:rPr>
          <w:rFonts w:ascii="仿宋_GB2312" w:eastAsia="仿宋_GB2312"/>
          <w:color w:val="auto"/>
          <w:sz w:val="32"/>
          <w:szCs w:val="32"/>
        </w:rPr>
        <w:t>范围内</w:t>
      </w:r>
      <w:r>
        <w:rPr>
          <w:rFonts w:hint="eastAsia" w:ascii="仿宋_GB2312" w:eastAsia="仿宋_GB2312"/>
          <w:color w:val="auto"/>
          <w:sz w:val="32"/>
          <w:szCs w:val="32"/>
        </w:rPr>
        <w:t>疫情的持续性、广泛性、反复性等特征</w:t>
      </w:r>
      <w:r>
        <w:rPr>
          <w:rFonts w:ascii="仿宋_GB2312" w:eastAsia="仿宋_GB2312"/>
          <w:color w:val="auto"/>
          <w:sz w:val="32"/>
          <w:szCs w:val="32"/>
        </w:rPr>
        <w:t>依然存在</w:t>
      </w:r>
      <w:r>
        <w:rPr>
          <w:rFonts w:hint="eastAsia" w:ascii="仿宋_GB2312" w:eastAsia="仿宋_GB2312"/>
          <w:color w:val="auto"/>
          <w:sz w:val="32"/>
          <w:szCs w:val="32"/>
        </w:rPr>
        <w:t>，对国际贸易形势</w:t>
      </w:r>
      <w:r>
        <w:rPr>
          <w:rFonts w:ascii="仿宋_GB2312" w:eastAsia="仿宋_GB2312"/>
          <w:color w:val="auto"/>
          <w:sz w:val="32"/>
          <w:szCs w:val="32"/>
        </w:rPr>
        <w:t>影响</w:t>
      </w:r>
      <w:r>
        <w:rPr>
          <w:rFonts w:hint="eastAsia" w:ascii="仿宋_GB2312" w:eastAsia="仿宋_GB2312"/>
          <w:color w:val="auto"/>
          <w:sz w:val="32"/>
          <w:szCs w:val="32"/>
        </w:rPr>
        <w:t>较大；同时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中美</w:t>
      </w:r>
      <w:r>
        <w:rPr>
          <w:rFonts w:ascii="仿宋_GB2312" w:eastAsia="仿宋_GB2312"/>
          <w:color w:val="auto"/>
          <w:sz w:val="32"/>
          <w:szCs w:val="32"/>
        </w:rPr>
        <w:t>贸易摩擦对</w:t>
      </w:r>
      <w:r>
        <w:rPr>
          <w:rFonts w:hint="eastAsia" w:ascii="仿宋_GB2312" w:eastAsia="仿宋_GB2312"/>
          <w:color w:val="auto"/>
          <w:sz w:val="32"/>
          <w:szCs w:val="32"/>
        </w:rPr>
        <w:t>前海电子芯片进口业务的</w:t>
      </w:r>
      <w:r>
        <w:rPr>
          <w:rFonts w:ascii="仿宋_GB2312" w:eastAsia="仿宋_GB2312"/>
          <w:color w:val="auto"/>
          <w:sz w:val="32"/>
          <w:szCs w:val="32"/>
        </w:rPr>
        <w:t>影响</w:t>
      </w:r>
      <w:r>
        <w:rPr>
          <w:rFonts w:hint="eastAsia" w:ascii="仿宋_GB2312" w:eastAsia="仿宋_GB2312"/>
          <w:color w:val="auto"/>
          <w:sz w:val="32"/>
          <w:szCs w:val="32"/>
        </w:rPr>
        <w:t>在短时间内未能撤除，前海稳外贸压力凸显。为贯彻</w:t>
      </w:r>
      <w:r>
        <w:rPr>
          <w:rFonts w:ascii="仿宋_GB2312" w:eastAsia="仿宋_GB2312"/>
          <w:color w:val="auto"/>
          <w:sz w:val="32"/>
          <w:szCs w:val="32"/>
        </w:rPr>
        <w:t>落实</w:t>
      </w:r>
      <w:r>
        <w:rPr>
          <w:rFonts w:hint="eastAsia" w:ascii="仿宋_GB2312" w:eastAsia="仿宋_GB2312"/>
          <w:color w:val="auto"/>
          <w:sz w:val="32"/>
          <w:szCs w:val="32"/>
        </w:rPr>
        <w:t>《国务院关于促进综合保税区高水平开放高质量发展的若干意见》（国发〔2019〕3号），发挥综合保税区作为我国开放型经济发展的载体</w:t>
      </w:r>
      <w:r>
        <w:rPr>
          <w:rFonts w:ascii="仿宋_GB2312" w:eastAsia="仿宋_GB2312"/>
          <w:color w:val="auto"/>
          <w:sz w:val="32"/>
          <w:szCs w:val="32"/>
        </w:rPr>
        <w:t>作用</w:t>
      </w:r>
      <w:r>
        <w:rPr>
          <w:rFonts w:hint="eastAsia" w:ascii="仿宋_GB2312" w:eastAsia="仿宋_GB2312"/>
          <w:color w:val="auto"/>
          <w:sz w:val="32"/>
          <w:szCs w:val="32"/>
        </w:rPr>
        <w:t>，拟</w:t>
      </w:r>
      <w:r>
        <w:rPr>
          <w:rFonts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</w:rPr>
        <w:t>制定政策引导产业转型升级，进一步支持进出口</w:t>
      </w:r>
      <w:r>
        <w:rPr>
          <w:rFonts w:ascii="仿宋_GB2312" w:eastAsia="仿宋_GB2312"/>
          <w:color w:val="auto"/>
          <w:sz w:val="32"/>
          <w:szCs w:val="32"/>
        </w:rPr>
        <w:t>贸易、</w:t>
      </w:r>
      <w:r>
        <w:rPr>
          <w:rFonts w:hint="eastAsia" w:ascii="仿宋_GB2312" w:eastAsia="仿宋_GB2312"/>
          <w:color w:val="auto"/>
          <w:sz w:val="32"/>
          <w:szCs w:val="32"/>
        </w:rPr>
        <w:t>跨境电商、保税维修、保税研发、保税展示等新业态，</w:t>
      </w:r>
      <w:r>
        <w:rPr>
          <w:rFonts w:hint="default" w:ascii="仿宋_GB2312" w:hAnsi="仿宋" w:eastAsia="仿宋_GB2312" w:cs="Times New Roman"/>
          <w:sz w:val="32"/>
          <w:szCs w:val="32"/>
        </w:rPr>
        <w:t>重点打造电子元器件、高端消费品产业集群，</w:t>
      </w:r>
      <w:r>
        <w:rPr>
          <w:rFonts w:hint="eastAsia" w:ascii="仿宋_GB2312" w:eastAsia="仿宋_GB2312"/>
          <w:color w:val="auto"/>
          <w:sz w:val="32"/>
          <w:szCs w:val="32"/>
        </w:rPr>
        <w:t>建设创新高地，推动前海现代物流业高质量</w:t>
      </w:r>
      <w:r>
        <w:rPr>
          <w:rFonts w:ascii="仿宋_GB2312" w:eastAsia="仿宋_GB2312"/>
          <w:color w:val="auto"/>
          <w:sz w:val="32"/>
          <w:szCs w:val="32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楷体_GB2312" w:hAnsi="楷体" w:eastAsia="楷体_GB2312" w:cs="楷体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kern w:val="0"/>
          <w:sz w:val="32"/>
          <w:szCs w:val="32"/>
        </w:rPr>
        <w:t>（三）是前海打造国际消费中心核心商圈的重要驱动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过去十年前海处于大规模基建阶段，可用商业发展空间及</w:t>
      </w:r>
      <w:r>
        <w:rPr>
          <w:rFonts w:hint="eastAsia" w:ascii="仿宋_GB2312" w:hAnsi="仿宋" w:eastAsia="仿宋_GB2312" w:cstheme="minorBidi"/>
          <w:color w:val="auto"/>
          <w:sz w:val="32"/>
          <w:szCs w:val="32"/>
        </w:rPr>
        <w:t>消费人流集聚效应不足，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写字楼的裙房商业体量相对较小，大型商业有效空间未能得到释放，仅满足基本商务需求，高端商务需求及大型集中商业的供应缺失。同时，受新冠疫情影响，商家拓店意向趋于谨慎，人流不足、经营成本高、集聚效应不强等问题动摇商业运营主体及商户入市的决心。为更好地推动前海合作区商业发展，支持前海打造国际消费中心城市核心商圈，通过政府出台商业发展支持政策，为市场注入活力，增强市场主体信心。</w:t>
      </w:r>
      <w:r>
        <w:rPr>
          <w:rFonts w:hint="eastAsia" w:ascii="仿宋_GB2312" w:eastAsia="仿宋_GB2312"/>
          <w:color w:val="auto"/>
          <w:sz w:val="32"/>
          <w:szCs w:val="32"/>
        </w:rPr>
        <w:t>以政策为引导，以前海合作区扩区为契机，激发原前海合作区商圈活力，形成区域联动发展，促进双循环消费体系的形成，共同为深圳市建设国际消费中心城市贡献力量。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二、重点条文说明</w:t>
      </w:r>
    </w:p>
    <w:p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Calibri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《办法》分为总则、贸易物流发展支持、航运发展支持、商业发展支持、其他支持、申请</w:t>
      </w:r>
      <w:r>
        <w:rPr>
          <w:rFonts w:ascii="仿宋_GB2312" w:eastAsia="仿宋_GB2312"/>
          <w:color w:val="auto"/>
          <w:sz w:val="32"/>
          <w:szCs w:val="32"/>
        </w:rPr>
        <w:t>与审核</w:t>
      </w:r>
      <w:r>
        <w:rPr>
          <w:rFonts w:hint="eastAsia" w:ascii="仿宋_GB2312" w:eastAsia="仿宋_GB2312"/>
          <w:color w:val="auto"/>
          <w:sz w:val="32"/>
          <w:szCs w:val="32"/>
        </w:rPr>
        <w:t>、监督管理、附则共八章，合计</w:t>
      </w:r>
      <w:r>
        <w:rPr>
          <w:rFonts w:hint="default" w:ascii="仿宋_GB2312" w:eastAsia="仿宋_GB2312"/>
          <w:color w:val="auto"/>
          <w:sz w:val="32"/>
          <w:szCs w:val="32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条，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明确了支持范围与对象、支持标准、申请流程、审核</w:t>
      </w:r>
      <w:r>
        <w:rPr>
          <w:rFonts w:ascii="仿宋_GB2312" w:hAnsi="Times New Roman" w:eastAsia="仿宋_GB2312"/>
          <w:color w:val="auto"/>
          <w:sz w:val="32"/>
          <w:szCs w:val="32"/>
        </w:rPr>
        <w:t>方式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、责任与管理等内容。《办法》</w:t>
      </w:r>
      <w:r>
        <w:rPr>
          <w:rFonts w:hint="eastAsia" w:ascii="仿宋_GB2312" w:eastAsia="仿宋_GB2312"/>
          <w:color w:val="auto"/>
          <w:sz w:val="32"/>
          <w:szCs w:val="32"/>
        </w:rPr>
        <w:t>设定单家机构年度支持上限为</w:t>
      </w:r>
      <w:r>
        <w:rPr>
          <w:rFonts w:hint="default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000万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商户及个人支持上限为300万元</w:t>
      </w:r>
      <w:r>
        <w:rPr>
          <w:rFonts w:hint="eastAsia" w:ascii="仿宋_GB2312" w:hAnsi="Calibri" w:eastAsia="仿宋_GB2312" w:cs="宋体"/>
          <w:color w:val="auto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（一）贸易物流发展支持</w:t>
      </w:r>
    </w:p>
    <w:p>
      <w:pPr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本章是针对贸易物流企业的支持。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鼓励平台发展，</w:t>
      </w:r>
      <w:r>
        <w:rPr>
          <w:rFonts w:hint="default" w:ascii="仿宋_GB2312" w:eastAsia="仿宋_GB2312"/>
          <w:bCs/>
          <w:color w:val="auto"/>
          <w:sz w:val="32"/>
          <w:szCs w:val="32"/>
        </w:rPr>
        <w:t>大力引进国内外知名电商平台来深设立国际总部或功能性区域中心,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消费平台满足一定条件可予以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最高5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，大宗商品交易平台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则按年度交收金额的0.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%予以支持。</w:t>
      </w:r>
      <w:r>
        <w:rPr>
          <w:rFonts w:hint="default" w:ascii="仿宋_GB2312" w:eastAsia="仿宋_GB2312"/>
          <w:b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支持重点物流企业继续做强做大，包括A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EO高级认证企业、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RCEP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“经核准出口商”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default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  <w:t>三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落实“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国发〔2019〕3号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”有关</w:t>
      </w:r>
      <w:r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  <w:t>精神，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支持保税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研发、保税维修、保税展示等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“保税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+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新业态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的发展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，对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营收不少于10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00万元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的予以20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万元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奖励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。</w:t>
      </w:r>
      <w:r>
        <w:rPr>
          <w:rFonts w:hint="default" w:ascii="仿宋_GB2312" w:hAnsi="仿宋" w:eastAsia="仿宋_GB2312"/>
          <w:b/>
          <w:color w:val="auto"/>
          <w:sz w:val="32"/>
          <w:szCs w:val="32"/>
        </w:rPr>
        <w:t>四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</w:rPr>
        <w:t>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聚焦综合保税区发展，</w:t>
      </w:r>
      <w:r>
        <w:rPr>
          <w:rFonts w:hint="eastAsia" w:ascii="仿宋_GB2312" w:eastAsia="仿宋_GB2312"/>
          <w:color w:val="auto"/>
          <w:sz w:val="32"/>
          <w:szCs w:val="32"/>
        </w:rPr>
        <w:t>引导产业升级，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对租赁综合保税区仓库或办公物业的企业予以</w:t>
      </w:r>
      <w:r>
        <w:rPr>
          <w:rFonts w:hint="default" w:ascii="仿宋_GB2312" w:hAnsi="仿宋" w:eastAsia="仿宋_GB2312"/>
          <w:color w:val="auto"/>
          <w:sz w:val="32"/>
          <w:szCs w:val="32"/>
        </w:rPr>
        <w:t>一定比例的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租金支持，缓解经营压力</w:t>
      </w:r>
      <w:r>
        <w:rPr>
          <w:rFonts w:hint="default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提供仓库智慧化升级改造支持，实际投入总额不少于</w:t>
      </w:r>
      <w:r>
        <w:rPr>
          <w:rFonts w:ascii="仿宋_GB2312" w:eastAsia="仿宋_GB2312"/>
          <w:color w:val="auto"/>
          <w:sz w:val="32"/>
          <w:szCs w:val="32"/>
        </w:rPr>
        <w:t>100万元的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按其实际投入总额的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ascii="仿宋_GB2312" w:eastAsia="仿宋_GB2312"/>
          <w:color w:val="auto"/>
          <w:sz w:val="32"/>
          <w:szCs w:val="32"/>
        </w:rPr>
        <w:t>予以支持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（二）航运发展支持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本章</w:t>
      </w:r>
      <w:r>
        <w:rPr>
          <w:rFonts w:ascii="仿宋_GB2312" w:eastAsia="仿宋_GB2312"/>
          <w:color w:val="auto"/>
          <w:sz w:val="32"/>
          <w:szCs w:val="32"/>
        </w:rPr>
        <w:t>聚焦航运服务业，不追求对航运全链条的巨量投入，针对前海重点发展方向，在与深圳市、前海现有政策体系错位互补的前提下，</w:t>
      </w:r>
      <w:r>
        <w:rPr>
          <w:rFonts w:hint="eastAsia" w:ascii="仿宋_GB2312" w:eastAsia="仿宋_GB2312"/>
          <w:color w:val="auto"/>
          <w:sz w:val="32"/>
          <w:szCs w:val="32"/>
        </w:rPr>
        <w:t>对“</w:t>
      </w:r>
      <w:r>
        <w:rPr>
          <w:rFonts w:ascii="仿宋_GB2312" w:eastAsia="仿宋_GB2312"/>
          <w:color w:val="auto"/>
          <w:sz w:val="32"/>
          <w:szCs w:val="32"/>
        </w:rPr>
        <w:t>中国前海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ascii="仿宋_GB2312" w:eastAsia="仿宋_GB2312"/>
          <w:color w:val="auto"/>
          <w:sz w:val="32"/>
          <w:szCs w:val="32"/>
        </w:rPr>
        <w:t>国际船籍港发展、</w:t>
      </w:r>
      <w:r>
        <w:rPr>
          <w:rFonts w:hint="eastAsia" w:ascii="仿宋_GB2312" w:eastAsia="仿宋_GB2312"/>
          <w:color w:val="auto"/>
          <w:sz w:val="32"/>
          <w:szCs w:val="32"/>
        </w:rPr>
        <w:t>船舶管理、</w:t>
      </w:r>
      <w:r>
        <w:rPr>
          <w:rFonts w:ascii="仿宋_GB2312" w:eastAsia="仿宋_GB2312"/>
          <w:color w:val="auto"/>
          <w:sz w:val="32"/>
          <w:szCs w:val="32"/>
        </w:rPr>
        <w:t>航运人才</w:t>
      </w:r>
      <w:r>
        <w:rPr>
          <w:rFonts w:hint="eastAsia" w:ascii="仿宋_GB2312" w:eastAsia="仿宋_GB2312"/>
          <w:color w:val="auto"/>
          <w:sz w:val="32"/>
          <w:szCs w:val="32"/>
        </w:rPr>
        <w:t>、邮轮游艇等</w:t>
      </w:r>
      <w:r>
        <w:rPr>
          <w:rFonts w:ascii="仿宋_GB2312" w:eastAsia="仿宋_GB2312"/>
          <w:color w:val="auto"/>
          <w:sz w:val="32"/>
          <w:szCs w:val="32"/>
        </w:rPr>
        <w:t>业态进行支持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其中在船服务支持、航运人才支持均为前海首创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国际航运支持，</w:t>
      </w:r>
      <w:r>
        <w:rPr>
          <w:rFonts w:ascii="仿宋_GB2312" w:eastAsia="仿宋_GB2312"/>
          <w:color w:val="auto"/>
          <w:sz w:val="32"/>
          <w:szCs w:val="32"/>
        </w:rPr>
        <w:t>即对登记为</w:t>
      </w:r>
      <w:r>
        <w:rPr>
          <w:rFonts w:hint="eastAsia" w:ascii="仿宋_GB2312" w:eastAsia="仿宋_GB2312"/>
          <w:color w:val="auto"/>
          <w:sz w:val="32"/>
          <w:szCs w:val="32"/>
        </w:rPr>
        <w:t>“中国前海”籍的国际船舶</w:t>
      </w:r>
      <w:r>
        <w:rPr>
          <w:rFonts w:ascii="仿宋_GB2312" w:eastAsia="仿宋_GB2312"/>
          <w:color w:val="auto"/>
          <w:sz w:val="32"/>
          <w:szCs w:val="32"/>
        </w:rPr>
        <w:t>及其在船服务船员给予支持。其中船舶</w:t>
      </w:r>
      <w:r>
        <w:rPr>
          <w:rFonts w:hint="eastAsia" w:ascii="仿宋_GB2312" w:eastAsia="仿宋_GB2312"/>
          <w:color w:val="auto"/>
          <w:sz w:val="32"/>
          <w:szCs w:val="32"/>
        </w:rPr>
        <w:t>按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70元/总吨的标准予以</w:t>
      </w:r>
      <w:r>
        <w:rPr>
          <w:rFonts w:hint="eastAsia" w:ascii="仿宋_GB2312" w:eastAsia="仿宋_GB2312"/>
          <w:color w:val="auto"/>
          <w:sz w:val="32"/>
          <w:szCs w:val="32"/>
        </w:rPr>
        <w:t>注册支持</w:t>
      </w:r>
      <w:r>
        <w:rPr>
          <w:rFonts w:ascii="仿宋_GB2312" w:eastAsia="仿宋_GB2312"/>
          <w:color w:val="auto"/>
          <w:sz w:val="32"/>
          <w:szCs w:val="32"/>
        </w:rPr>
        <w:t>，对在</w:t>
      </w:r>
      <w:r>
        <w:rPr>
          <w:rFonts w:hint="eastAsia" w:ascii="仿宋_GB2312" w:eastAsia="仿宋_GB2312"/>
          <w:color w:val="auto"/>
          <w:sz w:val="32"/>
          <w:szCs w:val="32"/>
        </w:rPr>
        <w:t>“中国前海”</w:t>
      </w:r>
      <w:r>
        <w:rPr>
          <w:rFonts w:ascii="仿宋_GB2312" w:eastAsia="仿宋_GB2312"/>
          <w:color w:val="auto"/>
          <w:sz w:val="32"/>
          <w:szCs w:val="32"/>
        </w:rPr>
        <w:t>籍国际船舶上年度工作满半年以上的船员，按照高级船员2</w:t>
      </w:r>
      <w:r>
        <w:rPr>
          <w:rFonts w:hint="eastAsia" w:ascii="仿宋_GB2312" w:eastAsia="仿宋_GB2312"/>
          <w:color w:val="auto"/>
          <w:sz w:val="32"/>
          <w:szCs w:val="32"/>
        </w:rPr>
        <w:t>万</w:t>
      </w:r>
      <w:r>
        <w:rPr>
          <w:rFonts w:ascii="仿宋_GB2312" w:eastAsia="仿宋_GB2312"/>
          <w:color w:val="auto"/>
          <w:sz w:val="32"/>
          <w:szCs w:val="32"/>
        </w:rPr>
        <w:t>元每人每年、其他船员5000元每人每年的标准予以在船服务支持。</w:t>
      </w:r>
      <w:r>
        <w:rPr>
          <w:rFonts w:ascii="仿宋_GB2312" w:eastAsia="仿宋_GB2312"/>
          <w:b/>
          <w:color w:val="auto"/>
          <w:sz w:val="32"/>
          <w:szCs w:val="32"/>
        </w:rPr>
        <w:t>二是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落实前海建设国际船舶管理中心的战略规划，对开展国际船</w:t>
      </w:r>
      <w:r>
        <w:rPr>
          <w:rFonts w:hint="eastAsia" w:ascii="仿宋_GB2312" w:eastAsia="仿宋_GB2312"/>
          <w:color w:val="auto"/>
          <w:sz w:val="32"/>
          <w:szCs w:val="32"/>
        </w:rPr>
        <w:t>舶管理的</w:t>
      </w:r>
      <w:r>
        <w:rPr>
          <w:rFonts w:ascii="仿宋_GB2312" w:eastAsia="仿宋_GB2312"/>
          <w:color w:val="auto"/>
          <w:sz w:val="32"/>
          <w:szCs w:val="32"/>
        </w:rPr>
        <w:t>前海</w:t>
      </w:r>
      <w:r>
        <w:rPr>
          <w:rFonts w:hint="eastAsia" w:ascii="仿宋_GB2312" w:eastAsia="仿宋_GB2312"/>
          <w:color w:val="auto"/>
          <w:sz w:val="32"/>
          <w:szCs w:val="32"/>
        </w:rPr>
        <w:t>航运服务企业，按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10元/总吨、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最高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100万元的标准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予以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管理支持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。因规模指标可体现船舶管理业态的主要竞争力，故在办法中对营业收入做出基本要求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</w:rPr>
        <w:t>支持邮轮产业，对符合条件的邮轮公司，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按照实缴注册资本的</w:t>
      </w:r>
      <w:r>
        <w:rPr>
          <w:rFonts w:ascii="仿宋_GB2312" w:eastAsia="仿宋_GB2312"/>
          <w:color w:val="auto"/>
          <w:sz w:val="32"/>
          <w:szCs w:val="32"/>
          <w:lang w:bidi="ar"/>
        </w:rPr>
        <w:t>1%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予以</w:t>
      </w:r>
      <w:r>
        <w:rPr>
          <w:rFonts w:ascii="仿宋_GB2312" w:eastAsia="仿宋_GB2312"/>
          <w:color w:val="auto"/>
          <w:sz w:val="32"/>
          <w:szCs w:val="32"/>
          <w:lang w:bidi="ar"/>
        </w:rPr>
        <w:t>一次性支持</w:t>
      </w:r>
      <w:r>
        <w:rPr>
          <w:rFonts w:ascii="仿宋_GB2312" w:eastAsia="仿宋_GB2312"/>
          <w:color w:val="auto"/>
          <w:sz w:val="32"/>
          <w:szCs w:val="32"/>
        </w:rPr>
        <w:t>落户支持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并根据新开辟的航线类型予以航线支持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四是</w:t>
      </w:r>
      <w:r>
        <w:rPr>
          <w:rFonts w:hint="eastAsia" w:ascii="仿宋_GB2312" w:eastAsia="仿宋_GB2312"/>
          <w:color w:val="auto"/>
          <w:sz w:val="32"/>
          <w:szCs w:val="32"/>
        </w:rPr>
        <w:t>为完善前海航运服务产业链条，促进航运规则领域输出创新成果，拟以吸引船级社入驻片区服务为切入点，逐步集聚更为丰富的上下游公共服务机构。故对入区经营的船级社予以一次性开办支持30万元。同时，鼓励船级社拓展业务，与机构营收规模关联设置发展支持。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五是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促进人才发展，对获得</w:t>
      </w:r>
      <w:r>
        <w:rPr>
          <w:rFonts w:hint="eastAsia" w:ascii="仿宋_GB2312" w:eastAsia="仿宋_GB2312"/>
          <w:color w:val="auto"/>
          <w:sz w:val="32"/>
          <w:szCs w:val="32"/>
        </w:rPr>
        <w:t>无限航区一等船长、轮机长适任证书和A类注册验船师证书的人才予以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万元一次性支持。</w:t>
      </w:r>
      <w:r>
        <w:rPr>
          <w:rFonts w:ascii="仿宋_GB2312" w:hAnsi="宋体" w:eastAsia="仿宋_GB2312"/>
          <w:b/>
          <w:color w:val="auto"/>
          <w:kern w:val="0"/>
          <w:sz w:val="32"/>
          <w:szCs w:val="32"/>
        </w:rPr>
        <w:t>六是</w:t>
      </w:r>
      <w:r>
        <w:rPr>
          <w:rFonts w:hint="eastAsia" w:ascii="仿宋_GB2312" w:eastAsia="仿宋_GB2312"/>
          <w:color w:val="auto"/>
          <w:sz w:val="32"/>
          <w:szCs w:val="32"/>
        </w:rPr>
        <w:t>支持游艇相关活动，鼓励游艇消费、游艇文化活动及基础设置完善。具体为：购买大众休闲游艇（不超过600万元）的，按单价的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%予以支持；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</w:rPr>
        <w:t>举办游艇相关展会、社会公益活动等，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或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</w:rPr>
        <w:t>新建游艇泊位、新增专用设施设备、信息化管理平台等，按其费用的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0%予以支持。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（三）商业发展支持</w:t>
      </w:r>
    </w:p>
    <w:p>
      <w:pPr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积极促进原前海合作区商业发展，补齐商业短板，吸引头部商业，抓住“扩区”契机，与南山区、宝安区并联打造前海国际消费中心城市核心商圈，鼓励释放更多的有效商业面积，促进商业运营主体主动作为投入更多资源、做好国内外知名优质品牌商户的招商引资等相关工作，多维度支持区内商业发展，特设“</w:t>
      </w:r>
      <w:r>
        <w:rPr>
          <w:rFonts w:ascii="仿宋_GB2312" w:eastAsia="仿宋_GB2312"/>
          <w:color w:val="auto"/>
          <w:sz w:val="32"/>
          <w:szCs w:val="32"/>
        </w:rPr>
        <w:t>商业</w:t>
      </w:r>
      <w:r>
        <w:rPr>
          <w:rFonts w:hint="eastAsia" w:ascii="仿宋_GB2312" w:eastAsia="仿宋_GB2312"/>
          <w:color w:val="auto"/>
          <w:sz w:val="32"/>
          <w:szCs w:val="32"/>
        </w:rPr>
        <w:t>发展支持”章节。</w:t>
      </w:r>
    </w:p>
    <w:p>
      <w:pPr>
        <w:spacing w:line="560" w:lineRule="exact"/>
        <w:ind w:firstLine="64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以国内批发零售为主营业务且营业收入达到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</w:rPr>
        <w:t>10亿元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的重点企业，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</w:rPr>
        <w:t>按营收的一定比例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予以奖励。</w:t>
      </w:r>
      <w:r>
        <w:rPr>
          <w:rFonts w:hint="eastAsia" w:ascii="仿宋_GB2312" w:hAnsi="仿宋" w:eastAsia="仿宋_GB2312" w:cs="Times New Roman"/>
          <w:b/>
          <w:color w:val="auto"/>
          <w:sz w:val="32"/>
          <w:szCs w:val="32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结合区内商业发展情况，针对新开业</w:t>
      </w:r>
      <w:r>
        <w:rPr>
          <w:rFonts w:hint="default" w:ascii="仿宋_GB2312" w:eastAsia="仿宋_GB2312"/>
          <w:color w:val="auto"/>
          <w:sz w:val="32"/>
          <w:szCs w:val="32"/>
        </w:rPr>
        <w:t>且不少于10000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default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商业规模予以最高不超过</w:t>
      </w:r>
      <w:r>
        <w:rPr>
          <w:rFonts w:hint="default"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00万元的一次性支持。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根据深圳市打造国际消费中心城市的相关精神，支持“首店经济”“首发经济”做大做强，引导国内外知名优质品牌商户开设不同类别的首店，并予以一次性支持。对新开业的国内外知名优质品牌予以</w:t>
      </w:r>
      <w:r>
        <w:rPr>
          <w:rFonts w:hint="default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万元-50万元不等的开业支持，对商户引入香港本土品牌予以每个</w:t>
      </w:r>
      <w:r>
        <w:rPr>
          <w:rFonts w:hint="default" w:ascii="仿宋_GB2312" w:eastAsia="仿宋_GB2312"/>
          <w:color w:val="auto"/>
          <w:sz w:val="32"/>
          <w:szCs w:val="32"/>
        </w:rPr>
        <w:t>品牌</w:t>
      </w:r>
      <w:r>
        <w:rPr>
          <w:rFonts w:hint="eastAsia" w:ascii="仿宋_GB2312" w:eastAsia="仿宋_GB2312"/>
          <w:color w:val="auto"/>
          <w:sz w:val="32"/>
          <w:szCs w:val="32"/>
        </w:rPr>
        <w:t>5000元的支持，积极促进深港合作，促进“双循环”发展。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四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从降低经营成本、吸引增量的角度，对新开业且建筑面积不少于100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的商户</w:t>
      </w:r>
      <w:r>
        <w:rPr>
          <w:rFonts w:hint="default" w:ascii="仿宋_GB2312" w:eastAsia="仿宋_GB2312"/>
          <w:color w:val="auto"/>
          <w:sz w:val="32"/>
          <w:szCs w:val="32"/>
        </w:rPr>
        <w:t>按60元/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default" w:ascii="仿宋_GB2312" w:eastAsia="仿宋_GB2312"/>
          <w:color w:val="auto"/>
          <w:sz w:val="32"/>
          <w:szCs w:val="32"/>
        </w:rPr>
        <w:t>的标准</w:t>
      </w:r>
      <w:r>
        <w:rPr>
          <w:rFonts w:hint="eastAsia" w:ascii="仿宋_GB2312" w:eastAsia="仿宋_GB2312"/>
          <w:color w:val="auto"/>
          <w:sz w:val="32"/>
          <w:szCs w:val="32"/>
        </w:rPr>
        <w:t>予以</w:t>
      </w:r>
      <w:r>
        <w:rPr>
          <w:rFonts w:hint="default" w:ascii="仿宋_GB2312" w:eastAsia="仿宋_GB2312"/>
          <w:color w:val="auto"/>
          <w:sz w:val="32"/>
          <w:szCs w:val="32"/>
        </w:rPr>
        <w:t>一次性开业支持；对2021年、2022年期间新开业的商户分别予以60元/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default" w:ascii="仿宋_GB2312" w:eastAsia="仿宋_GB2312"/>
          <w:color w:val="auto"/>
          <w:sz w:val="32"/>
          <w:szCs w:val="32"/>
        </w:rPr>
        <w:t>/月、40元/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ascii="仿宋_GB2312" w:eastAsia="仿宋_GB2312"/>
          <w:color w:val="auto"/>
          <w:sz w:val="32"/>
          <w:szCs w:val="32"/>
          <w:vertAlign w:val="superscript"/>
        </w:rPr>
        <w:t>2</w:t>
      </w:r>
      <w:r>
        <w:rPr>
          <w:rFonts w:hint="default" w:ascii="仿宋_GB2312" w:eastAsia="仿宋_GB2312"/>
          <w:color w:val="auto"/>
          <w:sz w:val="32"/>
          <w:szCs w:val="32"/>
        </w:rPr>
        <w:t>/月，连续12个月的经营</w:t>
      </w:r>
      <w:r>
        <w:rPr>
          <w:rFonts w:hint="eastAsia" w:ascii="仿宋_GB2312" w:eastAsia="仿宋_GB2312"/>
          <w:color w:val="auto"/>
          <w:sz w:val="32"/>
          <w:szCs w:val="32"/>
        </w:rPr>
        <w:t>支持。对新开业的特定类别商户</w:t>
      </w:r>
      <w:r>
        <w:rPr>
          <w:rFonts w:hint="default" w:ascii="仿宋_GB2312" w:eastAsia="仿宋_GB2312"/>
          <w:color w:val="auto"/>
          <w:sz w:val="32"/>
          <w:szCs w:val="32"/>
        </w:rPr>
        <w:t>如星级酒店、大型零售商户、品质书店等</w:t>
      </w:r>
      <w:r>
        <w:rPr>
          <w:rFonts w:hint="eastAsia" w:ascii="仿宋_GB2312" w:eastAsia="仿宋_GB2312"/>
          <w:color w:val="auto"/>
          <w:sz w:val="32"/>
          <w:szCs w:val="32"/>
        </w:rPr>
        <w:t>给予一次性的开业支持。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五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通过举办</w:t>
      </w:r>
      <w:r>
        <w:rPr>
          <w:rFonts w:hint="default" w:ascii="仿宋_GB2312" w:eastAsia="仿宋_GB2312"/>
          <w:color w:val="auto"/>
          <w:sz w:val="32"/>
          <w:szCs w:val="32"/>
        </w:rPr>
        <w:t>各类促消费相关</w:t>
      </w:r>
      <w:r>
        <w:rPr>
          <w:rFonts w:hint="eastAsia" w:ascii="仿宋_GB2312" w:eastAsia="仿宋_GB2312"/>
          <w:color w:val="auto"/>
          <w:sz w:val="32"/>
          <w:szCs w:val="32"/>
        </w:rPr>
        <w:t>商业活动，</w:t>
      </w:r>
      <w:r>
        <w:rPr>
          <w:rFonts w:hint="default"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</w:rPr>
        <w:t>发放消费券</w:t>
      </w:r>
      <w:r>
        <w:rPr>
          <w:rFonts w:hint="default" w:ascii="仿宋_GB2312" w:eastAsia="仿宋_GB2312"/>
          <w:color w:val="auto"/>
          <w:sz w:val="32"/>
          <w:szCs w:val="32"/>
        </w:rPr>
        <w:t>、数字人民币或其他方式促进消费、培育商业</w:t>
      </w:r>
      <w:r>
        <w:rPr>
          <w:rFonts w:hint="eastAsia" w:ascii="仿宋_GB2312" w:eastAsia="仿宋_GB2312"/>
          <w:color w:val="auto"/>
          <w:sz w:val="32"/>
          <w:szCs w:val="32"/>
        </w:rPr>
        <w:t>，助力前海打造国际城市新中心，形成集聚商圈氛围。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六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同步激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活</w:t>
      </w:r>
      <w:r>
        <w:rPr>
          <w:rFonts w:hint="eastAsia" w:ascii="仿宋_GB2312" w:eastAsia="仿宋_GB2312"/>
          <w:color w:val="auto"/>
          <w:sz w:val="32"/>
          <w:szCs w:val="32"/>
        </w:rPr>
        <w:t>线上商业氛围，支持电商直播新业态发展，鼓励规模化、品牌化，予以电商直播企业经营奖励与品牌建设奖励。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（四）其他支持</w:t>
      </w:r>
    </w:p>
    <w:p>
      <w:pPr>
        <w:spacing w:line="560" w:lineRule="exact"/>
        <w:ind w:firstLine="640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本章</w:t>
      </w:r>
      <w:r>
        <w:rPr>
          <w:rFonts w:hint="default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</w:rPr>
        <w:t>商贸物流业共性支持</w:t>
      </w:r>
      <w:r>
        <w:rPr>
          <w:rFonts w:hint="default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从提高贸易、现代物流、航运服务、商业行业影响力的角度，提出行业标准制定奖励，</w:t>
      </w:r>
      <w:r>
        <w:rPr>
          <w:rFonts w:ascii="仿宋_GB2312" w:eastAsia="仿宋_GB2312"/>
          <w:color w:val="auto"/>
          <w:sz w:val="32"/>
          <w:szCs w:val="32"/>
        </w:rPr>
        <w:t>并对落户前海的</w:t>
      </w:r>
      <w:r>
        <w:rPr>
          <w:rFonts w:hint="eastAsia" w:ascii="仿宋_GB2312" w:eastAsia="仿宋_GB2312"/>
          <w:color w:val="auto"/>
          <w:sz w:val="32"/>
          <w:szCs w:val="32"/>
        </w:rPr>
        <w:t>行业</w:t>
      </w:r>
      <w:r>
        <w:rPr>
          <w:rFonts w:ascii="仿宋_GB2312" w:eastAsia="仿宋_GB2312"/>
          <w:color w:val="auto"/>
          <w:sz w:val="32"/>
          <w:szCs w:val="32"/>
        </w:rPr>
        <w:t>协会予以开办支持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</w:rPr>
        <w:t>为了鼓励商贸物流业集聚发展，</w:t>
      </w:r>
      <w:r>
        <w:rPr>
          <w:rFonts w:hint="default" w:ascii="仿宋_GB2312" w:eastAsia="仿宋_GB2312"/>
          <w:color w:val="auto"/>
          <w:sz w:val="32"/>
          <w:szCs w:val="32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引导企业发挥与综合保税区联动发展的优势，予以前海深港商贸物流基地入驻企业额外5%的综合保税区仓库租金支持。</w:t>
      </w:r>
      <w:r>
        <w:rPr>
          <w:rFonts w:hint="default" w:ascii="仿宋_GB2312" w:eastAsia="仿宋_GB2312"/>
          <w:b/>
          <w:bCs/>
          <w:color w:val="auto"/>
          <w:sz w:val="32"/>
          <w:szCs w:val="32"/>
        </w:rPr>
        <w:t>三是</w:t>
      </w:r>
      <w:r>
        <w:rPr>
          <w:rFonts w:hint="default" w:ascii="仿宋_GB2312" w:eastAsia="仿宋_GB2312"/>
          <w:color w:val="auto"/>
          <w:sz w:val="32"/>
          <w:szCs w:val="32"/>
        </w:rPr>
        <w:t>对年度利润总额不少于1200万元的企业予以团队支持。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4403455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t xml:space="preserve">- </w:t>
        </w: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3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 xml:space="preserve"> 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6"/>
    <w:rsid w:val="000310ED"/>
    <w:rsid w:val="00041B90"/>
    <w:rsid w:val="000570F4"/>
    <w:rsid w:val="0008408C"/>
    <w:rsid w:val="000D75BC"/>
    <w:rsid w:val="001134A5"/>
    <w:rsid w:val="0011753E"/>
    <w:rsid w:val="00147A73"/>
    <w:rsid w:val="00161617"/>
    <w:rsid w:val="00185A62"/>
    <w:rsid w:val="00185E50"/>
    <w:rsid w:val="001933BE"/>
    <w:rsid w:val="00215E6B"/>
    <w:rsid w:val="002575A7"/>
    <w:rsid w:val="002629D5"/>
    <w:rsid w:val="002B3596"/>
    <w:rsid w:val="0036312F"/>
    <w:rsid w:val="00390F39"/>
    <w:rsid w:val="003D2382"/>
    <w:rsid w:val="003E05FC"/>
    <w:rsid w:val="00450222"/>
    <w:rsid w:val="00477511"/>
    <w:rsid w:val="00481A37"/>
    <w:rsid w:val="004B6CD8"/>
    <w:rsid w:val="004C3D4F"/>
    <w:rsid w:val="004C635F"/>
    <w:rsid w:val="004C7D0C"/>
    <w:rsid w:val="004E0BEF"/>
    <w:rsid w:val="004F0BD5"/>
    <w:rsid w:val="004F4E29"/>
    <w:rsid w:val="00547E66"/>
    <w:rsid w:val="0058644A"/>
    <w:rsid w:val="005B4A86"/>
    <w:rsid w:val="005C3D1C"/>
    <w:rsid w:val="005E76AF"/>
    <w:rsid w:val="005F0FEB"/>
    <w:rsid w:val="00635C32"/>
    <w:rsid w:val="00695707"/>
    <w:rsid w:val="006B0B77"/>
    <w:rsid w:val="006C05FB"/>
    <w:rsid w:val="0071690D"/>
    <w:rsid w:val="00765588"/>
    <w:rsid w:val="0077134E"/>
    <w:rsid w:val="00796E6A"/>
    <w:rsid w:val="008028D0"/>
    <w:rsid w:val="008118A4"/>
    <w:rsid w:val="00850C22"/>
    <w:rsid w:val="00855EC6"/>
    <w:rsid w:val="008E5B13"/>
    <w:rsid w:val="008F5FD8"/>
    <w:rsid w:val="00965CEF"/>
    <w:rsid w:val="009769C6"/>
    <w:rsid w:val="009A5BB7"/>
    <w:rsid w:val="009D1F8A"/>
    <w:rsid w:val="009D4086"/>
    <w:rsid w:val="00A971BB"/>
    <w:rsid w:val="00AF2B00"/>
    <w:rsid w:val="00B0408B"/>
    <w:rsid w:val="00B346CC"/>
    <w:rsid w:val="00B80A26"/>
    <w:rsid w:val="00B845E4"/>
    <w:rsid w:val="00BD52B7"/>
    <w:rsid w:val="00BF03C4"/>
    <w:rsid w:val="00C2383E"/>
    <w:rsid w:val="00C37A20"/>
    <w:rsid w:val="00C447B4"/>
    <w:rsid w:val="00C47922"/>
    <w:rsid w:val="00C803EA"/>
    <w:rsid w:val="00D2436D"/>
    <w:rsid w:val="00D71F86"/>
    <w:rsid w:val="00D773CD"/>
    <w:rsid w:val="00D776CE"/>
    <w:rsid w:val="00DA7D1B"/>
    <w:rsid w:val="00E36F4E"/>
    <w:rsid w:val="00E53F1B"/>
    <w:rsid w:val="00E647CB"/>
    <w:rsid w:val="00E8541B"/>
    <w:rsid w:val="00EA2A9E"/>
    <w:rsid w:val="00EA68DA"/>
    <w:rsid w:val="00EB1769"/>
    <w:rsid w:val="00EE173F"/>
    <w:rsid w:val="00F6500C"/>
    <w:rsid w:val="070065DA"/>
    <w:rsid w:val="0CFE69CC"/>
    <w:rsid w:val="1ECE109F"/>
    <w:rsid w:val="2382624A"/>
    <w:rsid w:val="2AB060AE"/>
    <w:rsid w:val="2BDF77BD"/>
    <w:rsid w:val="306474AE"/>
    <w:rsid w:val="36FF7964"/>
    <w:rsid w:val="3B910B14"/>
    <w:rsid w:val="3CA37266"/>
    <w:rsid w:val="4A5D5760"/>
    <w:rsid w:val="4CC72089"/>
    <w:rsid w:val="55FEC738"/>
    <w:rsid w:val="57971606"/>
    <w:rsid w:val="5EE55A27"/>
    <w:rsid w:val="63F59A84"/>
    <w:rsid w:val="6B6F2630"/>
    <w:rsid w:val="6EFEAE08"/>
    <w:rsid w:val="7BF4D3CF"/>
    <w:rsid w:val="7CFB3C2B"/>
    <w:rsid w:val="7E5B537D"/>
    <w:rsid w:val="7EDE13BF"/>
    <w:rsid w:val="7FBFF6B4"/>
    <w:rsid w:val="7FCFFDDB"/>
    <w:rsid w:val="7FF30851"/>
    <w:rsid w:val="7FF3B822"/>
    <w:rsid w:val="7FFB2DFD"/>
    <w:rsid w:val="976FCA18"/>
    <w:rsid w:val="9FCBEAB8"/>
    <w:rsid w:val="ABFFBAB0"/>
    <w:rsid w:val="B79866FE"/>
    <w:rsid w:val="B875240E"/>
    <w:rsid w:val="BBFD4157"/>
    <w:rsid w:val="DD77EAC1"/>
    <w:rsid w:val="F3F6C1F9"/>
    <w:rsid w:val="FB6CC27F"/>
    <w:rsid w:val="FDBB0487"/>
    <w:rsid w:val="FDF5B5F2"/>
    <w:rsid w:val="FEDE5E1F"/>
    <w:rsid w:val="FF2FB1FC"/>
    <w:rsid w:val="FF998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480</Words>
  <Characters>2741</Characters>
  <Lines>22</Lines>
  <Paragraphs>6</Paragraphs>
  <TotalTime>5</TotalTime>
  <ScaleCrop>false</ScaleCrop>
  <LinksUpToDate>false</LinksUpToDate>
  <CharactersWithSpaces>3215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2021-11-13T00:57:00Z</dcterms:created>
  <dc:creator>邱婉萍</dc:creator>
  <cp:lastModifiedBy>邱婉萍（综合保税区管理处办文员）</cp:lastModifiedBy>
  <cp:lastPrinted>2022-04-24T14:42:00Z</cp:lastPrinted>
  <dcterms:modified xsi:type="dcterms:W3CDTF">2022-04-29T09:16:28Z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79E089C6647045EE85B47FE371633762</vt:lpwstr>
  </property>
</Properties>
</file>