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overflowPunct/>
        <w:topLinePunct w:val="0"/>
        <w:bidi w:val="0"/>
        <w:snapToGrid/>
        <w:spacing w:line="560" w:lineRule="exact"/>
        <w:jc w:val="left"/>
        <w:textAlignment w:val="auto"/>
        <w:rPr>
          <w:rFonts w:hint="default" w:ascii="方正黑体_GBK" w:hAnsi="方正黑体_GBK" w:eastAsia="方正黑体_GBK" w:cs="方正黑体_GBK"/>
          <w:color w:val="auto"/>
          <w:sz w:val="32"/>
          <w:szCs w:val="32"/>
          <w:highlight w:val="none"/>
          <w:lang w:val="en" w:eastAsia="zh-CN"/>
        </w:rPr>
      </w:pPr>
      <w:r>
        <w:rPr>
          <w:rFonts w:hint="eastAsia" w:ascii="方正黑体_GBK" w:hAnsi="方正黑体_GBK" w:eastAsia="方正黑体_GBK" w:cs="方正黑体_GBK"/>
          <w:color w:val="auto"/>
          <w:sz w:val="32"/>
          <w:szCs w:val="32"/>
          <w:highlight w:val="none"/>
          <w:lang w:eastAsia="zh-CN"/>
        </w:rPr>
        <w:t>附件</w:t>
      </w:r>
      <w:r>
        <w:rPr>
          <w:rFonts w:hint="default" w:ascii="方正黑体_GBK" w:hAnsi="方正黑体_GBK" w:eastAsia="方正黑体_GBK" w:cs="方正黑体_GBK"/>
          <w:color w:val="auto"/>
          <w:sz w:val="32"/>
          <w:szCs w:val="32"/>
          <w:highlight w:val="none"/>
          <w:lang w:val="en" w:eastAsia="zh-CN"/>
        </w:rPr>
        <w:t>1</w:t>
      </w:r>
    </w:p>
    <w:p>
      <w:pPr>
        <w:pStyle w:val="18"/>
        <w:keepNext w:val="0"/>
        <w:keepLines w:val="0"/>
        <w:pageBreakBefore w:val="0"/>
        <w:kinsoku/>
        <w:wordWrap/>
        <w:overflowPunct/>
        <w:topLinePunct w:val="0"/>
        <w:bidi w:val="0"/>
        <w:snapToGrid/>
        <w:spacing w:line="560" w:lineRule="exact"/>
        <w:jc w:val="left"/>
        <w:textAlignment w:val="auto"/>
        <w:rPr>
          <w:rFonts w:hint="default" w:ascii="方正小标宋简体" w:hAnsi="方正小标宋简体" w:eastAsia="方正小标宋简体" w:cs="方正小标宋简体"/>
          <w:color w:val="auto"/>
          <w:sz w:val="44"/>
          <w:szCs w:val="44"/>
          <w:highlight w:val="none"/>
          <w:lang w:val="en-US" w:eastAsia="zh-CN"/>
        </w:rPr>
      </w:pPr>
    </w:p>
    <w:p>
      <w:pPr>
        <w:pStyle w:val="18"/>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深圳市科学技术奖</w:t>
      </w:r>
      <w:r>
        <w:rPr>
          <w:rFonts w:hint="eastAsia" w:ascii="方正小标宋简体" w:hAnsi="方正小标宋简体" w:eastAsia="方正小标宋简体" w:cs="方正小标宋简体"/>
          <w:color w:val="auto"/>
          <w:sz w:val="44"/>
          <w:szCs w:val="44"/>
          <w:highlight w:val="none"/>
          <w:lang w:eastAsia="zh-CN"/>
        </w:rPr>
        <w:t>标准奖</w:t>
      </w:r>
      <w:r>
        <w:rPr>
          <w:rFonts w:hint="eastAsia" w:ascii="方正小标宋简体" w:hAnsi="方正小标宋简体" w:eastAsia="方正小标宋简体" w:cs="方正小标宋简体"/>
          <w:color w:val="auto"/>
          <w:sz w:val="44"/>
          <w:szCs w:val="44"/>
          <w:highlight w:val="none"/>
        </w:rPr>
        <w:t>奖励办法</w:t>
      </w:r>
    </w:p>
    <w:p>
      <w:pPr>
        <w:pStyle w:val="18"/>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实施细则（</w:t>
      </w:r>
      <w:r>
        <w:rPr>
          <w:rFonts w:hint="eastAsia" w:ascii="方正小标宋简体" w:hAnsi="方正小标宋简体" w:eastAsia="方正小标宋简体" w:cs="方正小标宋简体"/>
          <w:color w:val="auto"/>
          <w:sz w:val="44"/>
          <w:szCs w:val="44"/>
          <w:highlight w:val="none"/>
          <w:lang w:eastAsia="zh-CN"/>
        </w:rPr>
        <w:t>征求意见稿</w:t>
      </w:r>
      <w:r>
        <w:rPr>
          <w:rFonts w:hint="eastAsia" w:ascii="方正小标宋简体" w:hAnsi="方正小标宋简体" w:eastAsia="方正小标宋简体" w:cs="方正小标宋简体"/>
          <w:color w:val="auto"/>
          <w:sz w:val="44"/>
          <w:szCs w:val="44"/>
          <w:highlight w:val="none"/>
        </w:rPr>
        <w:t>）</w:t>
      </w:r>
    </w:p>
    <w:p>
      <w:pPr>
        <w:pStyle w:val="18"/>
        <w:keepNext w:val="0"/>
        <w:keepLines w:val="0"/>
        <w:pageBreakBefore w:val="0"/>
        <w:kinsoku/>
        <w:wordWrap/>
        <w:overflowPunct/>
        <w:topLinePunct w:val="0"/>
        <w:bidi w:val="0"/>
        <w:snapToGrid/>
        <w:spacing w:line="560" w:lineRule="exact"/>
        <w:jc w:val="both"/>
        <w:textAlignment w:val="auto"/>
        <w:rPr>
          <w:rFonts w:hint="eastAsia" w:ascii="黑体" w:hAnsi="黑体" w:eastAsia="黑体" w:cs="黑体"/>
          <w:b/>
          <w:color w:val="auto"/>
          <w:sz w:val="32"/>
          <w:szCs w:val="32"/>
          <w:highlight w:val="none"/>
        </w:rPr>
      </w:pPr>
    </w:p>
    <w:p>
      <w:pPr>
        <w:pStyle w:val="18"/>
        <w:keepNext w:val="0"/>
        <w:keepLines w:val="0"/>
        <w:pageBreakBefore w:val="0"/>
        <w:kinsoku/>
        <w:wordWrap/>
        <w:overflowPunct/>
        <w:topLinePunct w:val="0"/>
        <w:bidi w:val="0"/>
        <w:snapToGrid/>
        <w:spacing w:line="560" w:lineRule="exact"/>
        <w:jc w:val="center"/>
        <w:textAlignment w:val="auto"/>
        <w:rPr>
          <w:rFonts w:ascii="仿宋" w:hAnsi="仿宋" w:eastAsia="仿宋" w:cs="仿宋"/>
          <w:b w:val="0"/>
          <w:bCs/>
          <w:color w:val="auto"/>
          <w:sz w:val="32"/>
          <w:szCs w:val="32"/>
          <w:highlight w:val="none"/>
        </w:rPr>
      </w:pPr>
      <w:r>
        <w:rPr>
          <w:rFonts w:hint="eastAsia" w:ascii="黑体" w:hAnsi="黑体" w:eastAsia="黑体" w:cs="黑体"/>
          <w:b w:val="0"/>
          <w:bCs/>
          <w:color w:val="auto"/>
          <w:sz w:val="32"/>
          <w:szCs w:val="32"/>
          <w:highlight w:val="none"/>
        </w:rPr>
        <w:t>第一章 总 则</w:t>
      </w:r>
    </w:p>
    <w:p>
      <w:pPr>
        <w:pStyle w:val="18"/>
        <w:keepNext w:val="0"/>
        <w:keepLines w:val="0"/>
        <w:pageBreakBefore w:val="0"/>
        <w:kinsoku/>
        <w:wordWrap/>
        <w:overflowPunct/>
        <w:topLinePunct w:val="0"/>
        <w:bidi w:val="0"/>
        <w:snapToGrid/>
        <w:spacing w:line="560" w:lineRule="exact"/>
        <w:ind w:firstLine="642" w:firstLineChars="200"/>
        <w:jc w:val="both"/>
        <w:textAlignment w:val="auto"/>
        <w:rPr>
          <w:rFonts w:ascii="仿宋" w:hAnsi="仿宋" w:eastAsia="仿宋" w:cs="仿宋"/>
          <w:b/>
          <w:bCs/>
          <w:color w:val="auto"/>
          <w:sz w:val="32"/>
          <w:szCs w:val="32"/>
          <w:highlight w:val="none"/>
        </w:rPr>
      </w:pPr>
    </w:p>
    <w:p>
      <w:pPr>
        <w:pStyle w:val="18"/>
        <w:keepNext w:val="0"/>
        <w:keepLines w:val="0"/>
        <w:pageBreakBefore w:val="0"/>
        <w:kinsoku/>
        <w:wordWrap/>
        <w:overflowPunct/>
        <w:topLinePunct w:val="0"/>
        <w:bidi w:val="0"/>
        <w:snapToGrid/>
        <w:spacing w:line="560" w:lineRule="exact"/>
        <w:ind w:firstLine="642" w:firstLineChars="200"/>
        <w:jc w:val="both"/>
        <w:textAlignment w:val="auto"/>
        <w:rPr>
          <w:rFonts w:ascii="仿宋" w:hAnsi="仿宋" w:eastAsia="仿宋" w:cs="仿宋"/>
          <w:bCs/>
          <w:color w:val="auto"/>
          <w:sz w:val="32"/>
          <w:szCs w:val="32"/>
          <w:highlight w:val="none"/>
        </w:rPr>
      </w:pPr>
      <w:r>
        <w:rPr>
          <w:rFonts w:hint="eastAsia" w:ascii="方正仿宋_GBK" w:hAnsi="方正仿宋_GBK" w:eastAsia="方正仿宋_GBK" w:cs="方正仿宋_GBK"/>
          <w:b/>
          <w:bCs/>
          <w:color w:val="auto"/>
          <w:sz w:val="32"/>
          <w:szCs w:val="32"/>
          <w:highlight w:val="none"/>
        </w:rPr>
        <w:t>第一条</w:t>
      </w:r>
      <w:r>
        <w:rPr>
          <w:rFonts w:ascii="黑体" w:hAnsi="黑体" w:eastAsia="黑体" w:cs="黑体"/>
          <w:color w:val="auto"/>
          <w:sz w:val="32"/>
          <w:szCs w:val="32"/>
          <w:highlight w:val="none"/>
        </w:rPr>
        <w:t xml:space="preserve"> </w:t>
      </w:r>
      <w:r>
        <w:rPr>
          <w:rFonts w:hint="eastAsia" w:ascii="仿宋" w:hAnsi="仿宋" w:eastAsia="仿宋" w:cs="仿宋"/>
          <w:bCs/>
          <w:color w:val="auto"/>
          <w:sz w:val="32"/>
          <w:szCs w:val="32"/>
          <w:highlight w:val="none"/>
        </w:rPr>
        <w:t>为规范深圳市科学技术奖</w:t>
      </w:r>
      <w:r>
        <w:rPr>
          <w:rFonts w:hint="eastAsia" w:ascii="仿宋" w:hAnsi="仿宋" w:eastAsia="仿宋" w:cs="仿宋"/>
          <w:bCs/>
          <w:color w:val="auto"/>
          <w:sz w:val="32"/>
          <w:szCs w:val="32"/>
          <w:highlight w:val="none"/>
          <w:lang w:eastAsia="zh-CN"/>
        </w:rPr>
        <w:t>标准奖</w:t>
      </w:r>
      <w:r>
        <w:rPr>
          <w:rFonts w:hint="eastAsia" w:ascii="仿宋" w:hAnsi="仿宋" w:eastAsia="仿宋" w:cs="仿宋"/>
          <w:bCs/>
          <w:color w:val="auto"/>
          <w:sz w:val="32"/>
          <w:szCs w:val="32"/>
          <w:highlight w:val="none"/>
        </w:rPr>
        <w:t>(以下简称</w:t>
      </w:r>
      <w:r>
        <w:rPr>
          <w:rFonts w:hint="eastAsia" w:ascii="仿宋" w:hAnsi="仿宋" w:eastAsia="仿宋" w:cs="仿宋"/>
          <w:bCs/>
          <w:color w:val="auto"/>
          <w:sz w:val="32"/>
          <w:szCs w:val="32"/>
          <w:highlight w:val="none"/>
          <w:lang w:eastAsia="zh-CN"/>
        </w:rPr>
        <w:t>标准奖</w:t>
      </w:r>
      <w:r>
        <w:rPr>
          <w:rFonts w:hint="eastAsia" w:ascii="仿宋" w:hAnsi="仿宋" w:eastAsia="仿宋" w:cs="仿宋"/>
          <w:bCs/>
          <w:color w:val="auto"/>
          <w:sz w:val="32"/>
          <w:szCs w:val="32"/>
          <w:highlight w:val="none"/>
        </w:rPr>
        <w:t xml:space="preserve">)评审工作程序，保障评审质量，根据《深圳市科学技术奖励办法》(深府规〔2022〕3号)(以下简称《奖励办法》) </w:t>
      </w:r>
      <w:r>
        <w:rPr>
          <w:rFonts w:hint="eastAsia" w:ascii="仿宋" w:hAnsi="仿宋" w:eastAsia="仿宋" w:cs="仿宋"/>
          <w:bCs/>
          <w:color w:val="auto"/>
          <w:sz w:val="32"/>
          <w:szCs w:val="32"/>
          <w:highlight w:val="none"/>
          <w:lang w:eastAsia="zh-CN"/>
        </w:rPr>
        <w:t>的有关规定</w:t>
      </w:r>
      <w:r>
        <w:rPr>
          <w:rFonts w:hint="eastAsia" w:ascii="仿宋" w:hAnsi="仿宋" w:eastAsia="仿宋" w:cs="仿宋"/>
          <w:bCs/>
          <w:color w:val="auto"/>
          <w:sz w:val="32"/>
          <w:szCs w:val="32"/>
          <w:highlight w:val="none"/>
        </w:rPr>
        <w:t>，制定本实施细则。</w:t>
      </w:r>
    </w:p>
    <w:p>
      <w:pPr>
        <w:pStyle w:val="18"/>
        <w:keepNext w:val="0"/>
        <w:keepLines w:val="0"/>
        <w:pageBreakBefore w:val="0"/>
        <w:kinsoku/>
        <w:wordWrap/>
        <w:overflowPunct/>
        <w:topLinePunct w:val="0"/>
        <w:bidi w:val="0"/>
        <w:snapToGrid/>
        <w:spacing w:line="560" w:lineRule="exact"/>
        <w:ind w:firstLine="642" w:firstLineChars="200"/>
        <w:jc w:val="both"/>
        <w:textAlignment w:val="auto"/>
        <w:rPr>
          <w:rFonts w:ascii="仿宋" w:hAnsi="仿宋" w:eastAsia="仿宋" w:cs="仿宋"/>
          <w:bCs/>
          <w:color w:val="auto"/>
          <w:sz w:val="32"/>
          <w:szCs w:val="32"/>
          <w:highlight w:val="none"/>
        </w:rPr>
      </w:pPr>
      <w:r>
        <w:rPr>
          <w:rFonts w:hint="eastAsia" w:ascii="方正仿宋_GBK" w:hAnsi="方正仿宋_GBK" w:eastAsia="方正仿宋_GBK" w:cs="方正仿宋_GBK"/>
          <w:b/>
          <w:bCs/>
          <w:color w:val="auto"/>
          <w:sz w:val="32"/>
          <w:szCs w:val="32"/>
          <w:highlight w:val="none"/>
        </w:rPr>
        <w:t>第二条</w:t>
      </w:r>
      <w:r>
        <w:rPr>
          <w:rFonts w:ascii="黑体" w:hAnsi="黑体" w:eastAsia="黑体" w:cs="黑体"/>
          <w:color w:val="auto"/>
          <w:sz w:val="32"/>
          <w:szCs w:val="32"/>
          <w:highlight w:val="none"/>
        </w:rPr>
        <w:t xml:space="preserve"> </w:t>
      </w:r>
      <w:r>
        <w:rPr>
          <w:rFonts w:hint="eastAsia" w:ascii="仿宋" w:hAnsi="仿宋" w:eastAsia="仿宋" w:cs="仿宋"/>
          <w:bCs/>
          <w:color w:val="auto"/>
          <w:sz w:val="32"/>
          <w:szCs w:val="32"/>
          <w:highlight w:val="none"/>
        </w:rPr>
        <w:t>本实施细则适用于</w:t>
      </w:r>
      <w:r>
        <w:rPr>
          <w:rFonts w:hint="eastAsia" w:ascii="仿宋" w:hAnsi="仿宋" w:eastAsia="仿宋" w:cs="仿宋"/>
          <w:bCs/>
          <w:color w:val="auto"/>
          <w:sz w:val="32"/>
          <w:szCs w:val="32"/>
          <w:highlight w:val="none"/>
          <w:lang w:eastAsia="zh-CN"/>
        </w:rPr>
        <w:t>标准奖</w:t>
      </w:r>
      <w:r>
        <w:rPr>
          <w:rFonts w:hint="eastAsia" w:ascii="仿宋" w:hAnsi="仿宋" w:eastAsia="仿宋" w:cs="仿宋"/>
          <w:bCs/>
          <w:color w:val="auto"/>
          <w:sz w:val="32"/>
          <w:szCs w:val="32"/>
          <w:highlight w:val="none"/>
        </w:rPr>
        <w:t>的提名、</w:t>
      </w:r>
      <w:r>
        <w:rPr>
          <w:rFonts w:hint="eastAsia" w:ascii="仿宋" w:hAnsi="仿宋" w:eastAsia="仿宋" w:cs="仿宋"/>
          <w:bCs/>
          <w:color w:val="auto"/>
          <w:sz w:val="32"/>
          <w:szCs w:val="32"/>
          <w:highlight w:val="none"/>
          <w:lang w:eastAsia="zh-CN"/>
        </w:rPr>
        <w:t>申请、</w:t>
      </w:r>
      <w:r>
        <w:rPr>
          <w:rFonts w:hint="eastAsia" w:ascii="仿宋" w:hAnsi="仿宋" w:eastAsia="仿宋" w:cs="仿宋"/>
          <w:bCs/>
          <w:color w:val="auto"/>
          <w:sz w:val="32"/>
          <w:szCs w:val="32"/>
          <w:highlight w:val="none"/>
        </w:rPr>
        <w:t>受理、评审、公示、授奖等活动。</w:t>
      </w:r>
    </w:p>
    <w:p>
      <w:pPr>
        <w:pStyle w:val="18"/>
        <w:keepNext w:val="0"/>
        <w:keepLines w:val="0"/>
        <w:pageBreakBefore w:val="0"/>
        <w:kinsoku/>
        <w:wordWrap/>
        <w:overflowPunct/>
        <w:topLinePunct w:val="0"/>
        <w:bidi w:val="0"/>
        <w:snapToGrid/>
        <w:spacing w:line="560" w:lineRule="exact"/>
        <w:ind w:firstLine="642" w:firstLineChars="200"/>
        <w:jc w:val="both"/>
        <w:textAlignment w:val="auto"/>
        <w:rPr>
          <w:rFonts w:ascii="仿宋" w:hAnsi="仿宋" w:eastAsia="仿宋" w:cs="仿宋"/>
          <w:bCs/>
          <w:color w:val="auto"/>
          <w:sz w:val="32"/>
          <w:szCs w:val="32"/>
          <w:highlight w:val="none"/>
        </w:rPr>
      </w:pPr>
      <w:r>
        <w:rPr>
          <w:rFonts w:hint="eastAsia" w:ascii="方正仿宋_GBK" w:hAnsi="方正仿宋_GBK" w:eastAsia="方正仿宋_GBK" w:cs="方正仿宋_GBK"/>
          <w:b/>
          <w:bCs/>
          <w:color w:val="auto"/>
          <w:sz w:val="32"/>
          <w:szCs w:val="32"/>
          <w:highlight w:val="none"/>
        </w:rPr>
        <w:t>第三条</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深圳</w:t>
      </w:r>
      <w:r>
        <w:rPr>
          <w:rFonts w:hint="eastAsia" w:ascii="仿宋" w:hAnsi="仿宋" w:eastAsia="仿宋" w:cs="仿宋"/>
          <w:bCs/>
          <w:color w:val="auto"/>
          <w:sz w:val="32"/>
          <w:szCs w:val="32"/>
          <w:highlight w:val="none"/>
        </w:rPr>
        <w:t>市</w:t>
      </w:r>
      <w:r>
        <w:rPr>
          <w:rFonts w:hint="eastAsia" w:ascii="仿宋" w:hAnsi="仿宋" w:eastAsia="仿宋" w:cs="仿宋"/>
          <w:bCs/>
          <w:color w:val="auto"/>
          <w:sz w:val="32"/>
          <w:szCs w:val="32"/>
          <w:highlight w:val="none"/>
          <w:lang w:eastAsia="zh-CN"/>
        </w:rPr>
        <w:t>市场监督管理</w:t>
      </w:r>
      <w:r>
        <w:rPr>
          <w:rFonts w:hint="eastAsia" w:ascii="仿宋" w:hAnsi="仿宋" w:eastAsia="仿宋" w:cs="仿宋"/>
          <w:bCs/>
          <w:color w:val="auto"/>
          <w:sz w:val="32"/>
          <w:szCs w:val="32"/>
          <w:highlight w:val="none"/>
        </w:rPr>
        <w:t>部门负责</w:t>
      </w:r>
      <w:r>
        <w:rPr>
          <w:rFonts w:hint="eastAsia" w:ascii="仿宋" w:hAnsi="仿宋" w:eastAsia="仿宋" w:cs="仿宋"/>
          <w:bCs/>
          <w:color w:val="auto"/>
          <w:sz w:val="32"/>
          <w:szCs w:val="32"/>
          <w:highlight w:val="none"/>
          <w:lang w:eastAsia="zh-CN"/>
        </w:rPr>
        <w:t>标准奖</w:t>
      </w:r>
      <w:r>
        <w:rPr>
          <w:rFonts w:hint="eastAsia" w:ascii="仿宋" w:hAnsi="仿宋" w:eastAsia="仿宋" w:cs="仿宋"/>
          <w:bCs/>
          <w:color w:val="auto"/>
          <w:sz w:val="32"/>
          <w:szCs w:val="32"/>
          <w:highlight w:val="none"/>
        </w:rPr>
        <w:t>的</w:t>
      </w:r>
      <w:r>
        <w:rPr>
          <w:rFonts w:hint="eastAsia" w:ascii="仿宋" w:hAnsi="仿宋" w:eastAsia="仿宋" w:cs="仿宋"/>
          <w:bCs/>
          <w:color w:val="auto"/>
          <w:sz w:val="32"/>
          <w:szCs w:val="32"/>
          <w:highlight w:val="none"/>
          <w:lang w:eastAsia="zh-CN"/>
        </w:rPr>
        <w:t>受理及</w:t>
      </w:r>
      <w:r>
        <w:rPr>
          <w:rFonts w:hint="eastAsia" w:ascii="仿宋" w:hAnsi="仿宋" w:eastAsia="仿宋" w:cs="仿宋"/>
          <w:bCs/>
          <w:color w:val="auto"/>
          <w:sz w:val="32"/>
          <w:szCs w:val="32"/>
          <w:highlight w:val="none"/>
        </w:rPr>
        <w:t>评审</w:t>
      </w:r>
      <w:r>
        <w:rPr>
          <w:rFonts w:hint="eastAsia" w:ascii="仿宋" w:hAnsi="仿宋" w:eastAsia="仿宋" w:cs="仿宋"/>
          <w:color w:val="auto"/>
          <w:sz w:val="32"/>
          <w:szCs w:val="32"/>
          <w:highlight w:val="none"/>
        </w:rPr>
        <w:t>组织</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rPr>
        <w:t>工作</w:t>
      </w:r>
      <w:r>
        <w:rPr>
          <w:rFonts w:hint="eastAsia" w:ascii="仿宋" w:hAnsi="仿宋" w:eastAsia="仿宋" w:cs="仿宋"/>
          <w:bCs/>
          <w:color w:val="auto"/>
          <w:sz w:val="32"/>
          <w:szCs w:val="32"/>
          <w:highlight w:val="none"/>
        </w:rPr>
        <w:t>。</w:t>
      </w:r>
    </w:p>
    <w:p>
      <w:pPr>
        <w:pStyle w:val="18"/>
        <w:keepNext w:val="0"/>
        <w:keepLines w:val="0"/>
        <w:pageBreakBefore w:val="0"/>
        <w:kinsoku/>
        <w:wordWrap/>
        <w:overflowPunct/>
        <w:topLinePunct w:val="0"/>
        <w:bidi w:val="0"/>
        <w:snapToGrid/>
        <w:spacing w:line="560" w:lineRule="exact"/>
        <w:ind w:firstLine="642" w:firstLineChars="200"/>
        <w:jc w:val="both"/>
        <w:textAlignment w:val="auto"/>
        <w:rPr>
          <w:rFonts w:ascii="仿宋" w:hAnsi="仿宋" w:eastAsia="仿宋" w:cs="仿宋"/>
          <w:bCs/>
          <w:color w:val="auto"/>
          <w:sz w:val="32"/>
          <w:szCs w:val="32"/>
          <w:highlight w:val="none"/>
        </w:rPr>
      </w:pPr>
      <w:r>
        <w:rPr>
          <w:rFonts w:hint="eastAsia" w:ascii="方正仿宋_GBK" w:hAnsi="方正仿宋_GBK" w:eastAsia="方正仿宋_GBK" w:cs="方正仿宋_GBK"/>
          <w:b/>
          <w:bCs/>
          <w:color w:val="auto"/>
          <w:sz w:val="32"/>
          <w:szCs w:val="32"/>
          <w:highlight w:val="none"/>
        </w:rPr>
        <w:t>第四条</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标准奖</w:t>
      </w:r>
      <w:r>
        <w:rPr>
          <w:rFonts w:hint="eastAsia" w:ascii="仿宋" w:hAnsi="仿宋" w:eastAsia="仿宋" w:cs="仿宋"/>
          <w:bCs/>
          <w:color w:val="auto"/>
          <w:sz w:val="32"/>
          <w:szCs w:val="32"/>
          <w:highlight w:val="none"/>
        </w:rPr>
        <w:t>每年评审一次，奖项不分等级，每年授奖总数不超过</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5项，</w:t>
      </w:r>
      <w:r>
        <w:rPr>
          <w:rFonts w:hint="eastAsia" w:ascii="仿宋" w:hAnsi="仿宋" w:eastAsia="仿宋" w:cs="仿宋"/>
          <w:bCs/>
          <w:color w:val="auto"/>
          <w:sz w:val="32"/>
          <w:szCs w:val="32"/>
          <w:highlight w:val="none"/>
          <w:lang w:eastAsia="zh-CN"/>
        </w:rPr>
        <w:t>每项奖励</w:t>
      </w:r>
      <w:r>
        <w:rPr>
          <w:rFonts w:hint="eastAsia" w:ascii="仿宋" w:hAnsi="仿宋" w:eastAsia="仿宋" w:cs="仿宋"/>
          <w:bCs/>
          <w:color w:val="auto"/>
          <w:sz w:val="32"/>
          <w:szCs w:val="32"/>
          <w:highlight w:val="none"/>
          <w:lang w:val="en-US" w:eastAsia="zh-CN"/>
        </w:rPr>
        <w:t>30万元</w:t>
      </w:r>
      <w:r>
        <w:rPr>
          <w:rFonts w:hint="eastAsia" w:ascii="仿宋" w:hAnsi="仿宋" w:eastAsia="仿宋" w:cs="仿宋"/>
          <w:bCs/>
          <w:color w:val="auto"/>
          <w:sz w:val="32"/>
          <w:szCs w:val="32"/>
          <w:highlight w:val="none"/>
        </w:rPr>
        <w:t>。</w:t>
      </w:r>
    </w:p>
    <w:p>
      <w:pPr>
        <w:keepNext w:val="0"/>
        <w:keepLines w:val="0"/>
        <w:pageBreakBefore w:val="0"/>
        <w:kinsoku/>
        <w:wordWrap/>
        <w:overflowPunct/>
        <w:topLinePunct w:val="0"/>
        <w:bidi w:val="0"/>
        <w:snapToGrid/>
        <w:spacing w:line="560" w:lineRule="exact"/>
        <w:jc w:val="both"/>
        <w:textAlignment w:val="auto"/>
        <w:rPr>
          <w:rFonts w:hint="eastAsia" w:ascii="黑体" w:hAnsi="黑体" w:eastAsia="黑体" w:cs="黑体"/>
          <w:b/>
          <w:color w:val="auto"/>
          <w:sz w:val="32"/>
          <w:szCs w:val="32"/>
          <w:highlight w:val="none"/>
        </w:rPr>
      </w:pPr>
    </w:p>
    <w:p>
      <w:pPr>
        <w:keepNext w:val="0"/>
        <w:keepLines w:val="0"/>
        <w:pageBreakBefore w:val="0"/>
        <w:kinsoku/>
        <w:wordWrap/>
        <w:overflowPunct/>
        <w:topLinePunct w:val="0"/>
        <w:bidi w:val="0"/>
        <w:snapToGrid/>
        <w:spacing w:line="560" w:lineRule="exact"/>
        <w:jc w:val="center"/>
        <w:textAlignment w:val="auto"/>
        <w:rPr>
          <w:rFonts w:hint="default" w:ascii="黑体" w:hAnsi="黑体" w:eastAsia="黑体" w:cs="黑体"/>
          <w:b w:val="0"/>
          <w:bCs/>
          <w:color w:val="auto"/>
          <w:sz w:val="32"/>
          <w:szCs w:val="32"/>
          <w:highlight w:val="none"/>
          <w:lang w:val="en" w:eastAsia="zh-CN"/>
        </w:rPr>
      </w:pPr>
      <w:r>
        <w:rPr>
          <w:rFonts w:hint="eastAsia" w:ascii="黑体" w:hAnsi="黑体" w:eastAsia="黑体" w:cs="黑体"/>
          <w:b w:val="0"/>
          <w:bCs/>
          <w:color w:val="auto"/>
          <w:sz w:val="32"/>
          <w:szCs w:val="32"/>
          <w:highlight w:val="none"/>
          <w:lang w:eastAsia="zh-CN"/>
        </w:rPr>
        <w:t>第二章</w:t>
      </w:r>
      <w:r>
        <w:rPr>
          <w:rFonts w:hint="eastAsia" w:ascii="黑体" w:hAnsi="黑体" w:eastAsia="黑体" w:cs="黑体"/>
          <w:b w:val="0"/>
          <w:bCs/>
          <w:color w:val="auto"/>
          <w:sz w:val="32"/>
          <w:szCs w:val="32"/>
          <w:highlight w:val="none"/>
          <w:lang w:val="en-US" w:eastAsia="zh-CN"/>
        </w:rPr>
        <w:t xml:space="preserve"> 申请范围和条件</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华文仿宋" w:hAnsi="华文仿宋" w:eastAsia="华文仿宋" w:cs="华文仿宋"/>
          <w:b w:val="0"/>
          <w:bCs/>
          <w:color w:val="auto"/>
          <w:sz w:val="32"/>
          <w:szCs w:val="32"/>
          <w:highlight w:val="none"/>
          <w:lang w:eastAsia="zh-CN"/>
        </w:rPr>
      </w:pPr>
    </w:p>
    <w:p>
      <w:pPr>
        <w:keepNext w:val="0"/>
        <w:keepLines w:val="0"/>
        <w:pageBreakBefore w:val="0"/>
        <w:kinsoku/>
        <w:wordWrap/>
        <w:overflowPunct/>
        <w:topLinePunct w:val="0"/>
        <w:bidi w:val="0"/>
        <w:snapToGrid/>
        <w:spacing w:line="560" w:lineRule="exact"/>
        <w:ind w:firstLine="642" w:firstLineChars="200"/>
        <w:jc w:val="both"/>
        <w:textAlignment w:val="auto"/>
        <w:rPr>
          <w:rFonts w:hint="eastAsia" w:ascii="仿宋" w:hAnsi="仿宋" w:eastAsia="仿宋" w:cs="仿宋"/>
          <w:color w:val="auto"/>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eastAsia="zh-CN"/>
        </w:rPr>
        <w:t>第五条</w:t>
      </w:r>
      <w:r>
        <w:rPr>
          <w:rFonts w:hint="eastAsia" w:ascii="方正仿宋_GBK" w:hAnsi="方正仿宋_GBK" w:eastAsia="方正仿宋_GBK" w:cs="方正仿宋_GBK"/>
          <w:b/>
          <w:bCs/>
          <w:color w:val="auto"/>
          <w:kern w:val="0"/>
          <w:sz w:val="32"/>
          <w:szCs w:val="32"/>
          <w:highlight w:val="none"/>
          <w:lang w:val="en-US" w:eastAsia="zh-CN"/>
        </w:rPr>
        <w:t xml:space="preserve"> </w:t>
      </w:r>
      <w:r>
        <w:rPr>
          <w:rFonts w:hint="eastAsia" w:ascii="华文仿宋" w:hAnsi="华文仿宋" w:eastAsia="华文仿宋" w:cs="华文仿宋"/>
          <w:b w:val="0"/>
          <w:bCs/>
          <w:color w:val="auto"/>
          <w:sz w:val="32"/>
          <w:szCs w:val="32"/>
          <w:highlight w:val="none"/>
          <w:lang w:eastAsia="zh-CN"/>
        </w:rPr>
        <w:t>申请标准奖的项目</w:t>
      </w:r>
      <w:r>
        <w:rPr>
          <w:rFonts w:hint="eastAsia" w:ascii="华文仿宋" w:hAnsi="华文仿宋" w:eastAsia="华文仿宋" w:cs="华文仿宋"/>
          <w:b w:val="0"/>
          <w:bCs/>
          <w:color w:val="auto"/>
          <w:sz w:val="32"/>
          <w:szCs w:val="32"/>
          <w:highlight w:val="none"/>
        </w:rPr>
        <w:t>范围是</w:t>
      </w:r>
      <w:r>
        <w:rPr>
          <w:rFonts w:hint="eastAsia" w:ascii="华文仿宋" w:hAnsi="华文仿宋" w:eastAsia="华文仿宋" w:cs="华文仿宋"/>
          <w:b w:val="0"/>
          <w:bCs/>
          <w:color w:val="auto"/>
          <w:sz w:val="32"/>
          <w:szCs w:val="32"/>
          <w:highlight w:val="none"/>
          <w:lang w:eastAsia="zh-CN"/>
        </w:rPr>
        <w:t>指</w:t>
      </w:r>
      <w:r>
        <w:rPr>
          <w:rFonts w:hint="eastAsia" w:ascii="华文仿宋" w:hAnsi="华文仿宋" w:eastAsia="华文仿宋" w:cs="华文仿宋"/>
          <w:b w:val="0"/>
          <w:bCs/>
          <w:color w:val="auto"/>
          <w:sz w:val="32"/>
          <w:szCs w:val="32"/>
          <w:highlight w:val="none"/>
        </w:rPr>
        <w:t>现行有效且实施2年以上（含2年）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年以内</w:t>
      </w:r>
      <w:r>
        <w:rPr>
          <w:rFonts w:hint="eastAsia" w:ascii="华文仿宋" w:hAnsi="华文仿宋" w:eastAsia="华文仿宋" w:cs="华文仿宋"/>
          <w:b w:val="0"/>
          <w:bCs/>
          <w:color w:val="auto"/>
          <w:sz w:val="32"/>
          <w:szCs w:val="32"/>
          <w:highlight w:val="none"/>
        </w:rPr>
        <w:t>的下列标准：国家标准</w:t>
      </w:r>
      <w:r>
        <w:rPr>
          <w:rFonts w:hint="eastAsia" w:ascii="华文仿宋" w:hAnsi="华文仿宋" w:eastAsia="华文仿宋" w:cs="华文仿宋"/>
          <w:b w:val="0"/>
          <w:bCs/>
          <w:color w:val="auto"/>
          <w:sz w:val="32"/>
          <w:szCs w:val="32"/>
          <w:highlight w:val="none"/>
          <w:lang w:eastAsia="zh-CN"/>
        </w:rPr>
        <w:t>、</w:t>
      </w:r>
      <w:r>
        <w:rPr>
          <w:rFonts w:hint="eastAsia" w:ascii="华文仿宋" w:hAnsi="华文仿宋" w:eastAsia="华文仿宋" w:cs="华文仿宋"/>
          <w:b w:val="0"/>
          <w:bCs/>
          <w:color w:val="auto"/>
          <w:sz w:val="32"/>
          <w:szCs w:val="32"/>
          <w:highlight w:val="none"/>
        </w:rPr>
        <w:t>行业标准</w:t>
      </w:r>
      <w:r>
        <w:rPr>
          <w:rFonts w:hint="eastAsia" w:ascii="华文仿宋" w:hAnsi="华文仿宋" w:eastAsia="华文仿宋" w:cs="华文仿宋"/>
          <w:b w:val="0"/>
          <w:bCs/>
          <w:color w:val="auto"/>
          <w:sz w:val="32"/>
          <w:szCs w:val="32"/>
          <w:highlight w:val="none"/>
          <w:lang w:eastAsia="zh-CN"/>
        </w:rPr>
        <w:t>（需</w:t>
      </w:r>
      <w:r>
        <w:rPr>
          <w:rFonts w:hint="eastAsia" w:ascii="华文仿宋" w:hAnsi="华文仿宋" w:eastAsia="华文仿宋" w:cs="华文仿宋"/>
          <w:b w:val="0"/>
          <w:bCs/>
          <w:color w:val="auto"/>
          <w:sz w:val="32"/>
          <w:szCs w:val="32"/>
          <w:highlight w:val="none"/>
        </w:rPr>
        <w:t>在</w:t>
      </w:r>
      <w:r>
        <w:rPr>
          <w:rFonts w:hint="eastAsia" w:ascii="华文仿宋" w:hAnsi="华文仿宋" w:eastAsia="华文仿宋" w:cs="华文仿宋"/>
          <w:b w:val="0"/>
          <w:bCs/>
          <w:color w:val="auto"/>
          <w:sz w:val="32"/>
          <w:szCs w:val="32"/>
          <w:highlight w:val="none"/>
          <w:lang w:eastAsia="zh-CN"/>
        </w:rPr>
        <w:t>国家标准化管理委员会</w:t>
      </w:r>
      <w:r>
        <w:rPr>
          <w:rFonts w:hint="eastAsia" w:ascii="华文仿宋" w:hAnsi="华文仿宋" w:eastAsia="华文仿宋" w:cs="华文仿宋"/>
          <w:b w:val="0"/>
          <w:bCs/>
          <w:color w:val="auto"/>
          <w:sz w:val="32"/>
          <w:szCs w:val="32"/>
          <w:highlight w:val="none"/>
        </w:rPr>
        <w:t>备案</w:t>
      </w:r>
      <w:r>
        <w:rPr>
          <w:rFonts w:hint="eastAsia" w:ascii="华文仿宋" w:hAnsi="华文仿宋" w:eastAsia="华文仿宋" w:cs="华文仿宋"/>
          <w:b w:val="0"/>
          <w:bCs/>
          <w:color w:val="auto"/>
          <w:sz w:val="32"/>
          <w:szCs w:val="32"/>
          <w:highlight w:val="none"/>
          <w:lang w:eastAsia="zh-CN"/>
        </w:rPr>
        <w:t>）、</w:t>
      </w:r>
      <w:r>
        <w:rPr>
          <w:rFonts w:hint="eastAsia" w:ascii="华文仿宋" w:hAnsi="华文仿宋" w:eastAsia="华文仿宋" w:cs="华文仿宋"/>
          <w:b w:val="0"/>
          <w:bCs/>
          <w:color w:val="auto"/>
          <w:sz w:val="32"/>
          <w:szCs w:val="32"/>
          <w:highlight w:val="none"/>
        </w:rPr>
        <w:t>地方标准，在</w:t>
      </w:r>
      <w:r>
        <w:rPr>
          <w:rFonts w:hint="eastAsia" w:ascii="华文仿宋" w:hAnsi="华文仿宋" w:eastAsia="华文仿宋" w:cs="华文仿宋"/>
          <w:b w:val="0"/>
          <w:bCs/>
          <w:color w:val="auto"/>
          <w:sz w:val="32"/>
          <w:szCs w:val="32"/>
          <w:highlight w:val="none"/>
          <w:lang w:eastAsia="zh-CN"/>
        </w:rPr>
        <w:t>国家或深圳市</w:t>
      </w:r>
      <w:r>
        <w:rPr>
          <w:rFonts w:hint="eastAsia" w:ascii="华文仿宋" w:hAnsi="华文仿宋" w:eastAsia="华文仿宋" w:cs="华文仿宋"/>
          <w:b w:val="0"/>
          <w:bCs/>
          <w:color w:val="auto"/>
          <w:sz w:val="32"/>
          <w:szCs w:val="32"/>
          <w:highlight w:val="none"/>
        </w:rPr>
        <w:t>团体标准信息平台进行自我声明公开的团体标准，由我国专家牵头起草</w:t>
      </w:r>
      <w:r>
        <w:rPr>
          <w:rFonts w:hint="eastAsia" w:ascii="华文仿宋" w:hAnsi="华文仿宋" w:eastAsia="华文仿宋" w:cs="华文仿宋"/>
          <w:b w:val="0"/>
          <w:bCs/>
          <w:color w:val="auto"/>
          <w:sz w:val="32"/>
          <w:szCs w:val="32"/>
          <w:highlight w:val="none"/>
          <w:lang w:eastAsia="zh-CN"/>
        </w:rPr>
        <w:t>制定</w:t>
      </w:r>
      <w:r>
        <w:rPr>
          <w:rFonts w:hint="eastAsia" w:ascii="华文仿宋" w:hAnsi="华文仿宋" w:eastAsia="华文仿宋" w:cs="华文仿宋"/>
          <w:b w:val="0"/>
          <w:bCs/>
          <w:color w:val="auto"/>
          <w:sz w:val="32"/>
          <w:szCs w:val="32"/>
          <w:highlight w:val="none"/>
        </w:rPr>
        <w:t>并由国际标准化组织（ISO）、国际电工委员会（IEC）、国际电信联盟（ITU）</w:t>
      </w:r>
      <w:r>
        <w:rPr>
          <w:rFonts w:hint="eastAsia" w:ascii="华文仿宋" w:hAnsi="华文仿宋" w:eastAsia="华文仿宋" w:cs="华文仿宋"/>
          <w:b w:val="0"/>
          <w:bCs/>
          <w:color w:val="auto"/>
          <w:sz w:val="32"/>
          <w:szCs w:val="32"/>
          <w:highlight w:val="none"/>
          <w:lang w:eastAsia="zh-CN"/>
        </w:rPr>
        <w:t>、</w:t>
      </w:r>
      <w:r>
        <w:rPr>
          <w:rFonts w:hint="eastAsia" w:ascii="华文仿宋" w:hAnsi="华文仿宋" w:eastAsia="华文仿宋" w:cs="华文仿宋"/>
          <w:b w:val="0"/>
          <w:bCs/>
          <w:color w:val="auto"/>
          <w:sz w:val="32"/>
          <w:szCs w:val="32"/>
          <w:highlight w:val="none"/>
        </w:rPr>
        <w:t>《采用国际标准管理办法》确认的其他国际组织发布的国际标准以及其他重要组织发布的国际先进标准。</w:t>
      </w:r>
      <w:r>
        <w:rPr>
          <w:rFonts w:hint="eastAsia" w:ascii="华文仿宋" w:hAnsi="华文仿宋" w:eastAsia="华文仿宋" w:cs="华文仿宋"/>
          <w:b w:val="0"/>
          <w:bCs/>
          <w:color w:val="auto"/>
          <w:sz w:val="32"/>
          <w:szCs w:val="32"/>
          <w:highlight w:val="none"/>
          <w:lang w:eastAsia="zh-CN"/>
        </w:rPr>
        <w:t>其中，</w:t>
      </w:r>
      <w:r>
        <w:rPr>
          <w:rFonts w:hint="eastAsia" w:ascii="华文仿宋" w:hAnsi="华文仿宋" w:eastAsia="华文仿宋" w:cs="华文仿宋"/>
          <w:b w:val="0"/>
          <w:bCs/>
          <w:color w:val="auto"/>
          <w:sz w:val="32"/>
          <w:szCs w:val="32"/>
          <w:highlight w:val="none"/>
        </w:rPr>
        <w:t>其他重要组织名录由市市场监管局另行制定发布。</w:t>
      </w:r>
      <w:r>
        <w:rPr>
          <w:rFonts w:hint="eastAsia" w:ascii="华文仿宋" w:hAnsi="华文仿宋" w:eastAsia="华文仿宋" w:cs="华文仿宋"/>
          <w:b w:val="0"/>
          <w:bCs/>
          <w:color w:val="auto"/>
          <w:sz w:val="32"/>
          <w:szCs w:val="32"/>
          <w:highlight w:val="none"/>
        </w:rPr>
        <w:br w:type="textWrapping"/>
      </w:r>
      <w:r>
        <w:rPr>
          <w:rFonts w:hint="eastAsia" w:ascii="方正仿宋_GBK" w:hAnsi="方正仿宋_GBK" w:eastAsia="方正仿宋_GBK" w:cs="方正仿宋_GBK"/>
          <w:b/>
          <w:bCs/>
          <w:color w:val="auto"/>
          <w:kern w:val="0"/>
          <w:sz w:val="32"/>
          <w:szCs w:val="32"/>
          <w:highlight w:val="none"/>
          <w:lang w:eastAsia="zh-CN"/>
        </w:rPr>
        <w:t>第六条</w:t>
      </w:r>
      <w:r>
        <w:rPr>
          <w:rFonts w:hint="eastAsia" w:ascii="方正仿宋_GBK" w:hAnsi="方正仿宋_GBK" w:eastAsia="方正仿宋_GBK" w:cs="方正仿宋_GBK"/>
          <w:b/>
          <w:bCs/>
          <w:color w:val="auto"/>
          <w:kern w:val="0"/>
          <w:sz w:val="32"/>
          <w:szCs w:val="32"/>
          <w:highlight w:val="none"/>
          <w:lang w:val="en-US" w:eastAsia="zh-CN"/>
        </w:rPr>
        <w:t xml:space="preserve"> </w:t>
      </w:r>
      <w:r>
        <w:rPr>
          <w:rFonts w:hint="eastAsia" w:ascii="华文仿宋" w:hAnsi="华文仿宋" w:eastAsia="华文仿宋" w:cs="华文仿宋"/>
          <w:b w:val="0"/>
          <w:bCs/>
          <w:color w:val="auto"/>
          <w:sz w:val="32"/>
          <w:szCs w:val="32"/>
          <w:highlight w:val="none"/>
          <w:lang w:eastAsia="zh-CN"/>
        </w:rPr>
        <w:t>申请标准奖的项目</w:t>
      </w:r>
      <w:r>
        <w:rPr>
          <w:rFonts w:hint="eastAsia" w:ascii="仿宋" w:hAnsi="仿宋" w:eastAsia="仿宋" w:cs="仿宋"/>
          <w:color w:val="auto"/>
          <w:sz w:val="32"/>
          <w:szCs w:val="32"/>
          <w:highlight w:val="none"/>
        </w:rPr>
        <w:t>应当符合《深圳市科学技术奖励办法》</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规定，</w:t>
      </w:r>
      <w:r>
        <w:rPr>
          <w:rFonts w:hint="eastAsia" w:ascii="仿宋" w:hAnsi="仿宋" w:eastAsia="仿宋" w:cs="仿宋"/>
          <w:color w:val="auto"/>
          <w:sz w:val="32"/>
          <w:szCs w:val="32"/>
          <w:highlight w:val="none"/>
          <w:lang w:eastAsia="zh-CN"/>
        </w:rPr>
        <w:t>同时具备下列条件：</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（一）标准创新性强，对促进本领域的发展有突出作用；</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（二）标准技术先进，含有先进研究成果或者自主知识产权；</w:t>
      </w:r>
    </w:p>
    <w:p>
      <w:pPr>
        <w:keepNext w:val="0"/>
        <w:keepLines w:val="0"/>
        <w:pageBreakBefore w:val="0"/>
        <w:kinsoku/>
        <w:wordWrap/>
        <w:overflowPunct/>
        <w:topLinePunct w:val="0"/>
        <w:bidi w:val="0"/>
        <w:snapToGrid/>
        <w:spacing w:line="560" w:lineRule="exact"/>
        <w:ind w:firstLine="596" w:firstLineChars="200"/>
        <w:jc w:val="both"/>
        <w:textAlignment w:val="auto"/>
        <w:rPr>
          <w:rFonts w:hint="eastAsia" w:ascii="华文仿宋" w:hAnsi="华文仿宋" w:eastAsia="华文仿宋" w:cs="华文仿宋"/>
          <w:b w:val="0"/>
          <w:bCs/>
          <w:color w:val="auto"/>
          <w:spacing w:val="-11"/>
          <w:sz w:val="32"/>
          <w:szCs w:val="32"/>
          <w:highlight w:val="none"/>
        </w:rPr>
      </w:pPr>
      <w:r>
        <w:rPr>
          <w:rFonts w:hint="eastAsia" w:ascii="仿宋" w:hAnsi="仿宋" w:eastAsia="仿宋" w:cs="仿宋"/>
          <w:color w:val="auto"/>
          <w:spacing w:val="-11"/>
          <w:sz w:val="32"/>
          <w:szCs w:val="32"/>
          <w:highlight w:val="none"/>
        </w:rPr>
        <w:t>（三）标准已实施并取得显著的经济社会效益或生态环境效益。</w:t>
      </w:r>
    </w:p>
    <w:p>
      <w:pPr>
        <w:keepNext w:val="0"/>
        <w:keepLines w:val="0"/>
        <w:pageBreakBefore w:val="0"/>
        <w:kinsoku/>
        <w:wordWrap/>
        <w:overflowPunct/>
        <w:topLinePunct w:val="0"/>
        <w:bidi w:val="0"/>
        <w:snapToGrid/>
        <w:spacing w:line="560" w:lineRule="exact"/>
        <w:ind w:firstLine="596" w:firstLineChars="200"/>
        <w:jc w:val="both"/>
        <w:textAlignment w:val="auto"/>
        <w:rPr>
          <w:rFonts w:hint="eastAsia" w:ascii="仿宋" w:hAnsi="仿宋" w:eastAsia="仿宋" w:cs="仿宋"/>
          <w:color w:val="auto"/>
          <w:spacing w:val="-11"/>
          <w:sz w:val="32"/>
          <w:szCs w:val="32"/>
          <w:highlight w:val="none"/>
        </w:rPr>
      </w:pPr>
      <w:r>
        <w:rPr>
          <w:rFonts w:hint="eastAsia" w:ascii="仿宋" w:hAnsi="仿宋" w:eastAsia="仿宋" w:cs="仿宋"/>
          <w:color w:val="auto"/>
          <w:spacing w:val="-11"/>
          <w:sz w:val="32"/>
          <w:szCs w:val="32"/>
          <w:highlight w:val="none"/>
        </w:rPr>
        <w:t>已经获得</w:t>
      </w:r>
      <w:r>
        <w:rPr>
          <w:rFonts w:hint="eastAsia" w:ascii="仿宋" w:hAnsi="仿宋" w:eastAsia="仿宋" w:cs="仿宋"/>
          <w:color w:val="auto"/>
          <w:spacing w:val="-11"/>
          <w:sz w:val="32"/>
          <w:szCs w:val="32"/>
          <w:highlight w:val="none"/>
          <w:lang w:eastAsia="zh-CN"/>
        </w:rPr>
        <w:t>中国标准创新贡献奖、</w:t>
      </w:r>
      <w:r>
        <w:rPr>
          <w:rFonts w:hint="eastAsia" w:ascii="仿宋" w:hAnsi="仿宋" w:eastAsia="仿宋" w:cs="仿宋"/>
          <w:color w:val="auto"/>
          <w:spacing w:val="-11"/>
          <w:sz w:val="32"/>
          <w:szCs w:val="32"/>
          <w:highlight w:val="none"/>
        </w:rPr>
        <w:t>广东省</w:t>
      </w:r>
      <w:r>
        <w:rPr>
          <w:rFonts w:hint="eastAsia" w:ascii="仿宋" w:hAnsi="仿宋" w:eastAsia="仿宋" w:cs="仿宋"/>
          <w:color w:val="auto"/>
          <w:spacing w:val="-11"/>
          <w:sz w:val="32"/>
          <w:szCs w:val="32"/>
          <w:highlight w:val="none"/>
          <w:lang w:eastAsia="zh-CN"/>
        </w:rPr>
        <w:t>、</w:t>
      </w:r>
      <w:r>
        <w:rPr>
          <w:rFonts w:hint="eastAsia" w:ascii="仿宋" w:hAnsi="仿宋" w:eastAsia="仿宋" w:cs="仿宋"/>
          <w:color w:val="auto"/>
          <w:spacing w:val="-11"/>
          <w:sz w:val="32"/>
          <w:szCs w:val="32"/>
          <w:highlight w:val="none"/>
        </w:rPr>
        <w:t>深圳市</w:t>
      </w:r>
      <w:r>
        <w:rPr>
          <w:rFonts w:hint="eastAsia" w:ascii="仿宋" w:hAnsi="仿宋" w:eastAsia="仿宋" w:cs="仿宋"/>
          <w:color w:val="auto"/>
          <w:spacing w:val="-11"/>
          <w:sz w:val="32"/>
          <w:szCs w:val="32"/>
          <w:highlight w:val="none"/>
          <w:lang w:eastAsia="zh-CN"/>
        </w:rPr>
        <w:t>标准</w:t>
      </w:r>
      <w:r>
        <w:rPr>
          <w:rFonts w:hint="eastAsia" w:ascii="仿宋" w:hAnsi="仿宋" w:eastAsia="仿宋" w:cs="仿宋"/>
          <w:color w:val="auto"/>
          <w:spacing w:val="-11"/>
          <w:sz w:val="32"/>
          <w:szCs w:val="32"/>
          <w:highlight w:val="none"/>
        </w:rPr>
        <w:t>奖</w:t>
      </w:r>
      <w:r>
        <w:rPr>
          <w:rFonts w:hint="eastAsia" w:ascii="仿宋" w:hAnsi="仿宋" w:eastAsia="仿宋" w:cs="仿宋"/>
          <w:color w:val="auto"/>
          <w:spacing w:val="-11"/>
          <w:sz w:val="32"/>
          <w:szCs w:val="32"/>
          <w:highlight w:val="none"/>
          <w:lang w:eastAsia="zh-CN"/>
        </w:rPr>
        <w:t>的项目，或经查询深圳信用网被列入严重失信主体名单</w:t>
      </w:r>
      <w:r>
        <w:rPr>
          <w:rFonts w:hint="eastAsia" w:ascii="仿宋" w:hAnsi="仿宋" w:eastAsia="仿宋" w:cs="仿宋"/>
          <w:color w:val="auto"/>
          <w:spacing w:val="-11"/>
          <w:sz w:val="32"/>
          <w:szCs w:val="32"/>
          <w:highlight w:val="none"/>
        </w:rPr>
        <w:t>的</w:t>
      </w:r>
      <w:r>
        <w:rPr>
          <w:rFonts w:hint="eastAsia" w:ascii="仿宋" w:hAnsi="仿宋" w:eastAsia="仿宋" w:cs="仿宋"/>
          <w:color w:val="auto"/>
          <w:spacing w:val="-11"/>
          <w:sz w:val="32"/>
          <w:szCs w:val="32"/>
          <w:highlight w:val="none"/>
          <w:lang w:eastAsia="zh-CN"/>
        </w:rPr>
        <w:t>，</w:t>
      </w:r>
      <w:r>
        <w:rPr>
          <w:rFonts w:hint="eastAsia" w:ascii="仿宋" w:hAnsi="仿宋" w:eastAsia="仿宋" w:cs="仿宋"/>
          <w:color w:val="auto"/>
          <w:spacing w:val="-11"/>
          <w:sz w:val="32"/>
          <w:szCs w:val="32"/>
          <w:highlight w:val="none"/>
        </w:rPr>
        <w:t>不得申请</w:t>
      </w:r>
      <w:r>
        <w:rPr>
          <w:rFonts w:hint="eastAsia" w:ascii="仿宋" w:hAnsi="仿宋" w:eastAsia="仿宋" w:cs="仿宋"/>
          <w:color w:val="auto"/>
          <w:spacing w:val="-11"/>
          <w:sz w:val="32"/>
          <w:szCs w:val="32"/>
          <w:highlight w:val="none"/>
          <w:lang w:eastAsia="zh-CN"/>
        </w:rPr>
        <w:t>标准奖</w:t>
      </w:r>
      <w:r>
        <w:rPr>
          <w:rFonts w:hint="eastAsia" w:ascii="仿宋" w:hAnsi="仿宋" w:eastAsia="仿宋" w:cs="仿宋"/>
          <w:color w:val="auto"/>
          <w:spacing w:val="-11"/>
          <w:sz w:val="32"/>
          <w:szCs w:val="32"/>
          <w:highlight w:val="none"/>
        </w:rPr>
        <w:t>。</w:t>
      </w:r>
    </w:p>
    <w:p>
      <w:pPr>
        <w:keepNext w:val="0"/>
        <w:keepLines w:val="0"/>
        <w:pageBreakBefore w:val="0"/>
        <w:kinsoku/>
        <w:wordWrap/>
        <w:overflowPunct/>
        <w:topLinePunct w:val="0"/>
        <w:bidi w:val="0"/>
        <w:snapToGrid/>
        <w:spacing w:line="560" w:lineRule="exact"/>
        <w:ind w:firstLine="642"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第七条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被提名单位必须是在深圳市开展主营业务活动的企事业单位或者社会组织，且为制定该标准项目的主导完成单位。</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条 </w:t>
      </w:r>
      <w:r>
        <w:rPr>
          <w:rFonts w:hint="eastAsia" w:ascii="仿宋" w:hAnsi="仿宋" w:eastAsia="仿宋" w:cs="仿宋"/>
          <w:color w:val="auto"/>
          <w:sz w:val="32"/>
          <w:szCs w:val="32"/>
          <w:highlight w:val="none"/>
        </w:rPr>
        <w:t>标准项目的主导完成单位确定方法如下：</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（一）国家标准、行业标准、深圳市</w:t>
      </w:r>
      <w:r>
        <w:rPr>
          <w:rFonts w:hint="eastAsia" w:ascii="仿宋" w:hAnsi="仿宋" w:eastAsia="仿宋" w:cs="仿宋"/>
          <w:color w:val="auto"/>
          <w:sz w:val="32"/>
          <w:szCs w:val="32"/>
          <w:highlight w:val="none"/>
          <w:lang w:eastAsia="zh-CN"/>
        </w:rPr>
        <w:t>地方</w:t>
      </w:r>
      <w:r>
        <w:rPr>
          <w:rFonts w:hint="eastAsia" w:ascii="仿宋" w:hAnsi="仿宋" w:eastAsia="仿宋" w:cs="仿宋"/>
          <w:color w:val="auto"/>
          <w:sz w:val="32"/>
          <w:szCs w:val="32"/>
          <w:highlight w:val="none"/>
        </w:rPr>
        <w:t>标准主导完成单位为该标准“前言”中注明的第一起草单位</w:t>
      </w:r>
      <w:r>
        <w:rPr>
          <w:rFonts w:hint="eastAsia" w:ascii="仿宋" w:hAnsi="仿宋" w:eastAsia="仿宋" w:cs="仿宋"/>
          <w:color w:val="auto"/>
          <w:sz w:val="32"/>
          <w:szCs w:val="32"/>
          <w:highlight w:val="none"/>
          <w:lang w:eastAsia="zh-CN"/>
        </w:rPr>
        <w:t>，团体标准为标准的发布单位</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如“前言”中未注明起草单位的，由该标准所对应的技术委员会出具主导制定标准的证明。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kern w:val="2"/>
          <w:sz w:val="32"/>
          <w:szCs w:val="32"/>
          <w:highlight w:val="none"/>
          <w:lang w:val="en-US" w:eastAsia="zh-CN" w:bidi="ar-SA"/>
        </w:rPr>
        <w:t>国际标准主导完成单位为在该项标准制定工作中发挥了关键作用且其提案为该项标准核心内容的单位</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stheme="minorBidi"/>
          <w:color w:val="auto"/>
          <w:kern w:val="2"/>
          <w:sz w:val="32"/>
          <w:szCs w:val="32"/>
          <w:highlight w:val="none"/>
          <w:lang w:val="en-US" w:eastAsia="zh-CN" w:bidi="ar-SA"/>
        </w:rPr>
        <w:t>ISO、IEC标准主导完成单位以</w:t>
      </w:r>
      <w:r>
        <w:rPr>
          <w:rFonts w:hint="default" w:ascii="Times New Roman" w:hAnsi="Times New Roman" w:eastAsia="仿宋_GB2312" w:cstheme="minorBidi"/>
          <w:b w:val="0"/>
          <w:bCs w:val="0"/>
          <w:color w:val="auto"/>
          <w:sz w:val="32"/>
          <w:szCs w:val="32"/>
          <w:highlight w:val="none"/>
          <w:lang w:eastAsia="zh-CN"/>
        </w:rPr>
        <w:t>国家标准化管理委员会</w:t>
      </w:r>
      <w:r>
        <w:rPr>
          <w:rFonts w:hint="default" w:ascii="Times New Roman" w:hAnsi="Times New Roman" w:eastAsia="仿宋_GB2312" w:cstheme="minorBidi"/>
          <w:color w:val="auto"/>
          <w:kern w:val="2"/>
          <w:sz w:val="32"/>
          <w:szCs w:val="32"/>
          <w:highlight w:val="none"/>
          <w:lang w:val="en-US" w:eastAsia="zh-CN" w:bidi="ar-SA"/>
        </w:rPr>
        <w:t>公布</w:t>
      </w:r>
      <w:r>
        <w:rPr>
          <w:rFonts w:hint="default" w:ascii="Times New Roman" w:hAnsi="Times New Roman" w:eastAsia="仿宋_GB2312" w:cstheme="minorBidi"/>
          <w:color w:val="auto"/>
          <w:spacing w:val="-6"/>
          <w:kern w:val="2"/>
          <w:sz w:val="32"/>
          <w:szCs w:val="32"/>
          <w:highlight w:val="none"/>
          <w:lang w:val="en-US" w:eastAsia="zh-CN" w:bidi="ar-SA"/>
        </w:rPr>
        <w:t>由我国牵头制定国际标准项目清单中的项目负责人所在单位为准</w:t>
      </w:r>
      <w:r>
        <w:rPr>
          <w:rFonts w:hint="default" w:ascii="Times New Roman" w:hAnsi="Times New Roman" w:eastAsia="仿宋_GB2312"/>
          <w:color w:val="auto"/>
          <w:spacing w:val="-6"/>
          <w:sz w:val="32"/>
          <w:szCs w:val="32"/>
          <w:highlight w:val="none"/>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ITU</w:t>
      </w:r>
      <w:r>
        <w:rPr>
          <w:rFonts w:hint="eastAsia" w:ascii="Times New Roman" w:hAnsi="Times New Roman" w:eastAsia="仿宋_GB2312" w:cstheme="minorBidi"/>
          <w:color w:val="auto"/>
          <w:kern w:val="2"/>
          <w:sz w:val="32"/>
          <w:szCs w:val="32"/>
          <w:highlight w:val="none"/>
          <w:lang w:val="en-US" w:eastAsia="zh-CN" w:bidi="ar-SA"/>
        </w:rPr>
        <w:t>及其他相关重要国际组织</w:t>
      </w:r>
      <w:r>
        <w:rPr>
          <w:rFonts w:hint="default" w:ascii="Times New Roman" w:hAnsi="Times New Roman" w:eastAsia="仿宋_GB2312" w:cstheme="minorBidi"/>
          <w:color w:val="auto"/>
          <w:kern w:val="2"/>
          <w:sz w:val="32"/>
          <w:szCs w:val="32"/>
          <w:highlight w:val="none"/>
          <w:lang w:val="en-US" w:eastAsia="zh-CN" w:bidi="ar-SA"/>
        </w:rPr>
        <w:t>标准主导完成单位以在标准制定工作中担任主要组织领导者角色的专家所在单位为准。</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其他</w:t>
      </w:r>
      <w:r>
        <w:rPr>
          <w:rFonts w:hint="eastAsia" w:ascii="Times New Roman" w:hAnsi="Times New Roman" w:eastAsia="仿宋_GB2312"/>
          <w:color w:val="auto"/>
          <w:sz w:val="32"/>
          <w:szCs w:val="32"/>
          <w:highlight w:val="none"/>
          <w:lang w:eastAsia="zh-CN"/>
        </w:rPr>
        <w:t>佐证</w:t>
      </w:r>
      <w:r>
        <w:rPr>
          <w:rFonts w:hint="eastAsia" w:ascii="Times New Roman" w:hAnsi="Times New Roman" w:eastAsia="仿宋_GB2312"/>
          <w:color w:val="auto"/>
          <w:sz w:val="32"/>
          <w:szCs w:val="32"/>
          <w:highlight w:val="none"/>
        </w:rPr>
        <w:t>材料包括但不限于：</w:t>
      </w:r>
    </w:p>
    <w:p>
      <w:pPr>
        <w:keepNext w:val="0"/>
        <w:keepLines w:val="0"/>
        <w:pageBreakBefore w:val="0"/>
        <w:kinsoku/>
        <w:wordWrap/>
        <w:overflowPunct/>
        <w:topLinePunct w:val="0"/>
        <w:bidi w:val="0"/>
        <w:snapToGrid/>
        <w:spacing w:line="560" w:lineRule="exact"/>
        <w:ind w:firstLine="640" w:firstLineChars="200"/>
        <w:jc w:val="left"/>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（1）标准立项会议纪要，明确项目立项的牵头单位或负责人、召集人；</w:t>
      </w:r>
    </w:p>
    <w:p>
      <w:pPr>
        <w:keepNext w:val="0"/>
        <w:keepLines w:val="0"/>
        <w:pageBreakBefore w:val="0"/>
        <w:kinsoku/>
        <w:wordWrap/>
        <w:overflowPunct/>
        <w:topLinePunct w:val="0"/>
        <w:bidi w:val="0"/>
        <w:snapToGrid/>
        <w:spacing w:line="560" w:lineRule="exact"/>
        <w:ind w:firstLine="640" w:firstLineChars="200"/>
        <w:jc w:val="left"/>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（2）主要参与标准编写人员，出席会议时间，参会照片、机票、会议签到表、会议专家团名单，在会上提交提案的证明；</w:t>
      </w:r>
    </w:p>
    <w:p>
      <w:pPr>
        <w:keepNext w:val="0"/>
        <w:keepLines w:val="0"/>
        <w:pageBreakBefore w:val="0"/>
        <w:kinsoku/>
        <w:wordWrap/>
        <w:overflowPunct/>
        <w:topLinePunct w:val="0"/>
        <w:bidi w:val="0"/>
        <w:snapToGrid/>
        <w:spacing w:line="560" w:lineRule="exact"/>
        <w:ind w:firstLine="640" w:firstLineChars="200"/>
        <w:jc w:val="left"/>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（3）参与编写人员为</w:t>
      </w:r>
      <w:r>
        <w:rPr>
          <w:rFonts w:hint="eastAsia" w:ascii="仿宋" w:hAnsi="仿宋" w:eastAsia="仿宋" w:cs="仿宋"/>
          <w:color w:val="auto"/>
          <w:sz w:val="32"/>
          <w:szCs w:val="32"/>
          <w:highlight w:val="none"/>
          <w:lang w:eastAsia="zh-CN"/>
        </w:rPr>
        <w:t>被提名单位</w:t>
      </w:r>
      <w:r>
        <w:rPr>
          <w:rFonts w:hint="eastAsia" w:ascii="Times New Roman" w:hAnsi="Times New Roman" w:eastAsia="仿宋_GB2312"/>
          <w:color w:val="auto"/>
          <w:sz w:val="32"/>
          <w:szCs w:val="32"/>
          <w:highlight w:val="none"/>
        </w:rPr>
        <w:t>全职员工的证明（包括劳动合同和缴纳一年以上社保证明）；</w:t>
      </w:r>
    </w:p>
    <w:p>
      <w:pPr>
        <w:keepNext w:val="0"/>
        <w:keepLines w:val="0"/>
        <w:pageBreakBefore w:val="0"/>
        <w:kinsoku/>
        <w:wordWrap/>
        <w:overflowPunct/>
        <w:topLinePunct w:val="0"/>
        <w:bidi w:val="0"/>
        <w:snapToGrid/>
        <w:spacing w:line="560" w:lineRule="exact"/>
        <w:ind w:firstLine="640" w:firstLineChars="200"/>
        <w:jc w:val="left"/>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（4）标准项目研讨、审批、发布等过程中编写人员提交的技术提案，被最终采纳的投票结果、会议纪要、以及该提案对应的标准文本内容等。</w:t>
      </w:r>
    </w:p>
    <w:p>
      <w:pPr>
        <w:keepNext w:val="0"/>
        <w:keepLines w:val="0"/>
        <w:pageBreakBefore w:val="0"/>
        <w:kinsoku/>
        <w:wordWrap/>
        <w:overflowPunct/>
        <w:topLinePunct w:val="0"/>
        <w:bidi w:val="0"/>
        <w:snapToGrid/>
        <w:spacing w:line="560" w:lineRule="exact"/>
        <w:jc w:val="both"/>
        <w:textAlignment w:val="auto"/>
        <w:rPr>
          <w:rFonts w:hint="eastAsia" w:ascii="华文仿宋" w:hAnsi="华文仿宋" w:eastAsia="华文仿宋" w:cs="华文仿宋"/>
          <w:b w:val="0"/>
          <w:bCs/>
          <w:color w:val="auto"/>
          <w:sz w:val="32"/>
          <w:szCs w:val="32"/>
          <w:highlight w:val="none"/>
          <w:lang w:val="en-US" w:eastAsia="zh-CN"/>
        </w:rPr>
      </w:pPr>
    </w:p>
    <w:p>
      <w:pPr>
        <w:keepNext w:val="0"/>
        <w:keepLines w:val="0"/>
        <w:pageBreakBefore w:val="0"/>
        <w:kinsoku/>
        <w:wordWrap/>
        <w:overflowPunct/>
        <w:topLinePunct w:val="0"/>
        <w:bidi w:val="0"/>
        <w:snapToGrid/>
        <w:spacing w:line="560" w:lineRule="exact"/>
        <w:jc w:val="center"/>
        <w:textAlignment w:val="auto"/>
        <w:rPr>
          <w:rFonts w:ascii="仿宋" w:hAnsi="仿宋" w:eastAsia="仿宋" w:cs="仿宋"/>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章 提</w:t>
      </w:r>
      <w:r>
        <w:rPr>
          <w:rFonts w:ascii="黑体" w:hAnsi="黑体" w:eastAsia="黑体" w:cs="黑体"/>
          <w:b w:val="0"/>
          <w:bCs/>
          <w:color w:val="auto"/>
          <w:sz w:val="32"/>
          <w:szCs w:val="32"/>
          <w:highlight w:val="none"/>
        </w:rPr>
        <w:t xml:space="preserve"> </w:t>
      </w:r>
      <w:r>
        <w:rPr>
          <w:rFonts w:hint="eastAsia" w:ascii="黑体" w:hAnsi="黑体" w:eastAsia="黑体" w:cs="黑体"/>
          <w:b w:val="0"/>
          <w:bCs/>
          <w:color w:val="auto"/>
          <w:sz w:val="32"/>
          <w:szCs w:val="32"/>
          <w:highlight w:val="none"/>
        </w:rPr>
        <w:t>名</w:t>
      </w: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s="仿宋"/>
          <w:b/>
          <w:color w:val="auto"/>
          <w:sz w:val="32"/>
          <w:szCs w:val="32"/>
          <w:highlight w:val="none"/>
        </w:rPr>
      </w:pP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方正仿宋_GBK" w:hAnsi="方正仿宋_GBK" w:eastAsia="方正仿宋_GBK" w:cs="方正仿宋_GBK"/>
          <w:b/>
          <w:bCs w:val="0"/>
          <w:color w:val="auto"/>
          <w:sz w:val="32"/>
          <w:szCs w:val="32"/>
          <w:highlight w:val="none"/>
        </w:rPr>
        <w:t>第</w:t>
      </w:r>
      <w:r>
        <w:rPr>
          <w:rFonts w:hint="eastAsia" w:ascii="方正仿宋_GBK" w:hAnsi="方正仿宋_GBK" w:eastAsia="方正仿宋_GBK" w:cs="方正仿宋_GBK"/>
          <w:b/>
          <w:bCs w:val="0"/>
          <w:color w:val="auto"/>
          <w:sz w:val="32"/>
          <w:szCs w:val="32"/>
          <w:highlight w:val="none"/>
          <w:lang w:eastAsia="zh-CN"/>
        </w:rPr>
        <w:t>九</w:t>
      </w:r>
      <w:r>
        <w:rPr>
          <w:rFonts w:hint="eastAsia" w:ascii="方正仿宋_GBK" w:hAnsi="方正仿宋_GBK" w:eastAsia="方正仿宋_GBK" w:cs="方正仿宋_GBK"/>
          <w:b/>
          <w:bCs w:val="0"/>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标准奖</w:t>
      </w:r>
      <w:r>
        <w:rPr>
          <w:rFonts w:hint="eastAsia" w:ascii="仿宋" w:hAnsi="仿宋" w:eastAsia="仿宋" w:cs="仿宋"/>
          <w:color w:val="auto"/>
          <w:sz w:val="32"/>
          <w:szCs w:val="32"/>
          <w:highlight w:val="none"/>
        </w:rPr>
        <w:t>实行</w:t>
      </w:r>
      <w:r>
        <w:rPr>
          <w:rFonts w:hint="eastAsia" w:ascii="仿宋" w:hAnsi="仿宋" w:eastAsia="仿宋" w:cs="仿宋"/>
          <w:color w:val="auto"/>
          <w:sz w:val="32"/>
          <w:szCs w:val="32"/>
          <w:highlight w:val="none"/>
          <w:lang w:eastAsia="zh-CN"/>
        </w:rPr>
        <w:t>先</w:t>
      </w:r>
      <w:r>
        <w:rPr>
          <w:rFonts w:hint="eastAsia" w:ascii="仿宋" w:hAnsi="仿宋" w:eastAsia="仿宋" w:cs="仿宋"/>
          <w:color w:val="auto"/>
          <w:sz w:val="32"/>
          <w:szCs w:val="32"/>
          <w:highlight w:val="none"/>
        </w:rPr>
        <w:t>提名</w:t>
      </w:r>
      <w:r>
        <w:rPr>
          <w:rFonts w:hint="eastAsia" w:ascii="仿宋" w:hAnsi="仿宋" w:eastAsia="仿宋" w:cs="仿宋"/>
          <w:color w:val="auto"/>
          <w:sz w:val="32"/>
          <w:szCs w:val="32"/>
          <w:highlight w:val="none"/>
          <w:lang w:eastAsia="zh-CN"/>
        </w:rPr>
        <w:t>后评审</w:t>
      </w:r>
      <w:r>
        <w:rPr>
          <w:rFonts w:hint="eastAsia" w:ascii="仿宋" w:hAnsi="仿宋" w:eastAsia="仿宋" w:cs="仿宋"/>
          <w:color w:val="auto"/>
          <w:sz w:val="32"/>
          <w:szCs w:val="32"/>
          <w:highlight w:val="none"/>
        </w:rPr>
        <w:t>制度，候选</w:t>
      </w:r>
      <w:r>
        <w:rPr>
          <w:rFonts w:hint="eastAsia" w:ascii="仿宋" w:hAnsi="仿宋" w:eastAsia="仿宋" w:cs="仿宋"/>
          <w:color w:val="auto"/>
          <w:sz w:val="32"/>
          <w:szCs w:val="32"/>
          <w:highlight w:val="none"/>
          <w:lang w:eastAsia="zh-CN"/>
        </w:rPr>
        <w:t>项目</w:t>
      </w:r>
      <w:r>
        <w:rPr>
          <w:rFonts w:hint="eastAsia" w:ascii="仿宋" w:hAnsi="仿宋" w:eastAsia="仿宋" w:cs="仿宋"/>
          <w:color w:val="auto"/>
          <w:sz w:val="32"/>
          <w:szCs w:val="32"/>
          <w:highlight w:val="none"/>
        </w:rPr>
        <w:t>由下列单位或者个人提名:</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（一）市</w:t>
      </w:r>
      <w:r>
        <w:rPr>
          <w:rFonts w:hint="eastAsia" w:ascii="仿宋" w:hAnsi="仿宋" w:eastAsia="仿宋" w:cs="仿宋"/>
          <w:color w:val="auto"/>
          <w:sz w:val="32"/>
          <w:szCs w:val="32"/>
          <w:highlight w:val="none"/>
          <w:lang w:eastAsia="zh-CN"/>
        </w:rPr>
        <w:t>人民</w:t>
      </w:r>
      <w:r>
        <w:rPr>
          <w:rFonts w:hint="eastAsia" w:ascii="仿宋" w:hAnsi="仿宋" w:eastAsia="仿宋" w:cs="仿宋"/>
          <w:color w:val="auto"/>
          <w:sz w:val="32"/>
          <w:szCs w:val="32"/>
          <w:highlight w:val="none"/>
        </w:rPr>
        <w:t>政府有关组成部门，各区政府（大鹏新区、深汕特别合作区管委会）</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科技主管部门</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snapToGrid/>
        <w:spacing w:line="560" w:lineRule="exact"/>
        <w:ind w:firstLine="616"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（二）</w:t>
      </w:r>
      <w:r>
        <w:rPr>
          <w:rFonts w:hint="eastAsia" w:ascii="仿宋" w:hAnsi="仿宋" w:eastAsia="仿宋" w:cs="仿宋"/>
          <w:color w:val="auto"/>
          <w:spacing w:val="-6"/>
          <w:sz w:val="32"/>
          <w:szCs w:val="32"/>
          <w:highlight w:val="none"/>
          <w:lang w:eastAsia="zh-CN"/>
        </w:rPr>
        <w:t>在深圳市任职工作的</w:t>
      </w:r>
      <w:r>
        <w:rPr>
          <w:rFonts w:hint="eastAsia" w:ascii="仿宋" w:hAnsi="仿宋" w:eastAsia="仿宋" w:cs="仿宋"/>
          <w:color w:val="auto"/>
          <w:spacing w:val="-6"/>
          <w:sz w:val="32"/>
          <w:szCs w:val="32"/>
          <w:highlight w:val="none"/>
        </w:rPr>
        <w:t>中国科学院院士、中国工程院院士；</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eastAsia="zh-CN"/>
        </w:rPr>
        <w:t>自愿配合开展提名工作的深圳市高等院校、科研机构，以及深圳市市级综合性、专业性标准化非营利法人组织</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eastAsia="zh-CN"/>
        </w:rPr>
        <w:t>纳入</w:t>
      </w:r>
      <w:r>
        <w:rPr>
          <w:rFonts w:hint="eastAsia" w:ascii="仿宋" w:hAnsi="仿宋" w:eastAsia="仿宋" w:cs="仿宋"/>
          <w:color w:val="auto"/>
          <w:sz w:val="32"/>
          <w:szCs w:val="32"/>
          <w:highlight w:val="none"/>
        </w:rPr>
        <w:t>深圳标准专家库</w:t>
      </w:r>
      <w:r>
        <w:rPr>
          <w:rFonts w:hint="eastAsia" w:ascii="仿宋" w:hAnsi="仿宋" w:eastAsia="仿宋" w:cs="仿宋"/>
          <w:color w:val="auto"/>
          <w:sz w:val="32"/>
          <w:szCs w:val="32"/>
          <w:highlight w:val="none"/>
          <w:lang w:eastAsia="zh-CN"/>
        </w:rPr>
        <w:t>管理且在聘期内的专家</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s="仿宋"/>
          <w:color w:val="auto"/>
          <w:sz w:val="32"/>
          <w:szCs w:val="32"/>
          <w:highlight w:val="none"/>
        </w:rPr>
      </w:pPr>
      <w:r>
        <w:rPr>
          <w:rFonts w:hint="eastAsia" w:ascii="方正仿宋_GBK" w:hAnsi="方正仿宋_GBK" w:eastAsia="方正仿宋_GBK" w:cs="方正仿宋_GBK"/>
          <w:b/>
          <w:bCs w:val="0"/>
          <w:color w:val="auto"/>
          <w:sz w:val="32"/>
          <w:szCs w:val="32"/>
          <w:highlight w:val="none"/>
        </w:rPr>
        <w:t>第</w:t>
      </w:r>
      <w:r>
        <w:rPr>
          <w:rFonts w:hint="eastAsia" w:ascii="方正仿宋_GBK" w:hAnsi="方正仿宋_GBK" w:eastAsia="方正仿宋_GBK" w:cs="方正仿宋_GBK"/>
          <w:b/>
          <w:bCs w:val="0"/>
          <w:color w:val="auto"/>
          <w:sz w:val="32"/>
          <w:szCs w:val="32"/>
          <w:highlight w:val="none"/>
          <w:lang w:eastAsia="zh-CN"/>
        </w:rPr>
        <w:t>十</w:t>
      </w:r>
      <w:r>
        <w:rPr>
          <w:rFonts w:hint="eastAsia" w:ascii="方正仿宋_GBK" w:hAnsi="方正仿宋_GBK" w:eastAsia="方正仿宋_GBK" w:cs="方正仿宋_GBK"/>
          <w:b/>
          <w:bCs w:val="0"/>
          <w:color w:val="auto"/>
          <w:sz w:val="32"/>
          <w:szCs w:val="32"/>
          <w:highlight w:val="none"/>
        </w:rPr>
        <w:t>条</w:t>
      </w:r>
      <w:r>
        <w:rPr>
          <w:rFonts w:hint="eastAsia" w:ascii="方正仿宋_GBK" w:hAnsi="方正仿宋_GBK" w:eastAsia="方正仿宋_GBK" w:cs="方正仿宋_GBK"/>
          <w:b/>
          <w:color w:val="auto"/>
          <w:sz w:val="32"/>
          <w:szCs w:val="32"/>
          <w:highlight w:val="none"/>
        </w:rPr>
        <w:t xml:space="preserve"> </w:t>
      </w:r>
      <w:r>
        <w:rPr>
          <w:rFonts w:hint="eastAsia" w:ascii="仿宋" w:hAnsi="仿宋" w:eastAsia="仿宋" w:cs="仿宋"/>
          <w:color w:val="auto"/>
          <w:sz w:val="32"/>
          <w:szCs w:val="32"/>
          <w:highlight w:val="none"/>
        </w:rPr>
        <w:t>提名单位和提名</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应在本学科、本行业、本部门范围内进行提名，提名单位每年度可以提名</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个项目；提名</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每年度可以提名 1个项目。</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bCs/>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rPr>
        <w:t>第</w:t>
      </w:r>
      <w:r>
        <w:rPr>
          <w:rFonts w:hint="eastAsia" w:ascii="方正仿宋_GBK" w:hAnsi="方正仿宋_GBK" w:eastAsia="方正仿宋_GBK" w:cs="方正仿宋_GBK"/>
          <w:b/>
          <w:bCs w:val="0"/>
          <w:color w:val="auto"/>
          <w:sz w:val="32"/>
          <w:szCs w:val="32"/>
          <w:highlight w:val="none"/>
          <w:lang w:eastAsia="zh-CN"/>
        </w:rPr>
        <w:t>十一</w:t>
      </w:r>
      <w:r>
        <w:rPr>
          <w:rFonts w:hint="eastAsia" w:ascii="方正仿宋_GBK" w:hAnsi="方正仿宋_GBK" w:eastAsia="方正仿宋_GBK" w:cs="方正仿宋_GBK"/>
          <w:b/>
          <w:bCs w:val="0"/>
          <w:color w:val="auto"/>
          <w:sz w:val="32"/>
          <w:szCs w:val="32"/>
          <w:highlight w:val="none"/>
        </w:rPr>
        <w:t>条</w:t>
      </w:r>
      <w:r>
        <w:rPr>
          <w:rFonts w:hint="eastAsia" w:ascii="仿宋" w:hAnsi="仿宋" w:eastAsia="仿宋" w:cs="仿宋"/>
          <w:color w:val="auto"/>
          <w:sz w:val="32"/>
          <w:szCs w:val="32"/>
          <w:highlight w:val="none"/>
        </w:rPr>
        <w:t xml:space="preserve"> 提名单位和提名</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在提名</w:t>
      </w:r>
      <w:r>
        <w:rPr>
          <w:rFonts w:hint="eastAsia" w:ascii="仿宋" w:hAnsi="仿宋" w:eastAsia="仿宋" w:cs="仿宋"/>
          <w:color w:val="auto"/>
          <w:sz w:val="32"/>
          <w:szCs w:val="32"/>
          <w:highlight w:val="none"/>
          <w:lang w:eastAsia="zh-CN"/>
        </w:rPr>
        <w:t>标准奖候选</w:t>
      </w:r>
      <w:r>
        <w:rPr>
          <w:rFonts w:hint="eastAsia" w:ascii="仿宋" w:hAnsi="仿宋" w:eastAsia="仿宋" w:cs="仿宋"/>
          <w:color w:val="auto"/>
          <w:sz w:val="32"/>
          <w:szCs w:val="32"/>
          <w:highlight w:val="none"/>
        </w:rPr>
        <w:t>项目时，应</w:t>
      </w:r>
      <w:r>
        <w:rPr>
          <w:rFonts w:hint="eastAsia" w:ascii="仿宋" w:hAnsi="仿宋" w:eastAsia="仿宋" w:cs="仿宋"/>
          <w:color w:val="auto"/>
          <w:sz w:val="32"/>
          <w:szCs w:val="32"/>
          <w:highlight w:val="none"/>
          <w:lang w:eastAsia="zh-CN"/>
        </w:rPr>
        <w:t>根据标准奖的申请范围和条件，</w:t>
      </w:r>
      <w:r>
        <w:rPr>
          <w:rFonts w:hint="eastAsia" w:ascii="仿宋" w:hAnsi="仿宋" w:eastAsia="仿宋" w:cs="仿宋"/>
          <w:color w:val="auto"/>
          <w:sz w:val="32"/>
          <w:szCs w:val="32"/>
          <w:highlight w:val="none"/>
        </w:rPr>
        <w:t>对项目申请材料认真、客观地</w:t>
      </w:r>
      <w:r>
        <w:rPr>
          <w:rFonts w:hint="eastAsia" w:ascii="仿宋" w:hAnsi="仿宋" w:eastAsia="仿宋" w:cs="仿宋"/>
          <w:color w:val="auto"/>
          <w:sz w:val="32"/>
          <w:szCs w:val="32"/>
          <w:highlight w:val="none"/>
          <w:lang w:eastAsia="zh-CN"/>
        </w:rPr>
        <w:t>作</w:t>
      </w:r>
      <w:r>
        <w:rPr>
          <w:rFonts w:hint="eastAsia" w:ascii="仿宋" w:hAnsi="仿宋" w:eastAsia="仿宋" w:cs="仿宋"/>
          <w:color w:val="auto"/>
          <w:sz w:val="32"/>
          <w:szCs w:val="32"/>
          <w:highlight w:val="none"/>
        </w:rPr>
        <w:t>出评价，填写提名书，提供必要的证明或者评价材料</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rPr>
        <w:t>。</w:t>
      </w:r>
      <w:r>
        <w:rPr>
          <w:rFonts w:ascii="仿宋" w:hAnsi="仿宋" w:eastAsia="仿宋"/>
          <w:bCs/>
          <w:color w:val="auto"/>
          <w:sz w:val="32"/>
          <w:szCs w:val="32"/>
          <w:highlight w:val="none"/>
        </w:rPr>
        <w:t>提名书及有关材料应当完整、真实、可靠，并在提名、答辩、异议处理等工作中承担相应责任。</w:t>
      </w:r>
      <w:r>
        <w:rPr>
          <w:rFonts w:hint="eastAsia" w:ascii="仿宋" w:hAnsi="仿宋" w:eastAsia="仿宋"/>
          <w:bCs/>
          <w:color w:val="auto"/>
          <w:sz w:val="32"/>
          <w:szCs w:val="32"/>
          <w:highlight w:val="none"/>
        </w:rPr>
        <w:t>被提名标准项目的主要完成人和完成单位应当与标准文本或相关证明材料所列主要起草人和起草单位一致</w:t>
      </w:r>
      <w:r>
        <w:rPr>
          <w:rFonts w:hint="eastAsia" w:ascii="仿宋" w:hAnsi="仿宋" w:eastAsia="仿宋"/>
          <w:bCs/>
          <w:color w:val="auto"/>
          <w:sz w:val="32"/>
          <w:szCs w:val="32"/>
          <w:highlight w:val="none"/>
          <w:lang w:eastAsia="zh-CN"/>
        </w:rPr>
        <w:t>。</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rPr>
        <w:t>第</w:t>
      </w:r>
      <w:r>
        <w:rPr>
          <w:rFonts w:hint="eastAsia" w:ascii="方正仿宋_GBK" w:hAnsi="方正仿宋_GBK" w:eastAsia="方正仿宋_GBK" w:cs="方正仿宋_GBK"/>
          <w:b/>
          <w:bCs w:val="0"/>
          <w:color w:val="auto"/>
          <w:sz w:val="32"/>
          <w:szCs w:val="32"/>
          <w:highlight w:val="none"/>
          <w:lang w:eastAsia="zh-CN"/>
        </w:rPr>
        <w:t>十二</w:t>
      </w:r>
      <w:r>
        <w:rPr>
          <w:rFonts w:hint="eastAsia" w:ascii="方正仿宋_GBK" w:hAnsi="方正仿宋_GBK" w:eastAsia="方正仿宋_GBK" w:cs="方正仿宋_GBK"/>
          <w:b/>
          <w:bCs w:val="0"/>
          <w:color w:val="auto"/>
          <w:sz w:val="32"/>
          <w:szCs w:val="32"/>
          <w:highlight w:val="none"/>
        </w:rPr>
        <w:t>条</w:t>
      </w:r>
      <w:r>
        <w:rPr>
          <w:rFonts w:hint="eastAsia" w:ascii="仿宋" w:hAnsi="仿宋" w:eastAsia="仿宋" w:cs="仿宋"/>
          <w:color w:val="auto"/>
          <w:sz w:val="32"/>
          <w:szCs w:val="32"/>
          <w:highlight w:val="none"/>
        </w:rPr>
        <w:t xml:space="preserve"> 提名</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不能作为</w:t>
      </w:r>
      <w:r>
        <w:rPr>
          <w:rFonts w:hint="eastAsia" w:ascii="仿宋" w:hAnsi="仿宋" w:eastAsia="仿宋" w:cs="仿宋"/>
          <w:color w:val="auto"/>
          <w:sz w:val="32"/>
          <w:szCs w:val="32"/>
          <w:highlight w:val="none"/>
          <w:lang w:eastAsia="zh-CN"/>
        </w:rPr>
        <w:t>同年度</w:t>
      </w:r>
      <w:r>
        <w:rPr>
          <w:rFonts w:hint="eastAsia" w:ascii="仿宋" w:hAnsi="仿宋" w:eastAsia="仿宋" w:cs="仿宋"/>
          <w:color w:val="auto"/>
          <w:sz w:val="32"/>
          <w:szCs w:val="32"/>
          <w:highlight w:val="none"/>
        </w:rPr>
        <w:t>提名项目完成人</w:t>
      </w:r>
      <w:r>
        <w:rPr>
          <w:rFonts w:hint="eastAsia" w:ascii="仿宋" w:hAnsi="仿宋" w:eastAsia="仿宋" w:cs="仿宋"/>
          <w:color w:val="auto"/>
          <w:sz w:val="32"/>
          <w:szCs w:val="32"/>
          <w:highlight w:val="none"/>
          <w:lang w:eastAsia="zh-CN"/>
        </w:rPr>
        <w:t>，且</w:t>
      </w:r>
      <w:r>
        <w:rPr>
          <w:rFonts w:hint="eastAsia" w:ascii="仿宋" w:hAnsi="仿宋" w:eastAsia="仿宋" w:cs="仿宋"/>
          <w:color w:val="auto"/>
          <w:sz w:val="32"/>
          <w:szCs w:val="32"/>
          <w:highlight w:val="none"/>
        </w:rPr>
        <w:t>不能与被提名项目完成人来自同一单位，并应回避相关评审活动。</w:t>
      </w:r>
      <w:r>
        <w:rPr>
          <w:rFonts w:hint="eastAsia" w:ascii="仿宋" w:hAnsi="仿宋" w:eastAsia="仿宋" w:cs="仿宋"/>
          <w:color w:val="auto"/>
          <w:sz w:val="32"/>
          <w:szCs w:val="32"/>
          <w:highlight w:val="none"/>
          <w:lang w:val="en-US" w:eastAsia="zh-CN"/>
        </w:rPr>
        <w:t xml:space="preserve">    </w:t>
      </w:r>
    </w:p>
    <w:p>
      <w:pPr>
        <w:keepNext w:val="0"/>
        <w:keepLines w:val="0"/>
        <w:pageBreakBefore w:val="0"/>
        <w:kinsoku/>
        <w:wordWrap/>
        <w:overflowPunct/>
        <w:topLinePunct w:val="0"/>
        <w:bidi w:val="0"/>
        <w:snapToGrid/>
        <w:spacing w:line="560" w:lineRule="exact"/>
        <w:jc w:val="center"/>
        <w:textAlignment w:val="auto"/>
        <w:rPr>
          <w:rFonts w:ascii="仿宋" w:hAnsi="仿宋" w:eastAsia="仿宋" w:cs="仿宋"/>
          <w:b/>
          <w:color w:val="auto"/>
          <w:sz w:val="32"/>
          <w:szCs w:val="32"/>
          <w:highlight w:val="none"/>
        </w:rPr>
      </w:pPr>
    </w:p>
    <w:p>
      <w:pPr>
        <w:keepNext w:val="0"/>
        <w:keepLines w:val="0"/>
        <w:pageBreakBefore w:val="0"/>
        <w:numPr>
          <w:ilvl w:val="-1"/>
          <w:numId w:val="0"/>
        </w:numPr>
        <w:kinsoku/>
        <w:wordWrap/>
        <w:overflowPunct/>
        <w:topLinePunct w:val="0"/>
        <w:bidi w:val="0"/>
        <w:snapToGrid/>
        <w:spacing w:line="560" w:lineRule="exact"/>
        <w:jc w:val="center"/>
        <w:textAlignment w:val="auto"/>
        <w:rPr>
          <w:rFonts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第四章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申请及受理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方正仿宋_GBK" w:hAnsi="方正仿宋_GBK" w:eastAsia="方正仿宋_GBK" w:cs="方正仿宋_GBK"/>
          <w:b/>
          <w:bCs w:val="0"/>
          <w:color w:val="auto"/>
          <w:sz w:val="32"/>
          <w:szCs w:val="32"/>
          <w:highlight w:val="none"/>
        </w:rPr>
        <w:t>第</w:t>
      </w:r>
      <w:r>
        <w:rPr>
          <w:rFonts w:hint="eastAsia" w:ascii="方正仿宋_GBK" w:hAnsi="方正仿宋_GBK" w:eastAsia="方正仿宋_GBK" w:cs="方正仿宋_GBK"/>
          <w:b/>
          <w:bCs w:val="0"/>
          <w:color w:val="auto"/>
          <w:sz w:val="32"/>
          <w:szCs w:val="32"/>
          <w:highlight w:val="none"/>
          <w:lang w:eastAsia="zh-CN"/>
        </w:rPr>
        <w:t>十三</w:t>
      </w:r>
      <w:r>
        <w:rPr>
          <w:rFonts w:hint="eastAsia" w:ascii="方正仿宋_GBK" w:hAnsi="方正仿宋_GBK" w:eastAsia="方正仿宋_GBK" w:cs="方正仿宋_GBK"/>
          <w:b/>
          <w:bCs w:val="0"/>
          <w:color w:val="auto"/>
          <w:sz w:val="32"/>
          <w:szCs w:val="32"/>
          <w:highlight w:val="none"/>
        </w:rPr>
        <w:t>条</w:t>
      </w:r>
      <w:r>
        <w:rPr>
          <w:rFonts w:hint="eastAsia" w:ascii="方正仿宋_GBK" w:hAnsi="方正仿宋_GBK" w:eastAsia="方正仿宋_GBK" w:cs="方正仿宋_GBK"/>
          <w:b/>
          <w:color w:val="auto"/>
          <w:sz w:val="32"/>
          <w:szCs w:val="32"/>
          <w:highlight w:val="none"/>
        </w:rPr>
        <w:t> </w:t>
      </w:r>
      <w:r>
        <w:rPr>
          <w:rFonts w:hint="eastAsia" w:ascii="方正仿宋_GBK" w:hAnsi="方正仿宋_GBK" w:eastAsia="方正仿宋_GBK" w:cs="方正仿宋_GBK"/>
          <w:b/>
          <w:color w:val="auto"/>
          <w:sz w:val="32"/>
          <w:szCs w:val="32"/>
          <w:highlight w:val="none"/>
          <w:lang w:eastAsia="zh-CN"/>
        </w:rPr>
        <w:t>深圳</w:t>
      </w:r>
      <w:r>
        <w:rPr>
          <w:rFonts w:hint="eastAsia" w:ascii="仿宋" w:hAnsi="仿宋" w:eastAsia="仿宋" w:cs="仿宋"/>
          <w:color w:val="auto"/>
          <w:sz w:val="32"/>
          <w:szCs w:val="32"/>
          <w:highlight w:val="none"/>
        </w:rPr>
        <w:t>市市场监督管理部门每年发布标准奖申请指南，明确申请时间、申请范围、申请材料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受理方式</w:t>
      </w:r>
      <w:r>
        <w:rPr>
          <w:rFonts w:hint="eastAsia" w:ascii="仿宋" w:hAnsi="仿宋" w:eastAsia="仿宋" w:cs="仿宋"/>
          <w:color w:val="auto"/>
          <w:sz w:val="32"/>
          <w:szCs w:val="32"/>
          <w:highlight w:val="none"/>
          <w:lang w:eastAsia="zh-CN"/>
        </w:rPr>
        <w:t>及具体评价指标等</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方正仿宋_GBK" w:hAnsi="方正仿宋_GBK" w:eastAsia="方正仿宋_GBK" w:cs="方正仿宋_GBK"/>
          <w:b/>
          <w:bCs w:val="0"/>
          <w:color w:val="auto"/>
          <w:sz w:val="32"/>
          <w:szCs w:val="32"/>
          <w:highlight w:val="none"/>
        </w:rPr>
        <w:t>第</w:t>
      </w:r>
      <w:r>
        <w:rPr>
          <w:rFonts w:hint="eastAsia" w:ascii="方正仿宋_GBK" w:hAnsi="方正仿宋_GBK" w:eastAsia="方正仿宋_GBK" w:cs="方正仿宋_GBK"/>
          <w:b/>
          <w:bCs w:val="0"/>
          <w:color w:val="auto"/>
          <w:sz w:val="32"/>
          <w:szCs w:val="32"/>
          <w:highlight w:val="none"/>
          <w:lang w:eastAsia="zh-CN"/>
        </w:rPr>
        <w:t>十四</w:t>
      </w:r>
      <w:r>
        <w:rPr>
          <w:rFonts w:hint="eastAsia" w:ascii="方正仿宋_GBK" w:hAnsi="方正仿宋_GBK" w:eastAsia="方正仿宋_GBK" w:cs="方正仿宋_GBK"/>
          <w:b/>
          <w:bCs w:val="0"/>
          <w:color w:val="auto"/>
          <w:sz w:val="32"/>
          <w:szCs w:val="32"/>
          <w:highlight w:val="none"/>
        </w:rPr>
        <w:t>条</w:t>
      </w:r>
      <w:r>
        <w:rPr>
          <w:rFonts w:hint="eastAsia" w:ascii="仿宋" w:hAnsi="仿宋" w:eastAsia="仿宋" w:cs="仿宋"/>
          <w:color w:val="auto"/>
          <w:sz w:val="32"/>
          <w:szCs w:val="32"/>
          <w:highlight w:val="none"/>
        </w:rPr>
        <w:t> 申请标准奖的项目须已经</w:t>
      </w:r>
      <w:r>
        <w:rPr>
          <w:rFonts w:hint="eastAsia" w:ascii="仿宋" w:hAnsi="仿宋" w:eastAsia="仿宋" w:cs="仿宋"/>
          <w:color w:val="auto"/>
          <w:sz w:val="32"/>
          <w:szCs w:val="32"/>
          <w:highlight w:val="none"/>
          <w:lang w:eastAsia="zh-CN"/>
        </w:rPr>
        <w:t>获得</w:t>
      </w:r>
      <w:r>
        <w:rPr>
          <w:rFonts w:hint="eastAsia" w:ascii="仿宋" w:hAnsi="仿宋" w:eastAsia="仿宋" w:cs="仿宋"/>
          <w:color w:val="auto"/>
          <w:sz w:val="32"/>
          <w:szCs w:val="32"/>
          <w:highlight w:val="none"/>
        </w:rPr>
        <w:t>正式</w:t>
      </w:r>
      <w:r>
        <w:rPr>
          <w:rFonts w:hint="eastAsia" w:ascii="仿宋" w:hAnsi="仿宋" w:eastAsia="仿宋" w:cs="仿宋"/>
          <w:color w:val="auto"/>
          <w:sz w:val="32"/>
          <w:szCs w:val="32"/>
          <w:highlight w:val="none"/>
          <w:lang w:eastAsia="zh-CN"/>
        </w:rPr>
        <w:t>提名</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根据申请指南</w:t>
      </w:r>
      <w:r>
        <w:rPr>
          <w:rFonts w:hint="eastAsia" w:ascii="仿宋" w:hAnsi="仿宋" w:eastAsia="仿宋" w:cs="仿宋"/>
          <w:color w:val="auto"/>
          <w:sz w:val="32"/>
          <w:szCs w:val="32"/>
          <w:highlight w:val="none"/>
        </w:rPr>
        <w:t>在规定的时间内提交下列材料：</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（一）《深圳市科学技术奖标准奖申请书》（原件，网上申请成功后自动生成打印并加盖</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公章）</w:t>
      </w:r>
      <w:r>
        <w:rPr>
          <w:rFonts w:hint="eastAsia" w:ascii="仿宋" w:hAnsi="仿宋" w:eastAsia="仿宋" w:cs="仿宋"/>
          <w:color w:val="auto"/>
          <w:sz w:val="32"/>
          <w:szCs w:val="32"/>
          <w:highlight w:val="none"/>
          <w:lang w:eastAsia="zh-CN"/>
        </w:rPr>
        <w:t>，以及《</w:t>
      </w:r>
      <w:r>
        <w:rPr>
          <w:rFonts w:hint="eastAsia" w:ascii="仿宋" w:hAnsi="仿宋" w:eastAsia="仿宋" w:cs="仿宋"/>
          <w:color w:val="auto"/>
          <w:sz w:val="32"/>
          <w:szCs w:val="32"/>
          <w:highlight w:val="none"/>
          <w:lang w:val="en-US" w:eastAsia="zh-CN"/>
        </w:rPr>
        <w:t>深圳市科学技术奖标准奖提名书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（二）法定代表人身份证复印件并加盖公章，或法人委托书及代理人身份证复印件并加盖公章；</w:t>
      </w:r>
    </w:p>
    <w:p>
      <w:pPr>
        <w:spacing w:line="560"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（三）事业单位和社会团体应提交法人证书复印件并加盖公章；</w:t>
      </w:r>
    </w:p>
    <w:p>
      <w:pPr>
        <w:keepNext w:val="0"/>
        <w:keepLines w:val="0"/>
        <w:pageBreakBefore w:val="0"/>
        <w:kinsoku/>
        <w:wordWrap/>
        <w:overflowPunct/>
        <w:topLinePunct w:val="0"/>
        <w:bidi w:val="0"/>
        <w:snapToGrid/>
        <w:spacing w:line="560" w:lineRule="exact"/>
        <w:ind w:firstLine="616" w:firstLineChars="200"/>
        <w:textAlignment w:val="auto"/>
        <w:rPr>
          <w:rFonts w:hint="eastAsia" w:ascii="Times New Roman" w:hAnsi="Times New Roman" w:eastAsia="仿宋_GB2312" w:cstheme="minorBidi"/>
          <w:color w:val="auto"/>
          <w:spacing w:val="-6"/>
          <w:sz w:val="32"/>
          <w:szCs w:val="32"/>
          <w:highlight w:val="none"/>
        </w:rPr>
      </w:pPr>
      <w:r>
        <w:rPr>
          <w:rFonts w:hint="eastAsia" w:ascii="Times New Roman" w:hAnsi="Times New Roman" w:eastAsia="仿宋_GB2312" w:cstheme="minorBidi"/>
          <w:color w:val="auto"/>
          <w:spacing w:val="-6"/>
          <w:sz w:val="32"/>
          <w:szCs w:val="32"/>
          <w:highlight w:val="none"/>
        </w:rPr>
        <w:t>（四）已经发布实施的国际标准</w:t>
      </w:r>
      <w:r>
        <w:rPr>
          <w:rFonts w:hint="eastAsia" w:ascii="Times New Roman" w:hAnsi="Times New Roman" w:eastAsia="仿宋_GB2312" w:cstheme="minorBidi"/>
          <w:color w:val="auto"/>
          <w:spacing w:val="-6"/>
          <w:sz w:val="32"/>
          <w:szCs w:val="32"/>
          <w:highlight w:val="none"/>
          <w:lang w:eastAsia="zh-CN"/>
        </w:rPr>
        <w:t>（包括原文件、汉语翻译文本）</w:t>
      </w:r>
      <w:r>
        <w:rPr>
          <w:rFonts w:hint="eastAsia" w:ascii="Times New Roman" w:hAnsi="Times New Roman" w:eastAsia="仿宋_GB2312" w:cstheme="minorBidi"/>
          <w:color w:val="auto"/>
          <w:spacing w:val="-6"/>
          <w:sz w:val="32"/>
          <w:szCs w:val="32"/>
          <w:highlight w:val="none"/>
        </w:rPr>
        <w:t>、国家标准、行业标准</w:t>
      </w:r>
      <w:r>
        <w:rPr>
          <w:rFonts w:hint="eastAsia" w:ascii="Times New Roman" w:hAnsi="Times New Roman" w:eastAsia="仿宋_GB2312" w:cstheme="minorBidi"/>
          <w:color w:val="auto"/>
          <w:spacing w:val="-6"/>
          <w:sz w:val="32"/>
          <w:szCs w:val="32"/>
          <w:highlight w:val="none"/>
          <w:lang w:eastAsia="zh-CN"/>
        </w:rPr>
        <w:t>、</w:t>
      </w:r>
      <w:r>
        <w:rPr>
          <w:rFonts w:hint="eastAsia" w:ascii="Times New Roman" w:hAnsi="Times New Roman" w:eastAsia="仿宋_GB2312" w:cstheme="minorBidi"/>
          <w:color w:val="auto"/>
          <w:spacing w:val="-6"/>
          <w:sz w:val="32"/>
          <w:szCs w:val="32"/>
          <w:highlight w:val="none"/>
        </w:rPr>
        <w:t>深圳市</w:t>
      </w:r>
      <w:r>
        <w:rPr>
          <w:rFonts w:hint="eastAsia" w:ascii="Times New Roman" w:hAnsi="Times New Roman" w:eastAsia="仿宋_GB2312" w:cstheme="minorBidi"/>
          <w:color w:val="auto"/>
          <w:spacing w:val="-6"/>
          <w:sz w:val="32"/>
          <w:szCs w:val="32"/>
          <w:highlight w:val="none"/>
          <w:lang w:eastAsia="zh-CN"/>
        </w:rPr>
        <w:t>地方</w:t>
      </w:r>
      <w:r>
        <w:rPr>
          <w:rFonts w:hint="eastAsia" w:ascii="Times New Roman" w:hAnsi="Times New Roman" w:eastAsia="仿宋_GB2312" w:cstheme="minorBidi"/>
          <w:color w:val="auto"/>
          <w:spacing w:val="-6"/>
          <w:sz w:val="32"/>
          <w:szCs w:val="32"/>
          <w:highlight w:val="none"/>
        </w:rPr>
        <w:t>标准</w:t>
      </w:r>
      <w:r>
        <w:rPr>
          <w:rFonts w:hint="eastAsia" w:ascii="Times New Roman" w:hAnsi="Times New Roman" w:eastAsia="仿宋_GB2312" w:cstheme="minorBidi"/>
          <w:color w:val="auto"/>
          <w:spacing w:val="-6"/>
          <w:sz w:val="32"/>
          <w:szCs w:val="32"/>
          <w:highlight w:val="none"/>
          <w:lang w:eastAsia="zh-CN"/>
        </w:rPr>
        <w:t>、团体标准</w:t>
      </w:r>
      <w:r>
        <w:rPr>
          <w:rFonts w:hint="eastAsia" w:ascii="Times New Roman" w:hAnsi="Times New Roman" w:eastAsia="仿宋_GB2312" w:cstheme="minorBidi"/>
          <w:color w:val="auto"/>
          <w:spacing w:val="-6"/>
          <w:sz w:val="32"/>
          <w:szCs w:val="32"/>
          <w:highlight w:val="none"/>
        </w:rPr>
        <w:t>项目文本（原件）；</w:t>
      </w:r>
    </w:p>
    <w:p>
      <w:pPr>
        <w:keepNext w:val="0"/>
        <w:keepLines w:val="0"/>
        <w:pageBreakBefore w:val="0"/>
        <w:kinsoku/>
        <w:wordWrap/>
        <w:overflowPunct/>
        <w:topLinePunct w:val="0"/>
        <w:bidi w:val="0"/>
        <w:snapToGrid/>
        <w:spacing w:line="560" w:lineRule="exact"/>
        <w:ind w:firstLine="616"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_GB2312" w:cstheme="minorBidi"/>
          <w:color w:val="auto"/>
          <w:spacing w:val="-6"/>
          <w:sz w:val="32"/>
          <w:szCs w:val="32"/>
          <w:highlight w:val="none"/>
        </w:rPr>
        <w:t>（</w:t>
      </w:r>
      <w:r>
        <w:rPr>
          <w:rFonts w:hint="eastAsia" w:ascii="仿宋" w:hAnsi="仿宋" w:eastAsia="仿宋" w:cs="仿宋"/>
          <w:color w:val="auto"/>
          <w:sz w:val="32"/>
          <w:szCs w:val="32"/>
          <w:highlight w:val="none"/>
        </w:rPr>
        <w:t>五）法定主管部门批准发布该标准的文件（提交加盖</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公章的复印件</w:t>
      </w:r>
      <w:r>
        <w:rPr>
          <w:rFonts w:hint="eastAsia" w:ascii="仿宋" w:hAnsi="仿宋" w:eastAsia="仿宋" w:cs="仿宋"/>
          <w:color w:val="auto"/>
          <w:sz w:val="32"/>
          <w:szCs w:val="32"/>
          <w:highlight w:val="none"/>
          <w:lang w:eastAsia="zh-CN"/>
        </w:rPr>
        <w:t>，团体标准项目除外</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）标准项目的技术水平证明（如标准审查时的专家评审意见、项目鉴定结论等）（提交加盖</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公章的复印件）；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）标准项目的经济社会效益</w:t>
      </w:r>
      <w:r>
        <w:rPr>
          <w:rFonts w:hint="eastAsia" w:ascii="仿宋" w:hAnsi="仿宋" w:eastAsia="仿宋" w:cs="仿宋"/>
          <w:color w:val="auto"/>
          <w:sz w:val="32"/>
          <w:szCs w:val="32"/>
          <w:highlight w:val="none"/>
          <w:lang w:eastAsia="zh-CN"/>
        </w:rPr>
        <w:t>或生态环境效益</w:t>
      </w:r>
      <w:r>
        <w:rPr>
          <w:rFonts w:hint="eastAsia" w:ascii="仿宋" w:hAnsi="仿宋" w:eastAsia="仿宋" w:cs="仿宋"/>
          <w:color w:val="auto"/>
          <w:sz w:val="32"/>
          <w:szCs w:val="32"/>
          <w:highlight w:val="none"/>
        </w:rPr>
        <w:t>证明（原件）。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lang w:val="en-US" w:eastAsia="zh-CN"/>
        </w:rPr>
        <w:t>）《申请指南》要求提供的其他材料。</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方正仿宋_GBK" w:hAnsi="方正仿宋_GBK" w:eastAsia="方正仿宋_GBK" w:cs="方正仿宋_GBK"/>
          <w:b/>
          <w:bCs w:val="0"/>
          <w:color w:val="auto"/>
          <w:sz w:val="32"/>
          <w:szCs w:val="32"/>
          <w:highlight w:val="none"/>
          <w:lang w:eastAsia="zh-CN"/>
        </w:rPr>
        <w:t>第十五条</w:t>
      </w:r>
      <w:r>
        <w:rPr>
          <w:rFonts w:hint="eastAsia" w:ascii="方正仿宋_GBK" w:hAnsi="方正仿宋_GBK" w:eastAsia="方正仿宋_GBK" w:cs="方正仿宋_GBK"/>
          <w:b/>
          <w:color w:val="auto"/>
          <w:sz w:val="32"/>
          <w:szCs w:val="32"/>
          <w:highlight w:val="none"/>
        </w:rPr>
        <w:t> </w:t>
      </w:r>
      <w:r>
        <w:rPr>
          <w:rFonts w:hint="eastAsia" w:ascii="仿宋" w:hAnsi="仿宋" w:eastAsia="仿宋" w:cs="仿宋"/>
          <w:color w:val="auto"/>
          <w:sz w:val="32"/>
          <w:szCs w:val="32"/>
          <w:highlight w:val="none"/>
          <w:lang w:eastAsia="zh-CN"/>
        </w:rPr>
        <w:t>深圳</w:t>
      </w:r>
      <w:r>
        <w:rPr>
          <w:rFonts w:hint="eastAsia" w:ascii="仿宋" w:hAnsi="仿宋" w:eastAsia="仿宋" w:cs="仿宋"/>
          <w:color w:val="auto"/>
          <w:sz w:val="32"/>
          <w:szCs w:val="32"/>
          <w:highlight w:val="none"/>
        </w:rPr>
        <w:t>市市场监督管理部门对申请材料进行形式审查，符合要求的予以受理；符合申请条件但材料不全的，告知需补足的材料，要求</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限期补足；不符合申请条件的，告知不予受理。</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通过形式审查的项目，由深圳市市场监督管理部门进行公示，公示时间不少于</w:t>
      </w:r>
      <w:r>
        <w:rPr>
          <w:rFonts w:hint="eastAsia" w:ascii="仿宋" w:hAnsi="仿宋" w:eastAsia="仿宋" w:cs="仿宋"/>
          <w:color w:val="auto"/>
          <w:sz w:val="32"/>
          <w:szCs w:val="32"/>
          <w:highlight w:val="none"/>
          <w:lang w:val="en-US" w:eastAsia="zh-CN"/>
        </w:rPr>
        <w:t>10日。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任何组织或者个人对公示项目有异议的，应当在公示规定时间内提出</w:t>
      </w:r>
      <w:r>
        <w:rPr>
          <w:rFonts w:hint="eastAsia" w:ascii="仿宋" w:hAnsi="仿宋" w:eastAsia="仿宋"/>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SA"/>
        </w:rPr>
        <w:t>逾期或无正当理由的，不予受理。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8"/>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提出异议的组织或者个人应当提供书面材料以及合法、有效的证明。提出异议的组织或者个人应当表明真实身份。自然人提出异议的，异议材料应当记载明确的联系方式（通信地址、电话号码等），并签署真实姓名；组织提出异议的，书面材料应当由其法定代表人签字确认，并加盖公章。</w:t>
      </w:r>
    </w:p>
    <w:p>
      <w:pPr>
        <w:keepNext w:val="0"/>
        <w:keepLines w:val="0"/>
        <w:pageBreakBefore w:val="0"/>
        <w:kinsoku/>
        <w:wordWrap/>
        <w:overflowPunct/>
        <w:topLinePunct w:val="0"/>
        <w:bidi w:val="0"/>
        <w:snapToGrid/>
        <w:spacing w:line="240" w:lineRule="auto"/>
        <w:ind w:firstLine="640" w:firstLineChars="200"/>
        <w:jc w:val="left"/>
        <w:textAlignment w:val="auto"/>
        <w:rPr>
          <w:rFonts w:ascii="仿宋" w:hAnsi="仿宋" w:eastAsia="仿宋" w:cs="仿宋"/>
          <w:b/>
          <w:color w:val="auto"/>
          <w:sz w:val="32"/>
          <w:szCs w:val="32"/>
          <w:highlight w:val="none"/>
        </w:rPr>
      </w:pPr>
      <w:r>
        <w:rPr>
          <w:rFonts w:hint="eastAsia" w:ascii="仿宋" w:hAnsi="仿宋" w:eastAsia="仿宋" w:cs="仿宋"/>
          <w:color w:val="auto"/>
          <w:kern w:val="2"/>
          <w:sz w:val="32"/>
          <w:szCs w:val="32"/>
          <w:highlight w:val="none"/>
          <w:lang w:val="en-US" w:eastAsia="zh-CN" w:bidi="ar-SA"/>
        </w:rPr>
        <w:t>　</w:t>
      </w:r>
    </w:p>
    <w:p>
      <w:pPr>
        <w:keepNext w:val="0"/>
        <w:keepLines w:val="0"/>
        <w:pageBreakBefore w:val="0"/>
        <w:numPr>
          <w:ilvl w:val="-1"/>
          <w:numId w:val="0"/>
        </w:numPr>
        <w:kinsoku/>
        <w:wordWrap/>
        <w:overflowPunct/>
        <w:topLinePunct w:val="0"/>
        <w:bidi w:val="0"/>
        <w:snapToGrid/>
        <w:spacing w:line="560" w:lineRule="exact"/>
        <w:jc w:val="center"/>
        <w:textAlignment w:val="auto"/>
        <w:rPr>
          <w:rFonts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第五章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评审组织</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w:t>
      </w: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val="en-US" w:eastAsia="zh-CN"/>
        </w:rPr>
        <w:t>深圳</w:t>
      </w:r>
      <w:r>
        <w:rPr>
          <w:rFonts w:hint="eastAsia" w:ascii="仿宋" w:hAnsi="仿宋" w:eastAsia="仿宋" w:cs="仿宋"/>
          <w:color w:val="auto"/>
          <w:sz w:val="32"/>
          <w:szCs w:val="32"/>
          <w:highlight w:val="none"/>
        </w:rPr>
        <w:t>市市场监督管理部门应当</w:t>
      </w:r>
      <w:r>
        <w:rPr>
          <w:rFonts w:hint="eastAsia" w:ascii="仿宋" w:hAnsi="仿宋" w:eastAsia="仿宋" w:cs="仿宋"/>
          <w:color w:val="auto"/>
          <w:sz w:val="32"/>
          <w:szCs w:val="32"/>
          <w:highlight w:val="none"/>
          <w:lang w:eastAsia="zh-CN"/>
        </w:rPr>
        <w:t>制定年度评审方案，</w:t>
      </w:r>
      <w:r>
        <w:rPr>
          <w:rFonts w:hint="eastAsia" w:ascii="仿宋" w:hAnsi="仿宋" w:eastAsia="仿宋" w:cs="仿宋"/>
          <w:color w:val="auto"/>
          <w:sz w:val="32"/>
          <w:szCs w:val="32"/>
          <w:highlight w:val="none"/>
        </w:rPr>
        <w:t>组建专家评审委员会（以下简称评委会），评委会由7名</w:t>
      </w:r>
      <w:r>
        <w:rPr>
          <w:rFonts w:hint="eastAsia" w:ascii="仿宋" w:hAnsi="仿宋" w:eastAsia="仿宋" w:cs="仿宋"/>
          <w:color w:val="auto"/>
          <w:sz w:val="32"/>
          <w:szCs w:val="32"/>
          <w:highlight w:val="none"/>
          <w:lang w:eastAsia="zh-CN"/>
        </w:rPr>
        <w:t>或</w:t>
      </w:r>
      <w:r>
        <w:rPr>
          <w:rFonts w:hint="eastAsia" w:ascii="仿宋" w:hAnsi="仿宋" w:eastAsia="仿宋" w:cs="仿宋"/>
          <w:color w:val="auto"/>
          <w:sz w:val="32"/>
          <w:szCs w:val="32"/>
          <w:highlight w:val="none"/>
          <w:lang w:val="en-US" w:eastAsia="zh-CN"/>
        </w:rPr>
        <w:t>7名</w:t>
      </w:r>
      <w:r>
        <w:rPr>
          <w:rFonts w:hint="eastAsia" w:ascii="仿宋" w:hAnsi="仿宋" w:eastAsia="仿宋" w:cs="仿宋"/>
          <w:color w:val="auto"/>
          <w:sz w:val="32"/>
          <w:szCs w:val="32"/>
          <w:highlight w:val="none"/>
        </w:rPr>
        <w:t>以上单数</w:t>
      </w:r>
      <w:r>
        <w:rPr>
          <w:rFonts w:hint="eastAsia" w:ascii="仿宋" w:hAnsi="仿宋" w:eastAsia="仿宋" w:cs="仿宋"/>
          <w:color w:val="auto"/>
          <w:sz w:val="32"/>
          <w:szCs w:val="32"/>
          <w:highlight w:val="none"/>
          <w:lang w:eastAsia="zh-CN"/>
        </w:rPr>
        <w:t>相关领域的标准化</w:t>
      </w:r>
      <w:r>
        <w:rPr>
          <w:rFonts w:hint="eastAsia" w:ascii="仿宋" w:hAnsi="仿宋" w:eastAsia="仿宋" w:cs="仿宋"/>
          <w:color w:val="auto"/>
          <w:sz w:val="32"/>
          <w:szCs w:val="32"/>
          <w:highlight w:val="none"/>
        </w:rPr>
        <w:t>专家组成。</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评委会设主任委员1名，主任委员应当具有奖励评审经验</w:t>
      </w:r>
      <w:r>
        <w:rPr>
          <w:rFonts w:hint="eastAsia" w:ascii="仿宋" w:hAnsi="仿宋" w:eastAsia="仿宋" w:cs="仿宋"/>
          <w:color w:val="auto"/>
          <w:sz w:val="32"/>
          <w:szCs w:val="32"/>
          <w:highlight w:val="none"/>
          <w:lang w:eastAsia="zh-CN"/>
        </w:rPr>
        <w:t>或</w:t>
      </w:r>
      <w:r>
        <w:rPr>
          <w:rFonts w:hint="eastAsia" w:ascii="仿宋" w:hAnsi="仿宋" w:eastAsia="仿宋" w:cs="仿宋"/>
          <w:color w:val="auto"/>
          <w:sz w:val="32"/>
          <w:szCs w:val="32"/>
          <w:highlight w:val="none"/>
        </w:rPr>
        <w:t>资深标准化工作经验，由评委会委员推举产生。主任委员负责主持评审会议，按时提交评审结果。</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评委会应</w:t>
      </w:r>
      <w:r>
        <w:rPr>
          <w:rFonts w:hint="eastAsia" w:ascii="仿宋" w:hAnsi="仿宋" w:eastAsia="仿宋" w:cs="仿宋"/>
          <w:color w:val="auto"/>
          <w:sz w:val="32"/>
          <w:szCs w:val="32"/>
          <w:highlight w:val="none"/>
          <w:lang w:eastAsia="zh-CN"/>
        </w:rPr>
        <w:t>当根据评审方案开展项目评审</w:t>
      </w:r>
      <w:r>
        <w:rPr>
          <w:rFonts w:hint="eastAsia" w:ascii="仿宋" w:hAnsi="仿宋" w:eastAsia="仿宋" w:cs="仿宋"/>
          <w:color w:val="auto"/>
          <w:sz w:val="32"/>
          <w:szCs w:val="32"/>
          <w:highlight w:val="none"/>
        </w:rPr>
        <w:t>，评审分初审和复审环节，按以下规则进行：</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（一）初审环节：</w:t>
      </w:r>
      <w:bookmarkStart w:id="0" w:name="_GoBack"/>
      <w:bookmarkEnd w:id="0"/>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深圳</w:t>
      </w:r>
      <w:r>
        <w:rPr>
          <w:rFonts w:hint="eastAsia" w:ascii="仿宋" w:hAnsi="仿宋" w:eastAsia="仿宋" w:cs="仿宋"/>
          <w:color w:val="auto"/>
          <w:sz w:val="32"/>
          <w:szCs w:val="32"/>
          <w:highlight w:val="none"/>
        </w:rPr>
        <w:t>市市场监督管理部门将形式审查合格的标准项目提交给专家评委会进行评审。</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2．评委会各专家对该项目进行独立评分。评委会所有专家评分的平均分为该项目</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评审得分。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3．评委会根据各项目得分从高到低按顺序确定入围复审项目名单，入围复审项目总数不超过18个，同一</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入围复审</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项目不超过2个。</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（二）复审环节：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1．评委会对入围复审项目进行复审；评委会专家对入围复审项目进行质询，由</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答辩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评委会可以</w:t>
      </w:r>
      <w:r>
        <w:rPr>
          <w:rFonts w:hint="eastAsia" w:ascii="仿宋" w:hAnsi="仿宋" w:eastAsia="仿宋" w:cs="仿宋"/>
          <w:color w:val="auto"/>
          <w:sz w:val="32"/>
          <w:szCs w:val="32"/>
          <w:highlight w:val="none"/>
          <w:lang w:eastAsia="zh-CN"/>
        </w:rPr>
        <w:t>视</w:t>
      </w:r>
      <w:r>
        <w:rPr>
          <w:rFonts w:hint="eastAsia" w:ascii="仿宋" w:hAnsi="仿宋" w:eastAsia="仿宋" w:cs="仿宋"/>
          <w:color w:val="auto"/>
          <w:sz w:val="32"/>
          <w:szCs w:val="32"/>
          <w:highlight w:val="none"/>
        </w:rPr>
        <w:t>情况</w:t>
      </w:r>
      <w:r>
        <w:rPr>
          <w:rFonts w:hint="eastAsia" w:ascii="仿宋" w:hAnsi="仿宋" w:eastAsia="仿宋" w:cs="仿宋"/>
          <w:color w:val="auto"/>
          <w:sz w:val="32"/>
          <w:szCs w:val="32"/>
          <w:highlight w:val="none"/>
          <w:lang w:eastAsia="zh-CN"/>
        </w:rPr>
        <w:t>需要</w:t>
      </w:r>
      <w:r>
        <w:rPr>
          <w:rFonts w:hint="eastAsia" w:ascii="仿宋" w:hAnsi="仿宋" w:eastAsia="仿宋" w:cs="仿宋"/>
          <w:color w:val="auto"/>
          <w:sz w:val="32"/>
          <w:szCs w:val="32"/>
          <w:highlight w:val="none"/>
        </w:rPr>
        <w:t>组织专家对</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进行现场核查，现场核查人数不少于3人。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2．评委会各专家综合</w:t>
      </w:r>
      <w:r>
        <w:rPr>
          <w:rFonts w:hint="eastAsia" w:ascii="仿宋" w:hAnsi="仿宋" w:eastAsia="仿宋" w:cs="仿宋"/>
          <w:color w:val="auto"/>
          <w:sz w:val="32"/>
          <w:szCs w:val="32"/>
          <w:highlight w:val="none"/>
          <w:lang w:eastAsia="zh-CN"/>
        </w:rPr>
        <w:t>申请</w:t>
      </w:r>
      <w:r>
        <w:rPr>
          <w:rFonts w:hint="eastAsia" w:ascii="仿宋" w:hAnsi="仿宋" w:eastAsia="仿宋" w:cs="仿宋"/>
          <w:color w:val="auto"/>
          <w:sz w:val="32"/>
          <w:szCs w:val="32"/>
          <w:highlight w:val="none"/>
        </w:rPr>
        <w:t>材料、质询情况及现场核查情况对入围复审项目再次进行独立评分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评委会所有专家评分的平均分为该项目复审得分。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3．评委会根据复审得分情况提出推荐获奖项目名单报</w:t>
      </w:r>
      <w:r>
        <w:rPr>
          <w:rFonts w:hint="eastAsia" w:ascii="仿宋" w:hAnsi="仿宋" w:eastAsia="仿宋" w:cs="仿宋"/>
          <w:color w:val="auto"/>
          <w:sz w:val="32"/>
          <w:szCs w:val="32"/>
          <w:highlight w:val="none"/>
          <w:lang w:eastAsia="zh-CN"/>
        </w:rPr>
        <w:t>深圳</w:t>
      </w:r>
      <w:r>
        <w:rPr>
          <w:rFonts w:hint="eastAsia" w:ascii="仿宋" w:hAnsi="仿宋" w:eastAsia="仿宋" w:cs="仿宋"/>
          <w:color w:val="auto"/>
          <w:sz w:val="32"/>
          <w:szCs w:val="32"/>
          <w:highlight w:val="none"/>
        </w:rPr>
        <w:t>市市场监督管理部门，推荐获奖项目总数不超过15个，推荐备选项目总数不超过3个。</w:t>
      </w:r>
    </w:p>
    <w:p>
      <w:pPr>
        <w:keepNext w:val="0"/>
        <w:keepLines w:val="0"/>
        <w:pageBreakBefore w:val="0"/>
        <w:kinsoku/>
        <w:wordWrap/>
        <w:overflowPunct/>
        <w:topLinePunct w:val="0"/>
        <w:bidi w:val="0"/>
        <w:snapToGrid/>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十九</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评委会专家实行回避制度，与</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sz w:val="32"/>
          <w:szCs w:val="32"/>
          <w:highlight w:val="none"/>
        </w:rPr>
        <w:t>、提名单位或者个人有利害关系的评审专家以及相关工作人员应当回避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来自同一单位的专家不超过1名。</w:t>
      </w: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二十</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评审专家因特殊原因不能正常履行评审工作职责的，应当及时告知</w:t>
      </w:r>
      <w:r>
        <w:rPr>
          <w:rFonts w:hint="eastAsia" w:ascii="仿宋" w:hAnsi="仿宋" w:eastAsia="仿宋" w:cs="仿宋"/>
          <w:color w:val="auto"/>
          <w:sz w:val="32"/>
          <w:szCs w:val="32"/>
          <w:highlight w:val="none"/>
          <w:lang w:eastAsia="zh-CN"/>
        </w:rPr>
        <w:t>评审工作组织</w:t>
      </w:r>
      <w:r>
        <w:rPr>
          <w:rFonts w:hint="eastAsia" w:ascii="仿宋" w:hAnsi="仿宋" w:eastAsia="仿宋" w:cs="仿宋"/>
          <w:color w:val="auto"/>
          <w:sz w:val="32"/>
          <w:szCs w:val="32"/>
          <w:highlight w:val="none"/>
        </w:rPr>
        <w:t>部门，</w:t>
      </w:r>
      <w:r>
        <w:rPr>
          <w:rFonts w:hint="eastAsia" w:ascii="仿宋" w:hAnsi="仿宋" w:eastAsia="仿宋" w:cs="仿宋"/>
          <w:color w:val="auto"/>
          <w:sz w:val="32"/>
          <w:szCs w:val="32"/>
          <w:highlight w:val="none"/>
          <w:lang w:eastAsia="zh-CN"/>
        </w:rPr>
        <w:t>由评审工作组织</w:t>
      </w:r>
      <w:r>
        <w:rPr>
          <w:rFonts w:hint="eastAsia" w:ascii="仿宋" w:hAnsi="仿宋" w:eastAsia="仿宋" w:cs="仿宋"/>
          <w:color w:val="auto"/>
          <w:sz w:val="32"/>
          <w:szCs w:val="32"/>
          <w:highlight w:val="none"/>
        </w:rPr>
        <w:t>部门从专家库中重新选取。</w:t>
      </w: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二十一</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评审专家以及工作人员应当对评审情况、专家名单及参评项目的技术内容等保密。</w:t>
      </w:r>
    </w:p>
    <w:p>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s="仿宋"/>
          <w:color w:val="auto"/>
          <w:sz w:val="32"/>
          <w:szCs w:val="32"/>
          <w:highlight w:val="none"/>
        </w:rPr>
      </w:pPr>
    </w:p>
    <w:p>
      <w:pPr>
        <w:keepNext w:val="0"/>
        <w:keepLines w:val="0"/>
        <w:pageBreakBefore w:val="0"/>
        <w:numPr>
          <w:ilvl w:val="-1"/>
          <w:numId w:val="0"/>
        </w:numPr>
        <w:kinsoku/>
        <w:wordWrap/>
        <w:overflowPunct/>
        <w:topLinePunct w:val="0"/>
        <w:bidi w:val="0"/>
        <w:snapToGrid/>
        <w:spacing w:line="560" w:lineRule="exact"/>
        <w:jc w:val="center"/>
        <w:textAlignment w:val="auto"/>
        <w:rPr>
          <w:rFonts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第六章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授奖</w:t>
      </w:r>
    </w:p>
    <w:p>
      <w:pPr>
        <w:keepNext w:val="0"/>
        <w:keepLines w:val="0"/>
        <w:pageBreakBefore w:val="0"/>
        <w:kinsoku/>
        <w:wordWrap/>
        <w:overflowPunct/>
        <w:topLinePunct w:val="0"/>
        <w:bidi w:val="0"/>
        <w:snapToGrid/>
        <w:spacing w:line="560" w:lineRule="exact"/>
        <w:textAlignment w:val="auto"/>
        <w:rPr>
          <w:rFonts w:ascii="仿宋" w:hAnsi="仿宋" w:eastAsia="仿宋" w:cs="仿宋"/>
          <w:b/>
          <w:color w:val="auto"/>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2"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w:t>
      </w:r>
      <w:r>
        <w:rPr>
          <w:rFonts w:hint="eastAsia" w:ascii="仿宋" w:hAnsi="仿宋" w:eastAsia="仿宋" w:cs="仿宋"/>
          <w:b/>
          <w:bCs/>
          <w:color w:val="auto"/>
          <w:kern w:val="2"/>
          <w:sz w:val="32"/>
          <w:szCs w:val="32"/>
          <w:highlight w:val="none"/>
          <w:lang w:eastAsia="zh-CN" w:bidi="ar-SA"/>
        </w:rPr>
        <w:t>二十二</w:t>
      </w:r>
      <w:r>
        <w:rPr>
          <w:rFonts w:hint="eastAsia" w:ascii="仿宋" w:hAnsi="仿宋" w:eastAsia="仿宋" w:cs="仿宋"/>
          <w:b/>
          <w:bCs/>
          <w:color w:val="auto"/>
          <w:kern w:val="2"/>
          <w:sz w:val="32"/>
          <w:szCs w:val="32"/>
          <w:highlight w:val="none"/>
          <w:lang w:val="en-US" w:eastAsia="zh-CN" w:bidi="ar-SA"/>
        </w:rPr>
        <w:t>条</w:t>
      </w:r>
      <w:r>
        <w:rPr>
          <w:rFonts w:hint="eastAsia" w:ascii="仿宋" w:hAnsi="仿宋" w:eastAsia="仿宋" w:cs="仿宋"/>
          <w:color w:val="auto"/>
          <w:kern w:val="2"/>
          <w:sz w:val="32"/>
          <w:szCs w:val="32"/>
          <w:highlight w:val="none"/>
          <w:lang w:val="en-US" w:eastAsia="zh-CN" w:bidi="ar-SA"/>
        </w:rPr>
        <w:t> 评委会推荐的拟奖项目和候选项目，深圳市市场监督管理部门按照《深圳市科学技术奖励办法》的规定，向市财政、科创、发改、工信、税务、深圳海关等有关部门征求意见，未提出反对意见的，视为同意拟奖。拟奖项目经审核符合相关规定条件的，上报市科学技术奖励委员会办公室（以下简称市奖励办），由市奖励办向社会公示，经市政府批准后确定年度标准奖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　　第二十三条 </w:t>
      </w:r>
      <w:r>
        <w:rPr>
          <w:rFonts w:hint="eastAsia" w:ascii="仿宋" w:hAnsi="仿宋" w:eastAsia="仿宋" w:cs="仿宋"/>
          <w:b w:val="0"/>
          <w:bCs w:val="0"/>
          <w:color w:val="auto"/>
          <w:kern w:val="2"/>
          <w:sz w:val="32"/>
          <w:szCs w:val="32"/>
          <w:highlight w:val="none"/>
          <w:lang w:val="en-US" w:eastAsia="zh-CN" w:bidi="ar-SA"/>
        </w:rPr>
        <w:t>市标准奖</w:t>
      </w:r>
      <w:r>
        <w:rPr>
          <w:rFonts w:hint="eastAsia" w:ascii="仿宋" w:hAnsi="仿宋" w:eastAsia="仿宋" w:cs="仿宋"/>
          <w:color w:val="auto"/>
          <w:kern w:val="2"/>
          <w:sz w:val="32"/>
          <w:szCs w:val="32"/>
          <w:highlight w:val="none"/>
          <w:lang w:val="en-US" w:eastAsia="zh-CN" w:bidi="ar-SA"/>
        </w:rPr>
        <w:t>获奖单位备齐获奖证明、收款收据和银行账户等材料后，到市市场监督管理部门办理奖金拨付手续。</w:t>
      </w:r>
    </w:p>
    <w:p>
      <w:pPr>
        <w:keepNext w:val="0"/>
        <w:keepLines w:val="0"/>
        <w:pageBreakBefore w:val="0"/>
        <w:numPr>
          <w:ilvl w:val="0"/>
          <w:numId w:val="0"/>
        </w:numPr>
        <w:kinsoku/>
        <w:wordWrap/>
        <w:overflowPunct/>
        <w:topLinePunct w:val="0"/>
        <w:bidi w:val="0"/>
        <w:snapToGrid/>
        <w:spacing w:line="560" w:lineRule="exact"/>
        <w:jc w:val="both"/>
        <w:textAlignment w:val="auto"/>
        <w:rPr>
          <w:rFonts w:hint="eastAsia" w:ascii="黑体" w:hAnsi="黑体" w:eastAsia="黑体" w:cs="黑体"/>
          <w:bCs/>
          <w:color w:val="auto"/>
          <w:sz w:val="32"/>
          <w:szCs w:val="32"/>
          <w:highlight w:val="none"/>
        </w:rPr>
      </w:pP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eastAsia="zh-CN"/>
        </w:rPr>
        <w:t>七</w:t>
      </w:r>
      <w:r>
        <w:rPr>
          <w:rFonts w:hint="eastAsia" w:ascii="黑体" w:hAnsi="黑体" w:eastAsia="黑体" w:cs="黑体"/>
          <w:bCs/>
          <w:color w:val="auto"/>
          <w:sz w:val="32"/>
          <w:szCs w:val="32"/>
          <w:highlight w:val="none"/>
        </w:rPr>
        <w:t>章　监督及处罚</w:t>
      </w:r>
    </w:p>
    <w:p>
      <w:pPr>
        <w:keepNext w:val="0"/>
        <w:keepLines w:val="0"/>
        <w:pageBreakBefore w:val="0"/>
        <w:kinsoku/>
        <w:wordWrap/>
        <w:overflowPunct/>
        <w:topLinePunct w:val="0"/>
        <w:bidi w:val="0"/>
        <w:snapToGrid/>
        <w:spacing w:line="560" w:lineRule="exact"/>
        <w:jc w:val="center"/>
        <w:textAlignment w:val="auto"/>
        <w:rPr>
          <w:rFonts w:ascii="仿宋" w:hAnsi="仿宋" w:eastAsia="仿宋" w:cs="仿宋"/>
          <w:b/>
          <w:color w:val="auto"/>
          <w:sz w:val="32"/>
          <w:szCs w:val="32"/>
          <w:highlight w:val="none"/>
        </w:rPr>
      </w:pPr>
    </w:p>
    <w:p>
      <w:pPr>
        <w:keepNext w:val="0"/>
        <w:keepLines w:val="0"/>
        <w:pageBreakBefore w:val="0"/>
        <w:kinsoku/>
        <w:wordWrap/>
        <w:overflowPunct/>
        <w:topLinePunct w:val="0"/>
        <w:bidi w:val="0"/>
        <w:snapToGrid/>
        <w:spacing w:line="560" w:lineRule="exact"/>
        <w:jc w:val="center"/>
        <w:textAlignment w:val="auto"/>
        <w:rPr>
          <w:rFonts w:ascii="仿宋" w:hAnsi="仿宋" w:eastAsia="仿宋" w:cs="仿宋"/>
          <w:b/>
          <w:color w:val="auto"/>
          <w:sz w:val="32"/>
          <w:szCs w:val="32"/>
          <w:highlight w:val="none"/>
        </w:rPr>
      </w:pPr>
    </w:p>
    <w:p>
      <w:pPr>
        <w:keepNext w:val="0"/>
        <w:keepLines w:val="0"/>
        <w:pageBreakBefore w:val="0"/>
        <w:kinsoku/>
        <w:wordWrap/>
        <w:overflowPunct/>
        <w:topLinePunct w:val="0"/>
        <w:bidi w:val="0"/>
        <w:snapToGrid/>
        <w:spacing w:line="560" w:lineRule="exact"/>
        <w:ind w:firstLine="642" w:firstLineChars="200"/>
        <w:jc w:val="both"/>
        <w:textAlignment w:val="auto"/>
        <w:rPr>
          <w:rFonts w:hint="eastAsia" w:ascii="仿宋" w:hAnsi="仿宋" w:eastAsia="仿宋" w:cs="仿宋"/>
          <w:i w:val="0"/>
          <w:caps w:val="0"/>
          <w:color w:val="auto"/>
          <w:spacing w:val="0"/>
          <w:sz w:val="32"/>
          <w:szCs w:val="32"/>
          <w:highlight w:val="none"/>
          <w:shd w:val="clear" w:fill="auto"/>
        </w:rPr>
      </w:pPr>
      <w:r>
        <w:rPr>
          <w:rFonts w:hint="eastAsia" w:ascii="仿宋" w:hAnsi="仿宋" w:eastAsia="仿宋" w:cs="仿宋"/>
          <w:b/>
          <w:bCs/>
          <w:color w:val="auto"/>
          <w:kern w:val="2"/>
          <w:sz w:val="32"/>
          <w:szCs w:val="32"/>
          <w:highlight w:val="none"/>
          <w:lang w:val="en-US" w:eastAsia="zh-CN" w:bidi="ar-SA"/>
        </w:rPr>
        <w:t xml:space="preserve">第二十四条 </w:t>
      </w:r>
      <w:r>
        <w:rPr>
          <w:rFonts w:hint="eastAsia" w:ascii="仿宋" w:hAnsi="仿宋" w:eastAsia="仿宋" w:cs="仿宋"/>
          <w:color w:val="auto"/>
          <w:kern w:val="2"/>
          <w:sz w:val="32"/>
          <w:szCs w:val="32"/>
          <w:highlight w:val="none"/>
          <w:lang w:val="en-US" w:eastAsia="zh-CN" w:bidi="ar-SA"/>
        </w:rPr>
        <w:t>参加评审的专家须签订标准奖评审专家承诺书，独立、客观、公平、公正开展评审工作。评审专家在评审活动中不履行承诺的，由深圳市市场监督管理部门视情况给予责令改正、记录不良信誉或者取消资格等处理，必要时，将查实的不当行为通报其所在单位</w:t>
      </w:r>
      <w:r>
        <w:rPr>
          <w:rFonts w:hint="eastAsia" w:ascii="仿宋" w:hAnsi="仿宋" w:eastAsia="仿宋" w:cs="仿宋"/>
          <w:i w:val="0"/>
          <w:caps w:val="0"/>
          <w:color w:val="auto"/>
          <w:spacing w:val="0"/>
          <w:sz w:val="32"/>
          <w:szCs w:val="32"/>
          <w:highlight w:val="none"/>
          <w:shd w:val="clear" w:fill="auto"/>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fill="auto"/>
          <w:lang w:eastAsia="zh-CN"/>
        </w:rPr>
      </w:pPr>
      <w:r>
        <w:rPr>
          <w:rFonts w:hint="eastAsia" w:ascii="仿宋" w:hAnsi="仿宋" w:eastAsia="仿宋" w:cs="仿宋"/>
          <w:color w:val="auto"/>
          <w:kern w:val="2"/>
          <w:sz w:val="32"/>
          <w:szCs w:val="32"/>
          <w:highlight w:val="none"/>
          <w:lang w:val="en-US" w:eastAsia="zh-CN" w:bidi="ar-SA"/>
        </w:rPr>
        <w:t>参与标准奖评审活动的相关工作人员存在弄虚作假、徇私舞弊等行为涉嫌违纪违法的，由深圳市市场监督管理部门对其依法作出相应处理</w:t>
      </w:r>
      <w:r>
        <w:rPr>
          <w:rFonts w:hint="eastAsia" w:ascii="仿宋" w:hAnsi="仿宋" w:eastAsia="仿宋" w:cs="仿宋"/>
          <w:i w:val="0"/>
          <w:caps w:val="0"/>
          <w:color w:val="auto"/>
          <w:spacing w:val="0"/>
          <w:sz w:val="32"/>
          <w:szCs w:val="32"/>
          <w:highlight w:val="none"/>
          <w:shd w:val="clear" w:fill="auto"/>
          <w:lang w:eastAsia="zh-CN"/>
        </w:rPr>
        <w:t>。</w:t>
      </w:r>
    </w:p>
    <w:p>
      <w:pPr>
        <w:keepNext w:val="0"/>
        <w:keepLines w:val="0"/>
        <w:pageBreakBefore w:val="0"/>
        <w:kinsoku/>
        <w:wordWrap/>
        <w:overflowPunct/>
        <w:topLinePunct w:val="0"/>
        <w:bidi w:val="0"/>
        <w:snapToGrid/>
        <w:spacing w:line="560" w:lineRule="exact"/>
        <w:ind w:firstLine="642"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第二十五条</w:t>
      </w:r>
      <w:r>
        <w:rPr>
          <w:rFonts w:hint="eastAsia" w:ascii="仿宋" w:hAnsi="仿宋" w:eastAsia="仿宋" w:cs="仿宋"/>
          <w:color w:val="auto"/>
          <w:kern w:val="2"/>
          <w:sz w:val="32"/>
          <w:szCs w:val="32"/>
          <w:highlight w:val="none"/>
          <w:lang w:val="en-US" w:eastAsia="zh-CN" w:bidi="ar-SA"/>
        </w:rPr>
        <w:t>　</w:t>
      </w:r>
      <w:r>
        <w:rPr>
          <w:rFonts w:hint="eastAsia" w:ascii="仿宋" w:hAnsi="仿宋" w:eastAsia="仿宋" w:cs="仿宋"/>
          <w:color w:val="auto"/>
          <w:sz w:val="32"/>
          <w:szCs w:val="32"/>
          <w:highlight w:val="none"/>
          <w:lang w:eastAsia="zh-CN"/>
        </w:rPr>
        <w:t>被提名单位</w:t>
      </w:r>
      <w:r>
        <w:rPr>
          <w:rFonts w:hint="eastAsia" w:ascii="仿宋" w:hAnsi="仿宋" w:eastAsia="仿宋" w:cs="仿宋"/>
          <w:color w:val="auto"/>
          <w:kern w:val="2"/>
          <w:sz w:val="32"/>
          <w:szCs w:val="32"/>
          <w:highlight w:val="none"/>
          <w:lang w:val="en-US" w:eastAsia="zh-CN" w:bidi="ar-SA"/>
        </w:rPr>
        <w:t>提供虚假数据、材料，或以不正当手段影响评审的，取消其当届和下一届申请资格，并将其行为进行通报公开。</w:t>
      </w:r>
    </w:p>
    <w:p>
      <w:pPr>
        <w:keepNext w:val="0"/>
        <w:keepLines w:val="0"/>
        <w:pageBreakBefore w:val="0"/>
        <w:kinsoku/>
        <w:wordWrap/>
        <w:overflowPunct/>
        <w:topLinePunct w:val="0"/>
        <w:bidi w:val="0"/>
        <w:snapToGrid/>
        <w:spacing w:line="560" w:lineRule="exact"/>
        <w:ind w:firstLine="642"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第二十六条</w:t>
      </w:r>
      <w:r>
        <w:rPr>
          <w:rFonts w:hint="eastAsia" w:ascii="仿宋" w:hAnsi="仿宋" w:eastAsia="仿宋" w:cs="仿宋"/>
          <w:color w:val="auto"/>
          <w:kern w:val="2"/>
          <w:sz w:val="32"/>
          <w:szCs w:val="32"/>
          <w:highlight w:val="none"/>
          <w:lang w:val="en-US" w:eastAsia="zh-CN" w:bidi="ar-SA"/>
        </w:rPr>
        <w:t>　提名单位、提名人提供虚假数据、材料的，视其严重程度，暂停或取消其提名资格。</w:t>
      </w:r>
    </w:p>
    <w:p>
      <w:pPr>
        <w:keepNext w:val="0"/>
        <w:keepLines w:val="0"/>
        <w:pageBreakBefore w:val="0"/>
        <w:kinsoku/>
        <w:wordWrap/>
        <w:overflowPunct/>
        <w:topLinePunct w:val="0"/>
        <w:bidi w:val="0"/>
        <w:snapToGrid/>
        <w:spacing w:line="560" w:lineRule="exact"/>
        <w:ind w:firstLine="592" w:firstLineChars="200"/>
        <w:jc w:val="both"/>
        <w:textAlignment w:val="auto"/>
        <w:rPr>
          <w:rFonts w:ascii="微软雅黑" w:hAnsi="微软雅黑" w:eastAsia="微软雅黑" w:cs="微软雅黑"/>
          <w:i w:val="0"/>
          <w:caps w:val="0"/>
          <w:color w:val="auto"/>
          <w:spacing w:val="8"/>
          <w:sz w:val="28"/>
          <w:szCs w:val="28"/>
          <w:highlight w:val="none"/>
          <w:shd w:val="clear" w:fill="FFFFFF"/>
        </w:rPr>
      </w:pPr>
    </w:p>
    <w:p>
      <w:pPr>
        <w:keepNext w:val="0"/>
        <w:keepLines w:val="0"/>
        <w:pageBreakBefore w:val="0"/>
        <w:numPr>
          <w:ilvl w:val="0"/>
          <w:numId w:val="0"/>
        </w:numPr>
        <w:kinsoku/>
        <w:wordWrap/>
        <w:overflowPunct/>
        <w:topLinePunct w:val="0"/>
        <w:bidi w:val="0"/>
        <w:snapToGrid/>
        <w:spacing w:line="560" w:lineRule="exact"/>
        <w:jc w:val="center"/>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eastAsia="zh-CN"/>
        </w:rPr>
        <w:t>第八章</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附 则</w:t>
      </w:r>
    </w:p>
    <w:p>
      <w:pPr>
        <w:keepNext w:val="0"/>
        <w:keepLines w:val="0"/>
        <w:pageBreakBefore w:val="0"/>
        <w:kinsoku/>
        <w:wordWrap/>
        <w:overflowPunct/>
        <w:topLinePunct w:val="0"/>
        <w:bidi w:val="0"/>
        <w:snapToGrid/>
        <w:spacing w:line="560" w:lineRule="exact"/>
        <w:textAlignment w:val="auto"/>
        <w:rPr>
          <w:rFonts w:ascii="黑体" w:hAnsi="黑体" w:eastAsia="黑体" w:cs="黑体"/>
          <w:bCs/>
          <w:color w:val="auto"/>
          <w:sz w:val="32"/>
          <w:szCs w:val="32"/>
          <w:highlight w:val="none"/>
        </w:rPr>
      </w:pP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二十七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提名单位或提名</w:t>
      </w:r>
      <w:r>
        <w:rPr>
          <w:rFonts w:hint="eastAsia" w:ascii="仿宋" w:hAnsi="仿宋" w:eastAsia="仿宋" w:cs="仿宋"/>
          <w:color w:val="auto"/>
          <w:sz w:val="32"/>
          <w:szCs w:val="32"/>
          <w:highlight w:val="none"/>
          <w:lang w:eastAsia="zh-CN"/>
        </w:rPr>
        <w:t>人不得</w:t>
      </w:r>
      <w:r>
        <w:rPr>
          <w:rFonts w:hint="eastAsia" w:ascii="仿宋" w:hAnsi="仿宋" w:eastAsia="仿宋" w:cs="仿宋"/>
          <w:color w:val="auto"/>
          <w:sz w:val="32"/>
          <w:szCs w:val="32"/>
          <w:highlight w:val="none"/>
        </w:rPr>
        <w:t>收取</w:t>
      </w:r>
      <w:r>
        <w:rPr>
          <w:rFonts w:hint="eastAsia" w:ascii="仿宋" w:hAnsi="仿宋" w:eastAsia="仿宋" w:cs="仿宋"/>
          <w:color w:val="auto"/>
          <w:sz w:val="32"/>
          <w:szCs w:val="32"/>
          <w:highlight w:val="none"/>
          <w:lang w:eastAsia="zh-CN"/>
        </w:rPr>
        <w:t>被提名单位提名</w:t>
      </w:r>
      <w:r>
        <w:rPr>
          <w:rFonts w:hint="eastAsia" w:ascii="仿宋" w:hAnsi="仿宋" w:eastAsia="仿宋" w:cs="仿宋"/>
          <w:color w:val="auto"/>
          <w:sz w:val="32"/>
          <w:szCs w:val="32"/>
          <w:highlight w:val="none"/>
        </w:rPr>
        <w:t>费用</w:t>
      </w:r>
      <w:r>
        <w:rPr>
          <w:rFonts w:hint="eastAsia" w:ascii="仿宋" w:hAnsi="仿宋" w:eastAsia="仿宋" w:cs="仿宋"/>
          <w:color w:val="auto"/>
          <w:spacing w:val="-11"/>
          <w:sz w:val="32"/>
          <w:szCs w:val="32"/>
          <w:highlight w:val="none"/>
          <w:lang w:eastAsia="zh-CN"/>
        </w:rPr>
        <w:t>或</w:t>
      </w:r>
      <w:r>
        <w:rPr>
          <w:rFonts w:hint="eastAsia" w:ascii="仿宋" w:hAnsi="仿宋" w:eastAsia="仿宋" w:cs="仿宋"/>
          <w:color w:val="auto"/>
          <w:spacing w:val="-11"/>
          <w:sz w:val="32"/>
          <w:szCs w:val="32"/>
          <w:highlight w:val="none"/>
        </w:rPr>
        <w:t>利用提名</w:t>
      </w:r>
      <w:r>
        <w:rPr>
          <w:rFonts w:hint="eastAsia" w:ascii="仿宋" w:hAnsi="仿宋" w:eastAsia="仿宋" w:cs="仿宋"/>
          <w:color w:val="auto"/>
          <w:spacing w:val="-11"/>
          <w:sz w:val="32"/>
          <w:szCs w:val="32"/>
          <w:highlight w:val="none"/>
          <w:lang w:eastAsia="zh-CN"/>
        </w:rPr>
        <w:t>工作</w:t>
      </w:r>
      <w:r>
        <w:rPr>
          <w:rFonts w:hint="eastAsia" w:ascii="仿宋" w:hAnsi="仿宋" w:eastAsia="仿宋" w:cs="仿宋"/>
          <w:color w:val="auto"/>
          <w:spacing w:val="-11"/>
          <w:sz w:val="32"/>
          <w:szCs w:val="32"/>
          <w:highlight w:val="none"/>
        </w:rPr>
        <w:t>谋取非法利益，违者情节严重的依法追究法律责任。</w:t>
      </w: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二十八</w:t>
      </w:r>
      <w:r>
        <w:rPr>
          <w:rFonts w:hint="eastAsia" w:ascii="仿宋" w:hAnsi="仿宋" w:eastAsia="仿宋" w:cs="仿宋"/>
          <w:b/>
          <w:bCs/>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olor w:val="auto"/>
          <w:sz w:val="32"/>
          <w:szCs w:val="32"/>
          <w:highlight w:val="none"/>
        </w:rPr>
        <w:t>本实施细则由</w:t>
      </w:r>
      <w:r>
        <w:rPr>
          <w:rFonts w:hint="eastAsia" w:ascii="仿宋" w:hAnsi="仿宋" w:eastAsia="仿宋"/>
          <w:color w:val="auto"/>
          <w:sz w:val="32"/>
          <w:szCs w:val="32"/>
          <w:highlight w:val="none"/>
          <w:lang w:eastAsia="zh-CN"/>
        </w:rPr>
        <w:t>深圳</w:t>
      </w:r>
      <w:r>
        <w:rPr>
          <w:rFonts w:hint="eastAsia" w:ascii="仿宋" w:hAnsi="仿宋" w:eastAsia="仿宋"/>
          <w:color w:val="auto"/>
          <w:sz w:val="32"/>
          <w:szCs w:val="32"/>
          <w:highlight w:val="none"/>
        </w:rPr>
        <w:t>市</w:t>
      </w:r>
      <w:r>
        <w:rPr>
          <w:rFonts w:hint="eastAsia" w:ascii="仿宋" w:hAnsi="仿宋" w:eastAsia="仿宋"/>
          <w:color w:val="auto"/>
          <w:sz w:val="32"/>
          <w:szCs w:val="32"/>
          <w:highlight w:val="none"/>
          <w:lang w:eastAsia="zh-CN"/>
        </w:rPr>
        <w:t>市场监督管理部门</w:t>
      </w:r>
      <w:r>
        <w:rPr>
          <w:rFonts w:hint="eastAsia" w:ascii="仿宋" w:hAnsi="仿宋" w:eastAsia="仿宋"/>
          <w:color w:val="auto"/>
          <w:sz w:val="32"/>
          <w:szCs w:val="32"/>
          <w:highlight w:val="none"/>
        </w:rPr>
        <w:t>负责解释。</w:t>
      </w:r>
    </w:p>
    <w:p>
      <w:pPr>
        <w:keepNext w:val="0"/>
        <w:keepLines w:val="0"/>
        <w:pageBreakBefore w:val="0"/>
        <w:kinsoku/>
        <w:wordWrap/>
        <w:overflowPunct/>
        <w:topLinePunct w:val="0"/>
        <w:bidi w:val="0"/>
        <w:snapToGrid/>
        <w:spacing w:line="560" w:lineRule="exact"/>
        <w:ind w:firstLine="642" w:firstLineChars="200"/>
        <w:textAlignment w:val="auto"/>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二十九</w:t>
      </w:r>
      <w:r>
        <w:rPr>
          <w:rFonts w:hint="eastAsia" w:ascii="仿宋" w:hAnsi="仿宋" w:eastAsia="仿宋" w:cs="仿宋"/>
          <w:b/>
          <w:bCs/>
          <w:color w:val="auto"/>
          <w:sz w:val="32"/>
          <w:szCs w:val="32"/>
          <w:highlight w:val="none"/>
        </w:rPr>
        <w:t>条</w:t>
      </w:r>
      <w:r>
        <w:rPr>
          <w:rFonts w:hint="eastAsia" w:ascii="黑体" w:hAnsi="黑体" w:eastAsia="黑体" w:cs="黑体"/>
          <w:bCs/>
          <w:color w:val="auto"/>
          <w:sz w:val="32"/>
          <w:szCs w:val="32"/>
          <w:highlight w:val="none"/>
        </w:rPr>
        <w:t xml:space="preserve"> </w:t>
      </w:r>
      <w:r>
        <w:rPr>
          <w:rFonts w:hint="eastAsia" w:ascii="仿宋" w:hAnsi="仿宋" w:eastAsia="仿宋" w:cs="仿宋"/>
          <w:color w:val="auto"/>
          <w:sz w:val="32"/>
          <w:szCs w:val="32"/>
          <w:highlight w:val="none"/>
        </w:rPr>
        <w:t>本实施细则自发布之日起施行，有效期 5年。《深圳市科学技术奖(</w:t>
      </w:r>
      <w:r>
        <w:rPr>
          <w:rFonts w:hint="eastAsia" w:ascii="仿宋" w:hAnsi="仿宋" w:eastAsia="仿宋" w:cs="仿宋"/>
          <w:color w:val="auto"/>
          <w:sz w:val="32"/>
          <w:szCs w:val="32"/>
          <w:highlight w:val="none"/>
          <w:lang w:eastAsia="zh-CN"/>
        </w:rPr>
        <w:t>标准</w:t>
      </w:r>
      <w:r>
        <w:rPr>
          <w:rFonts w:hint="eastAsia" w:ascii="仿宋" w:hAnsi="仿宋" w:eastAsia="仿宋" w:cs="仿宋"/>
          <w:color w:val="auto"/>
          <w:sz w:val="32"/>
          <w:szCs w:val="32"/>
          <w:highlight w:val="none"/>
        </w:rPr>
        <w:t>奖)奖励办法实施细则))(深市</w:t>
      </w:r>
      <w:r>
        <w:rPr>
          <w:rFonts w:hint="eastAsia" w:ascii="仿宋" w:hAnsi="仿宋" w:eastAsia="仿宋" w:cs="仿宋"/>
          <w:color w:val="auto"/>
          <w:sz w:val="32"/>
          <w:szCs w:val="32"/>
          <w:highlight w:val="none"/>
          <w:lang w:eastAsia="zh-CN"/>
        </w:rPr>
        <w:t>质</w:t>
      </w:r>
      <w:r>
        <w:rPr>
          <w:rFonts w:hint="eastAsia" w:ascii="仿宋" w:hAnsi="仿宋" w:eastAsia="仿宋" w:cs="仿宋"/>
          <w:color w:val="auto"/>
          <w:sz w:val="32"/>
          <w:szCs w:val="32"/>
          <w:highlight w:val="none"/>
        </w:rPr>
        <w:t>规 (2017)</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 xml:space="preserve">号)同时废止。  </w:t>
      </w:r>
    </w:p>
    <w:sectPr>
      <w:footerReference r:id="rId3" w:type="default"/>
      <w:pgSz w:w="11906" w:h="16838"/>
      <w:pgMar w:top="1701"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iddenHorzOCl">
    <w:altName w:val="华文仿宋"/>
    <w:panose1 w:val="00000000000000000000"/>
    <w:charset w:val="86"/>
    <w:family w:val="swiss"/>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1184"/>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1"/>
    <w:rsid w:val="00073A9B"/>
    <w:rsid w:val="000B4D92"/>
    <w:rsid w:val="00103283"/>
    <w:rsid w:val="00184C63"/>
    <w:rsid w:val="003D6C4C"/>
    <w:rsid w:val="00546680"/>
    <w:rsid w:val="00590F72"/>
    <w:rsid w:val="005D5E18"/>
    <w:rsid w:val="005E5FD3"/>
    <w:rsid w:val="00713783"/>
    <w:rsid w:val="007E60E4"/>
    <w:rsid w:val="00803FE2"/>
    <w:rsid w:val="00834A6E"/>
    <w:rsid w:val="009D1EED"/>
    <w:rsid w:val="00A70CAE"/>
    <w:rsid w:val="00AB3430"/>
    <w:rsid w:val="00AC6CE1"/>
    <w:rsid w:val="00B856C1"/>
    <w:rsid w:val="00BB41CC"/>
    <w:rsid w:val="00C418F1"/>
    <w:rsid w:val="00CA43E9"/>
    <w:rsid w:val="00D75A1D"/>
    <w:rsid w:val="00D824FA"/>
    <w:rsid w:val="00DA2DCB"/>
    <w:rsid w:val="00E153E3"/>
    <w:rsid w:val="00E75749"/>
    <w:rsid w:val="00EF28E0"/>
    <w:rsid w:val="00F819C1"/>
    <w:rsid w:val="020A635E"/>
    <w:rsid w:val="02865A97"/>
    <w:rsid w:val="0B78633F"/>
    <w:rsid w:val="0E7C1A1B"/>
    <w:rsid w:val="10CA4037"/>
    <w:rsid w:val="11023117"/>
    <w:rsid w:val="12450102"/>
    <w:rsid w:val="1359787A"/>
    <w:rsid w:val="169D13C5"/>
    <w:rsid w:val="18765CCA"/>
    <w:rsid w:val="19884620"/>
    <w:rsid w:val="1D230B53"/>
    <w:rsid w:val="22F6316C"/>
    <w:rsid w:val="25C35A0F"/>
    <w:rsid w:val="270A3E1D"/>
    <w:rsid w:val="27EF97B6"/>
    <w:rsid w:val="2A40589A"/>
    <w:rsid w:val="2C333CFD"/>
    <w:rsid w:val="2D21372A"/>
    <w:rsid w:val="2DE417D7"/>
    <w:rsid w:val="2FDC73AE"/>
    <w:rsid w:val="32D7241E"/>
    <w:rsid w:val="3A21575A"/>
    <w:rsid w:val="3AF7526C"/>
    <w:rsid w:val="3B7F9117"/>
    <w:rsid w:val="3BDFC88A"/>
    <w:rsid w:val="3BEF3349"/>
    <w:rsid w:val="3CCC7BB6"/>
    <w:rsid w:val="3E84053B"/>
    <w:rsid w:val="3EBAD54D"/>
    <w:rsid w:val="3FBF4B4C"/>
    <w:rsid w:val="3FFB8BDF"/>
    <w:rsid w:val="3FFFE003"/>
    <w:rsid w:val="42BC34C3"/>
    <w:rsid w:val="42DA6185"/>
    <w:rsid w:val="447E3D1D"/>
    <w:rsid w:val="463C0763"/>
    <w:rsid w:val="4FDF01F1"/>
    <w:rsid w:val="514B234F"/>
    <w:rsid w:val="51705C4E"/>
    <w:rsid w:val="52AD1FC3"/>
    <w:rsid w:val="54FD136B"/>
    <w:rsid w:val="57BC1492"/>
    <w:rsid w:val="57FD13D2"/>
    <w:rsid w:val="59912A38"/>
    <w:rsid w:val="5A0E067C"/>
    <w:rsid w:val="5B7C8456"/>
    <w:rsid w:val="5BD779CC"/>
    <w:rsid w:val="5CAE23ED"/>
    <w:rsid w:val="5CCD7432"/>
    <w:rsid w:val="5DF7554C"/>
    <w:rsid w:val="5FC9E4DF"/>
    <w:rsid w:val="62BF5105"/>
    <w:rsid w:val="64D93DF6"/>
    <w:rsid w:val="6A507506"/>
    <w:rsid w:val="6B32757F"/>
    <w:rsid w:val="6F7D6B90"/>
    <w:rsid w:val="71F17F04"/>
    <w:rsid w:val="734A48CE"/>
    <w:rsid w:val="73CB639D"/>
    <w:rsid w:val="73D91850"/>
    <w:rsid w:val="73EE3103"/>
    <w:rsid w:val="73F494DE"/>
    <w:rsid w:val="74272E6B"/>
    <w:rsid w:val="776FFF0F"/>
    <w:rsid w:val="77BC1752"/>
    <w:rsid w:val="7853625E"/>
    <w:rsid w:val="79D36C01"/>
    <w:rsid w:val="79D3C11E"/>
    <w:rsid w:val="7D6F3506"/>
    <w:rsid w:val="7D7FE26A"/>
    <w:rsid w:val="7DF69777"/>
    <w:rsid w:val="7E3FAA73"/>
    <w:rsid w:val="7E7D1B01"/>
    <w:rsid w:val="7EDFE095"/>
    <w:rsid w:val="7EEE081D"/>
    <w:rsid w:val="7EFEA789"/>
    <w:rsid w:val="7F57DF52"/>
    <w:rsid w:val="9DFB0318"/>
    <w:rsid w:val="9DFDED78"/>
    <w:rsid w:val="A4EF4914"/>
    <w:rsid w:val="AF6D846E"/>
    <w:rsid w:val="C618E5BC"/>
    <w:rsid w:val="C8DEC584"/>
    <w:rsid w:val="CBFEE76C"/>
    <w:rsid w:val="CE7F33CF"/>
    <w:rsid w:val="CFBD289C"/>
    <w:rsid w:val="D7EE8385"/>
    <w:rsid w:val="DBCFCB88"/>
    <w:rsid w:val="DBFC761F"/>
    <w:rsid w:val="DBFF1F09"/>
    <w:rsid w:val="DDFF40F4"/>
    <w:rsid w:val="DFFF601F"/>
    <w:rsid w:val="E79F5AFE"/>
    <w:rsid w:val="EF4DFBE8"/>
    <w:rsid w:val="F7FD2F80"/>
    <w:rsid w:val="F8FF1344"/>
    <w:rsid w:val="F97BF1F6"/>
    <w:rsid w:val="FAB3A057"/>
    <w:rsid w:val="FFBB43C3"/>
    <w:rsid w:val="FFDD8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Default"/>
    <w:unhideWhenUsed/>
    <w:qFormat/>
    <w:uiPriority w:val="99"/>
    <w:pPr>
      <w:widowControl w:val="0"/>
      <w:autoSpaceDE w:val="0"/>
      <w:autoSpaceDN w:val="0"/>
      <w:adjustRightInd w:val="0"/>
    </w:pPr>
    <w:rPr>
      <w:rFonts w:hint="eastAsia" w:ascii="HiddenHorzOCl" w:hAnsi="HiddenHorzOCl" w:eastAsia="HiddenHorzOCl" w:cs="Times New Roman"/>
      <w:color w:val="000000"/>
      <w:sz w:val="24"/>
      <w:lang w:val="en-US" w:eastAsia="zh-CN" w:bidi="ar-SA"/>
    </w:rPr>
  </w:style>
  <w:style w:type="paragraph" w:customStyle="1" w:styleId="18">
    <w:name w:val="CM11"/>
    <w:basedOn w:val="17"/>
    <w:next w:val="17"/>
    <w:unhideWhenUsed/>
    <w:qFormat/>
    <w:uiPriority w:val="99"/>
    <w:rPr>
      <w:rFonts w:hint="default"/>
    </w:rPr>
  </w:style>
  <w:style w:type="paragraph" w:customStyle="1" w:styleId="19">
    <w:name w:val="Body text|1"/>
    <w:basedOn w:val="1"/>
    <w:qFormat/>
    <w:uiPriority w:val="0"/>
    <w:pPr>
      <w:spacing w:line="470" w:lineRule="auto"/>
      <w:ind w:firstLine="400"/>
      <w:jc w:val="left"/>
    </w:pPr>
    <w:rPr>
      <w:rFonts w:ascii="宋体" w:hAnsi="宋体" w:eastAsia="宋体" w:cs="宋体"/>
      <w:sz w:val="28"/>
      <w:szCs w:val="28"/>
      <w:lang w:val="zh-TW" w:eastAsia="zh-TW" w:bidi="zh-TW"/>
    </w:rPr>
  </w:style>
  <w:style w:type="character" w:customStyle="1" w:styleId="20">
    <w:name w:val="批注文字 字符"/>
    <w:basedOn w:val="12"/>
    <w:link w:val="3"/>
    <w:semiHidden/>
    <w:qFormat/>
    <w:uiPriority w:val="99"/>
    <w:rPr>
      <w:kern w:val="2"/>
      <w:sz w:val="21"/>
      <w:szCs w:val="22"/>
    </w:rPr>
  </w:style>
  <w:style w:type="character" w:customStyle="1" w:styleId="21">
    <w:name w:val="批注主题 字符"/>
    <w:basedOn w:val="20"/>
    <w:link w:val="9"/>
    <w:semiHidden/>
    <w:qFormat/>
    <w:uiPriority w:val="99"/>
    <w:rPr>
      <w:b/>
      <w:bCs/>
      <w:kern w:val="2"/>
      <w:sz w:val="21"/>
      <w:szCs w:val="22"/>
    </w:rPr>
  </w:style>
  <w:style w:type="character" w:customStyle="1" w:styleId="22">
    <w:name w:val="批注框文本 字符"/>
    <w:basedOn w:val="12"/>
    <w:link w:val="5"/>
    <w:semiHidden/>
    <w:qFormat/>
    <w:uiPriority w:val="99"/>
    <w:rPr>
      <w:kern w:val="2"/>
      <w:sz w:val="18"/>
      <w:szCs w:val="18"/>
    </w:rPr>
  </w:style>
  <w:style w:type="character" w:customStyle="1" w:styleId="23">
    <w:name w:val="日期 字符"/>
    <w:basedOn w:val="12"/>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868</Words>
  <Characters>4952</Characters>
  <Lines>41</Lines>
  <Paragraphs>11</Paragraphs>
  <TotalTime>290</TotalTime>
  <ScaleCrop>false</ScaleCrop>
  <LinksUpToDate>false</LinksUpToDate>
  <CharactersWithSpaces>5809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2022-03-15T15:28:00Z</dcterms:created>
  <dc:creator>杨昌盛</dc:creator>
  <cp:lastModifiedBy>wangsw</cp:lastModifiedBy>
  <cp:lastPrinted>2022-05-02T01:07:00Z</cp:lastPrinted>
  <dcterms:modified xsi:type="dcterms:W3CDTF">2022-05-10T10:38:47Z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CB6FF80721314986B9A0A928A7E6AB00</vt:lpwstr>
  </property>
</Properties>
</file>