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b/>
          <w:bCs/>
          <w:sz w:val="32"/>
          <w:szCs w:val="32"/>
        </w:rPr>
      </w:pPr>
      <w:bookmarkStart w:id="0" w:name="_GoBack"/>
      <w:bookmarkEnd w:id="0"/>
    </w:p>
    <w:p>
      <w:pPr>
        <w:rPr>
          <w:rFonts w:ascii="仿宋" w:hAnsi="仿宋" w:eastAsia="仿宋" w:cs="仿宋"/>
          <w:sz w:val="32"/>
          <w:szCs w:val="32"/>
        </w:rPr>
      </w:pPr>
    </w:p>
    <w:p>
      <w:pPr>
        <w:jc w:val="center"/>
        <w:rPr>
          <w:rFonts w:ascii="宋体" w:hAnsi="宋体" w:cs="宋体"/>
          <w:b/>
          <w:bCs/>
          <w:sz w:val="44"/>
          <w:szCs w:val="44"/>
        </w:rPr>
      </w:pPr>
      <w:r>
        <w:rPr>
          <w:rFonts w:hint="eastAsia" w:ascii="宋体" w:hAnsi="宋体" w:cs="宋体"/>
          <w:b/>
          <w:bCs/>
          <w:sz w:val="44"/>
          <w:szCs w:val="44"/>
        </w:rPr>
        <w:t>深圳市住房和建设局建筑业稳增长奖励</w:t>
      </w:r>
    </w:p>
    <w:p>
      <w:pPr>
        <w:jc w:val="center"/>
        <w:rPr>
          <w:rFonts w:ascii="宋体" w:hAnsi="宋体" w:cs="宋体"/>
          <w:b/>
          <w:bCs/>
          <w:sz w:val="44"/>
          <w:szCs w:val="44"/>
        </w:rPr>
      </w:pPr>
      <w:r>
        <w:rPr>
          <w:rFonts w:hint="eastAsia" w:ascii="宋体" w:hAnsi="宋体" w:cs="宋体"/>
          <w:b/>
          <w:bCs/>
          <w:sz w:val="44"/>
          <w:szCs w:val="44"/>
        </w:rPr>
        <w:t>实施方案</w:t>
      </w:r>
    </w:p>
    <w:p>
      <w:pPr>
        <w:widowControl/>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pPr>
        <w:rPr>
          <w:rFonts w:ascii="仿宋" w:hAnsi="仿宋" w:eastAsia="仿宋" w:cs="仿宋"/>
          <w:sz w:val="32"/>
          <w:szCs w:val="32"/>
        </w:rPr>
      </w:pP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第一条 【总则】为贯彻落实《广东省促进建筑业高质量发展的若干措施》（粤府办〔2021〕11号），支持企业做大做强，培育龙头骨干企业，发展建筑业总部经济，实现我市建筑业稳增长和高质量发展目标，现制定本实施方案。</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第二条 【实施范围】本实施方案适用于本市建筑业企业稳增长奖励的申报、审查、公示及监督检查等工作。</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第三条 【奖励条件】企业申报建筑业稳增长奖励</w:t>
      </w:r>
      <w:r>
        <w:rPr>
          <w:rFonts w:hint="eastAsia" w:ascii="仿宋_GB2312" w:hAnsi="仿宋_GB2312" w:eastAsia="仿宋_GB2312" w:cs="仿宋_GB2312"/>
          <w:sz w:val="32"/>
          <w:szCs w:val="32"/>
          <w:lang w:val="en-US" w:eastAsia="zh-CN"/>
        </w:rPr>
        <w:t>时</w:t>
      </w:r>
      <w:r>
        <w:rPr>
          <w:rFonts w:hint="eastAsia" w:ascii="仿宋_GB2312" w:hAnsi="仿宋_GB2312" w:eastAsia="仿宋_GB2312" w:cs="仿宋_GB2312"/>
          <w:sz w:val="32"/>
          <w:szCs w:val="32"/>
        </w:rPr>
        <w:t>必须同时符合以下条件：</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（一）依法注册的具有独立法人资格、实行独立核算且纳入本市建筑业统计的建筑</w:t>
      </w:r>
      <w:r>
        <w:rPr>
          <w:rFonts w:hint="eastAsia" w:ascii="仿宋_GB2312" w:hAnsi="仿宋_GB2312" w:eastAsia="仿宋_GB2312" w:cs="仿宋_GB2312"/>
          <w:sz w:val="32"/>
          <w:szCs w:val="32"/>
          <w:lang w:val="en-US" w:eastAsia="zh-CN"/>
        </w:rPr>
        <w:t>业</w:t>
      </w:r>
      <w:r>
        <w:rPr>
          <w:rFonts w:hint="eastAsia" w:ascii="仿宋_GB2312" w:hAnsi="仿宋_GB2312" w:eastAsia="仿宋_GB2312" w:cs="仿宋_GB2312"/>
          <w:sz w:val="32"/>
          <w:szCs w:val="32"/>
        </w:rPr>
        <w:t>企业；</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奖励</w:t>
      </w:r>
      <w:r>
        <w:rPr>
          <w:rFonts w:hint="eastAsia" w:ascii="仿宋_GB2312" w:hAnsi="仿宋_GB2312" w:eastAsia="仿宋_GB2312" w:cs="仿宋_GB2312"/>
          <w:sz w:val="32"/>
          <w:szCs w:val="32"/>
        </w:rPr>
        <w:t>年度总产值30亿元以上，且增速不低于16%（产值含30亿元，增速含16%，以上报市统计局的单家企业年度总产值统计数据为准）。</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奖励年度</w:t>
      </w:r>
      <w:r>
        <w:rPr>
          <w:rFonts w:hint="eastAsia" w:ascii="仿宋_GB2312" w:hAnsi="仿宋_GB2312" w:eastAsia="仿宋_GB2312" w:cs="仿宋_GB2312"/>
          <w:sz w:val="32"/>
          <w:szCs w:val="32"/>
        </w:rPr>
        <w:t>在本市未因发生较大及以上安全生产事故或</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rPr>
        <w:t>未因串通投标、转包、以他人名义投标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违法分包等行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为受到有关部门行政处罚的，以及未因拖欠工人工资被有关部门责令改正而未改正的；</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奖励年度</w:t>
      </w:r>
      <w:r>
        <w:rPr>
          <w:rFonts w:hint="eastAsia" w:ascii="仿宋_GB2312" w:hAnsi="仿宋_GB2312" w:eastAsia="仿宋_GB2312" w:cs="仿宋_GB2312"/>
          <w:sz w:val="32"/>
          <w:szCs w:val="32"/>
        </w:rPr>
        <w:t>未违反国家、省、市联合惩戒政策和制度规定，未被相关部门列为失信联合惩戒对象。</w:t>
      </w:r>
    </w:p>
    <w:p>
      <w:pPr>
        <w:widowControl/>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【奖励标准】对符合本实施方案第三条规定的企业，按其奖励年度总产值增量的0.5%给予奖励，单个企业奖励最高不超过1000万元人民币，具体奖励标准见附表。</w:t>
      </w:r>
    </w:p>
    <w:p>
      <w:pPr>
        <w:widowControl/>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市住房和建设局可根据市委、市政府工作部署，结合财政资金预算调整情况和</w:t>
      </w:r>
      <w:r>
        <w:rPr>
          <w:rFonts w:hint="eastAsia" w:ascii="仿宋_GB2312" w:hAnsi="仿宋_GB2312" w:eastAsia="仿宋_GB2312" w:cs="仿宋_GB2312"/>
          <w:color w:val="auto"/>
          <w:sz w:val="32"/>
          <w:szCs w:val="32"/>
          <w:lang w:val="en-US" w:eastAsia="zh-CN"/>
        </w:rPr>
        <w:t>奖励年度</w:t>
      </w:r>
      <w:r>
        <w:rPr>
          <w:rFonts w:hint="eastAsia" w:ascii="仿宋_GB2312" w:hAnsi="仿宋_GB2312" w:eastAsia="仿宋_GB2312" w:cs="仿宋_GB2312"/>
          <w:sz w:val="32"/>
          <w:szCs w:val="32"/>
        </w:rPr>
        <w:t>建筑业产值增速情况对上述具体奖励标准进行适度优化调整，并对外公布。</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第五条 【申报材料】符合本实施方案第三条规定的企业，应在规定时间内（申报具体时间将以正式通知形式对外发布）向市住房和建设局提交以下书面申报材料（加盖企业公章）：</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（一）企业书面申报书及承诺书；</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（二）近两年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自申报年度起倒推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生产经营状况表；</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企业所提供的各年度生产经营状况表应与上报市统计局保持一致。</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【审查程序】市住房和建设局对企业提交的申报材料进行初审。初审合格后，移交市统计局复审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经市统计局复核无误后确定符合奖励条件的企业名单及奖励金额。</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市住房和建设局</w:t>
      </w:r>
      <w:r>
        <w:rPr>
          <w:rFonts w:hint="eastAsia" w:ascii="仿宋_GB2312" w:hAnsi="仿宋_GB2312" w:eastAsia="仿宋_GB2312" w:cs="仿宋_GB2312"/>
          <w:sz w:val="32"/>
          <w:szCs w:val="32"/>
          <w:lang w:val="en-US" w:eastAsia="zh-CN"/>
        </w:rPr>
        <w:t>收到</w:t>
      </w:r>
      <w:r>
        <w:rPr>
          <w:rFonts w:hint="eastAsia" w:ascii="仿宋_GB2312" w:hAnsi="仿宋_GB2312" w:eastAsia="仿宋_GB2312" w:cs="仿宋_GB2312"/>
          <w:sz w:val="32"/>
          <w:szCs w:val="32"/>
        </w:rPr>
        <w:t>市统计局的复审结果</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官网向社会公示，公示时间不少于</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个工作日。</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公示期间，任何单位或者个人有异议的，可以在公示期内向市住房和建设局书面提出异议，由市住房和建设局进行调查。经调查情况属实的，由市住房和建设局重新审定，并将调查结果告知异议人。</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公示期满无异议或者异议不成立的，市住房和建设局将根据批复的部门预算下达奖励计划。企业按要求办理请款手续后，市住房和建设局安排资金拨付。</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第七条 【监督检查】企业应对申报材料的真实性负责，并自觉接受监督检查。企业在申报过程中如存在弄虚作假等违反国家法律法规或有关纪律的行为，一经发现即由市住房和建设局追回奖励资金并与国库系统对账，且</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年内不受理其相关</w:t>
      </w:r>
      <w:r>
        <w:rPr>
          <w:rFonts w:hint="eastAsia" w:ascii="仿宋_GB2312" w:hAnsi="仿宋_GB2312" w:eastAsia="仿宋_GB2312" w:cs="仿宋_GB2312"/>
          <w:color w:val="auto"/>
          <w:sz w:val="32"/>
          <w:szCs w:val="32"/>
          <w:lang w:val="en-US" w:eastAsia="zh-CN"/>
        </w:rPr>
        <w:t>评优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奖励申请及相关资质申请（含增项、升级等），情节严重的，依法追究相应责任；涉嫌犯罪的，依法移交司法机关处理。</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行政机关工作人员违反本实施方案，在奖励资金管理过程中滥用职权、玩忽职守</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rPr>
        <w:t>徇私舞弊的，依法追究行政责任；涉嫌犯罪的，依法移交司法机关处理。</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第八条 【资金保障】本实施方案由市住房和建设局负责解释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所涉及的奖励资金由市级财政预算安排。</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第九条 【附则】本实施方案自</w:t>
      </w:r>
      <w:r>
        <w:rPr>
          <w:rFonts w:hint="eastAsia" w:ascii="仿宋_GB2312" w:hAnsi="仿宋_GB2312" w:eastAsia="仿宋_GB2312" w:cs="仿宋_GB2312"/>
          <w:sz w:val="32"/>
          <w:szCs w:val="32"/>
          <w:lang w:val="en-US" w:eastAsia="zh-CN"/>
        </w:rPr>
        <w:t>20XX年XX月XX日</w:t>
      </w:r>
      <w:r>
        <w:rPr>
          <w:rFonts w:hint="eastAsia" w:ascii="仿宋_GB2312" w:hAnsi="仿宋_GB2312" w:eastAsia="仿宋_GB2312" w:cs="仿宋_GB2312"/>
          <w:sz w:val="32"/>
          <w:szCs w:val="32"/>
        </w:rPr>
        <w:t>起施行，</w:t>
      </w:r>
      <w:r>
        <w:rPr>
          <w:rFonts w:hint="eastAsia" w:ascii="仿宋_GB2312" w:hAnsi="仿宋_GB2312" w:eastAsia="仿宋_GB2312" w:cs="仿宋_GB2312"/>
          <w:sz w:val="32"/>
          <w:szCs w:val="32"/>
          <w:lang w:val="en-US" w:eastAsia="zh-CN"/>
        </w:rPr>
        <w:t>有效期XX年</w:t>
      </w:r>
      <w:r>
        <w:rPr>
          <w:rFonts w:hint="eastAsia" w:ascii="仿宋_GB2312" w:hAnsi="仿宋_GB2312" w:eastAsia="仿宋_GB2312" w:cs="仿宋_GB2312"/>
          <w:sz w:val="32"/>
          <w:szCs w:val="32"/>
        </w:rPr>
        <w:t>。</w:t>
      </w:r>
    </w:p>
    <w:p>
      <w:pPr>
        <w:widowControl/>
        <w:spacing w:line="360" w:lineRule="auto"/>
        <w:ind w:firstLine="640" w:firstLineChars="200"/>
        <w:jc w:val="lef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rPr>
          <w:rFonts w:hint="eastAsia" w:ascii="宋体" w:hAnsi="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附表</w:t>
      </w:r>
    </w:p>
    <w:tbl>
      <w:tblPr>
        <w:tblStyle w:val="5"/>
        <w:tblW w:w="13140" w:type="dxa"/>
        <w:jc w:val="center"/>
        <w:tblLayout w:type="fixed"/>
        <w:tblCellMar>
          <w:top w:w="0" w:type="dxa"/>
          <w:left w:w="108" w:type="dxa"/>
          <w:bottom w:w="0" w:type="dxa"/>
          <w:right w:w="108" w:type="dxa"/>
        </w:tblCellMar>
      </w:tblPr>
      <w:tblGrid>
        <w:gridCol w:w="1928"/>
        <w:gridCol w:w="3605"/>
        <w:gridCol w:w="2716"/>
        <w:gridCol w:w="4891"/>
      </w:tblGrid>
      <w:tr>
        <w:tblPrEx>
          <w:tblCellMar>
            <w:top w:w="0" w:type="dxa"/>
            <w:left w:w="108" w:type="dxa"/>
            <w:bottom w:w="0" w:type="dxa"/>
            <w:right w:w="108" w:type="dxa"/>
          </w:tblCellMar>
        </w:tblPrEx>
        <w:trPr>
          <w:trHeight w:val="820" w:hRule="atLeast"/>
          <w:jc w:val="center"/>
        </w:trPr>
        <w:tc>
          <w:tcPr>
            <w:tcW w:w="13140" w:type="dxa"/>
            <w:gridSpan w:val="4"/>
            <w:tcBorders>
              <w:top w:val="single" w:color="000000" w:sz="8" w:space="0"/>
              <w:left w:val="single" w:color="000000" w:sz="8"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8"/>
                <w:szCs w:val="28"/>
                <w:lang w:val="en-US" w:eastAsia="zh-CN" w:bidi="ar"/>
              </w:rPr>
              <w:t>2021年年度</w:t>
            </w:r>
            <w:r>
              <w:rPr>
                <w:rFonts w:hint="eastAsia" w:ascii="宋体" w:hAnsi="宋体" w:cs="宋体"/>
                <w:b/>
                <w:bCs/>
                <w:color w:val="000000"/>
                <w:kern w:val="0"/>
                <w:sz w:val="28"/>
                <w:szCs w:val="28"/>
                <w:lang w:bidi="ar"/>
              </w:rPr>
              <w:t>建筑业稳增长具体奖励标准</w:t>
            </w:r>
          </w:p>
        </w:tc>
      </w:tr>
      <w:tr>
        <w:tblPrEx>
          <w:tblCellMar>
            <w:top w:w="0" w:type="dxa"/>
            <w:left w:w="108" w:type="dxa"/>
            <w:bottom w:w="0" w:type="dxa"/>
            <w:right w:w="108" w:type="dxa"/>
          </w:tblCellMar>
        </w:tblPrEx>
        <w:trPr>
          <w:trHeight w:val="820" w:hRule="atLeast"/>
          <w:jc w:val="center"/>
        </w:trPr>
        <w:tc>
          <w:tcPr>
            <w:tcW w:w="1928"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奖励档次</w:t>
            </w:r>
          </w:p>
        </w:tc>
        <w:tc>
          <w:tcPr>
            <w:tcW w:w="3605"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单家企业</w:t>
            </w:r>
            <w:r>
              <w:rPr>
                <w:rFonts w:hint="eastAsia" w:ascii="宋体" w:hAnsi="宋体" w:cs="宋体"/>
                <w:b/>
                <w:bCs/>
                <w:color w:val="000000"/>
                <w:kern w:val="0"/>
                <w:sz w:val="24"/>
                <w:lang w:bidi="ar"/>
              </w:rPr>
              <w:br w:type="textWrapping"/>
            </w:r>
            <w:r>
              <w:rPr>
                <w:rFonts w:hint="eastAsia" w:ascii="宋体" w:hAnsi="宋体" w:cs="宋体"/>
                <w:b/>
                <w:bCs/>
                <w:color w:val="000000"/>
                <w:kern w:val="0"/>
                <w:sz w:val="24"/>
                <w:lang w:bidi="ar"/>
              </w:rPr>
              <w:t>奖励年度总产值</w:t>
            </w:r>
          </w:p>
        </w:tc>
        <w:tc>
          <w:tcPr>
            <w:tcW w:w="271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val="en-US" w:eastAsia="zh-CN" w:bidi="ar"/>
              </w:rPr>
              <w:t>奖励</w:t>
            </w:r>
            <w:r>
              <w:rPr>
                <w:rFonts w:hint="eastAsia" w:ascii="宋体" w:hAnsi="宋体" w:cs="宋体"/>
                <w:b/>
                <w:bCs/>
                <w:color w:val="000000"/>
                <w:kern w:val="0"/>
                <w:sz w:val="24"/>
                <w:lang w:bidi="ar"/>
              </w:rPr>
              <w:t>年度产值增速</w:t>
            </w:r>
          </w:p>
        </w:tc>
        <w:tc>
          <w:tcPr>
            <w:tcW w:w="4891"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奖励金额</w:t>
            </w:r>
          </w:p>
        </w:tc>
      </w:tr>
      <w:tr>
        <w:tblPrEx>
          <w:tblCellMar>
            <w:top w:w="0" w:type="dxa"/>
            <w:left w:w="108" w:type="dxa"/>
            <w:bottom w:w="0" w:type="dxa"/>
            <w:right w:w="108" w:type="dxa"/>
          </w:tblCellMar>
        </w:tblPrEx>
        <w:trPr>
          <w:trHeight w:val="920" w:hRule="atLeast"/>
          <w:jc w:val="center"/>
        </w:trPr>
        <w:tc>
          <w:tcPr>
            <w:tcW w:w="192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第一档</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30亿元（含30亿元）以上、50亿元（不含50亿元）以下</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不低于16%</w:t>
            </w:r>
          </w:p>
        </w:tc>
        <w:tc>
          <w:tcPr>
            <w:tcW w:w="4891"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按</w:t>
            </w:r>
            <w:r>
              <w:rPr>
                <w:rFonts w:hint="eastAsia" w:ascii="宋体" w:hAnsi="宋体" w:cs="宋体"/>
                <w:color w:val="000000"/>
                <w:kern w:val="0"/>
                <w:sz w:val="24"/>
                <w:lang w:val="en-US" w:eastAsia="zh-CN" w:bidi="ar"/>
              </w:rPr>
              <w:t>2021年</w:t>
            </w:r>
            <w:r>
              <w:rPr>
                <w:rFonts w:hint="eastAsia" w:ascii="宋体" w:hAnsi="宋体" w:cs="宋体"/>
                <w:color w:val="000000"/>
                <w:kern w:val="0"/>
                <w:sz w:val="24"/>
                <w:lang w:bidi="ar"/>
              </w:rPr>
              <w:t>年度总产值增量的0.5%给予奖励，单个企业奖励年度最高不超过400万元</w:t>
            </w:r>
          </w:p>
        </w:tc>
      </w:tr>
      <w:tr>
        <w:tblPrEx>
          <w:tblCellMar>
            <w:top w:w="0" w:type="dxa"/>
            <w:left w:w="108" w:type="dxa"/>
            <w:bottom w:w="0" w:type="dxa"/>
            <w:right w:w="108" w:type="dxa"/>
          </w:tblCellMar>
        </w:tblPrEx>
        <w:trPr>
          <w:trHeight w:val="860" w:hRule="atLeast"/>
          <w:jc w:val="center"/>
        </w:trPr>
        <w:tc>
          <w:tcPr>
            <w:tcW w:w="192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第二档</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50亿元（含50亿元）以上，且年度总产值增量20亿元（不含20亿元）以下</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不低于16%</w:t>
            </w:r>
          </w:p>
        </w:tc>
        <w:tc>
          <w:tcPr>
            <w:tcW w:w="4891"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按</w:t>
            </w:r>
            <w:r>
              <w:rPr>
                <w:rFonts w:hint="eastAsia" w:ascii="宋体" w:hAnsi="宋体" w:cs="宋体"/>
                <w:color w:val="000000"/>
                <w:kern w:val="0"/>
                <w:sz w:val="24"/>
                <w:lang w:val="en-US" w:eastAsia="zh-CN" w:bidi="ar"/>
              </w:rPr>
              <w:t>2021年</w:t>
            </w:r>
            <w:r>
              <w:rPr>
                <w:rFonts w:hint="eastAsia" w:ascii="宋体" w:hAnsi="宋体" w:cs="宋体"/>
                <w:color w:val="000000"/>
                <w:kern w:val="0"/>
                <w:sz w:val="24"/>
                <w:lang w:bidi="ar"/>
              </w:rPr>
              <w:t>年度总产值增量的0.5%给予奖励，单个企业奖励最高不超过600万元</w:t>
            </w:r>
          </w:p>
        </w:tc>
      </w:tr>
      <w:tr>
        <w:tblPrEx>
          <w:tblCellMar>
            <w:top w:w="0" w:type="dxa"/>
            <w:left w:w="108" w:type="dxa"/>
            <w:bottom w:w="0" w:type="dxa"/>
            <w:right w:w="108" w:type="dxa"/>
          </w:tblCellMar>
        </w:tblPrEx>
        <w:trPr>
          <w:trHeight w:val="1200" w:hRule="atLeast"/>
          <w:jc w:val="center"/>
        </w:trPr>
        <w:tc>
          <w:tcPr>
            <w:tcW w:w="192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50亿元（含50亿元）以上，且年度总产值增量20亿元（含20亿元）以上、40亿元（不含40亿元）以下</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不低于16%</w:t>
            </w:r>
          </w:p>
        </w:tc>
        <w:tc>
          <w:tcPr>
            <w:tcW w:w="4891"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按</w:t>
            </w:r>
            <w:r>
              <w:rPr>
                <w:rFonts w:hint="eastAsia" w:ascii="宋体" w:hAnsi="宋体" w:cs="宋体"/>
                <w:color w:val="000000"/>
                <w:kern w:val="0"/>
                <w:sz w:val="24"/>
                <w:lang w:val="en-US" w:eastAsia="zh-CN" w:bidi="ar"/>
              </w:rPr>
              <w:t>2021年</w:t>
            </w:r>
            <w:r>
              <w:rPr>
                <w:rFonts w:hint="eastAsia" w:ascii="宋体" w:hAnsi="宋体" w:cs="宋体"/>
                <w:color w:val="000000"/>
                <w:kern w:val="0"/>
                <w:sz w:val="24"/>
                <w:lang w:bidi="ar"/>
              </w:rPr>
              <w:t>年度总产值增量的0.5%给予奖励，单个企业奖励最高不超过800万元</w:t>
            </w:r>
          </w:p>
        </w:tc>
      </w:tr>
      <w:tr>
        <w:tblPrEx>
          <w:tblCellMar>
            <w:top w:w="0" w:type="dxa"/>
            <w:left w:w="108" w:type="dxa"/>
            <w:bottom w:w="0" w:type="dxa"/>
            <w:right w:w="108" w:type="dxa"/>
          </w:tblCellMar>
        </w:tblPrEx>
        <w:trPr>
          <w:trHeight w:val="940" w:hRule="atLeast"/>
          <w:jc w:val="center"/>
        </w:trPr>
        <w:tc>
          <w:tcPr>
            <w:tcW w:w="192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360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50亿元（含50亿元）以上，且年度总产值增量40亿元（含40亿元）以上</w:t>
            </w:r>
          </w:p>
        </w:tc>
        <w:tc>
          <w:tcPr>
            <w:tcW w:w="271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不低于16%</w:t>
            </w:r>
          </w:p>
        </w:tc>
        <w:tc>
          <w:tcPr>
            <w:tcW w:w="4891" w:type="dxa"/>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按</w:t>
            </w:r>
            <w:r>
              <w:rPr>
                <w:rFonts w:hint="eastAsia" w:ascii="宋体" w:hAnsi="宋体" w:cs="宋体"/>
                <w:color w:val="000000"/>
                <w:kern w:val="0"/>
                <w:sz w:val="24"/>
                <w:lang w:val="en-US" w:eastAsia="zh-CN" w:bidi="ar"/>
              </w:rPr>
              <w:t>2021年年度</w:t>
            </w:r>
            <w:r>
              <w:rPr>
                <w:rFonts w:hint="eastAsia" w:ascii="宋体" w:hAnsi="宋体" w:cs="宋体"/>
                <w:color w:val="000000"/>
                <w:kern w:val="0"/>
                <w:sz w:val="24"/>
                <w:lang w:bidi="ar"/>
              </w:rPr>
              <w:t>总产值增量的0.5%给予奖励，单个企业奖励最高不超过1000万元</w:t>
            </w:r>
          </w:p>
        </w:tc>
      </w:tr>
    </w:tbl>
    <w:p>
      <w:pPr>
        <w:rPr>
          <w:rFonts w:hint="eastAsia" w:ascii="宋体" w:hAnsi="宋体" w:cs="宋体"/>
          <w:b/>
          <w:bCs/>
          <w:color w:val="000000"/>
          <w:kern w:val="0"/>
          <w:sz w:val="28"/>
          <w:szCs w:val="28"/>
          <w:lang w:val="en-US" w:eastAsia="zh-CN" w:bidi="ar"/>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05DD3"/>
    <w:rsid w:val="00032937"/>
    <w:rsid w:val="00077E2D"/>
    <w:rsid w:val="001E053A"/>
    <w:rsid w:val="005D1DF7"/>
    <w:rsid w:val="00613D60"/>
    <w:rsid w:val="00786E2A"/>
    <w:rsid w:val="00B52EFF"/>
    <w:rsid w:val="00CB1148"/>
    <w:rsid w:val="04887DAD"/>
    <w:rsid w:val="05573D16"/>
    <w:rsid w:val="085D647B"/>
    <w:rsid w:val="088D7807"/>
    <w:rsid w:val="090769EB"/>
    <w:rsid w:val="09947131"/>
    <w:rsid w:val="09E05DD3"/>
    <w:rsid w:val="0AC344F6"/>
    <w:rsid w:val="14C976DA"/>
    <w:rsid w:val="1740497D"/>
    <w:rsid w:val="1E257DD4"/>
    <w:rsid w:val="20355207"/>
    <w:rsid w:val="28202E85"/>
    <w:rsid w:val="2F053F67"/>
    <w:rsid w:val="3DD40454"/>
    <w:rsid w:val="407F4164"/>
    <w:rsid w:val="40C21491"/>
    <w:rsid w:val="41B36323"/>
    <w:rsid w:val="449A3DC0"/>
    <w:rsid w:val="459D55C1"/>
    <w:rsid w:val="46AD0AFD"/>
    <w:rsid w:val="4CB5155A"/>
    <w:rsid w:val="4E9B42B1"/>
    <w:rsid w:val="502F717F"/>
    <w:rsid w:val="54D965D0"/>
    <w:rsid w:val="55773610"/>
    <w:rsid w:val="58227948"/>
    <w:rsid w:val="582F14A9"/>
    <w:rsid w:val="61532D95"/>
    <w:rsid w:val="67251E43"/>
    <w:rsid w:val="75E62CE8"/>
    <w:rsid w:val="770879EB"/>
    <w:rsid w:val="78212D91"/>
    <w:rsid w:val="7E563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0"/>
    <w:rPr>
      <w:i/>
    </w:rPr>
  </w:style>
  <w:style w:type="character" w:customStyle="1" w:styleId="8">
    <w:name w:val="页眉 字符"/>
    <w:basedOn w:val="6"/>
    <w:link w:val="4"/>
    <w:qFormat/>
    <w:uiPriority w:val="0"/>
    <w:rPr>
      <w:rFonts w:ascii="Calibri" w:hAnsi="Calibri"/>
      <w:kern w:val="2"/>
      <w:sz w:val="18"/>
      <w:szCs w:val="18"/>
    </w:rPr>
  </w:style>
  <w:style w:type="character" w:customStyle="1" w:styleId="9">
    <w:name w:val="页脚 字符"/>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1632</Words>
  <Characters>1716</Characters>
  <Lines>12</Lines>
  <Paragraphs>3</Paragraphs>
  <TotalTime>18</TotalTime>
  <ScaleCrop>false</ScaleCrop>
  <LinksUpToDate>false</LinksUpToDate>
  <CharactersWithSpaces>1726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2022-02-20T06:28:00Z</dcterms:created>
  <dc:creator>周壮锋</dc:creator>
  <cp:lastModifiedBy>阿营</cp:lastModifiedBy>
  <cp:lastPrinted>2022-02-23T07:49:00Z</cp:lastPrinted>
  <dcterms:modified xsi:type="dcterms:W3CDTF">2022-05-24T02:22:29Z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41F0DA31BAEC416289B37E73631B624F</vt:lpwstr>
  </property>
</Properties>
</file>