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pPr>
    </w:p>
    <w:p>
      <w:pPr>
        <w:spacing w:line="560" w:lineRule="exact"/>
        <w:jc w:val="center"/>
        <w:rPr>
          <w:rFonts w:asciiTheme="majorEastAsia" w:hAnsiTheme="majorEastAsia" w:eastAsiaTheme="majorEastAsia" w:cstheme="majorEastAsia"/>
          <w:b/>
          <w:bCs/>
          <w:kern w:val="0"/>
          <w:sz w:val="44"/>
          <w:szCs w:val="44"/>
        </w:rPr>
      </w:pPr>
      <w:r>
        <w:rPr>
          <w:rFonts w:asciiTheme="majorEastAsia" w:hAnsiTheme="majorEastAsia" w:eastAsiaTheme="majorEastAsia" w:cstheme="majorEastAsia"/>
          <w:b/>
          <w:bCs/>
          <w:kern w:val="0"/>
          <w:sz w:val="44"/>
          <w:szCs w:val="44"/>
        </w:rPr>
        <w:t>深圳</w:t>
      </w:r>
      <w:r>
        <w:rPr>
          <w:rFonts w:hint="eastAsia" w:asciiTheme="majorEastAsia" w:hAnsiTheme="majorEastAsia" w:eastAsiaTheme="majorEastAsia" w:cstheme="majorEastAsia"/>
          <w:b/>
          <w:bCs/>
          <w:kern w:val="0"/>
          <w:sz w:val="44"/>
          <w:szCs w:val="44"/>
        </w:rPr>
        <w:t>前海深港现代服务业合作区粤港澳合作新型研发机构</w:t>
      </w:r>
      <w:r>
        <w:rPr>
          <w:rFonts w:asciiTheme="majorEastAsia" w:hAnsiTheme="majorEastAsia" w:eastAsiaTheme="majorEastAsia" w:cstheme="majorEastAsia"/>
          <w:b/>
          <w:bCs/>
          <w:kern w:val="0"/>
          <w:sz w:val="44"/>
          <w:szCs w:val="44"/>
        </w:rPr>
        <w:t>支持和管理</w:t>
      </w:r>
      <w:r>
        <w:rPr>
          <w:rFonts w:hint="eastAsia" w:asciiTheme="majorEastAsia" w:hAnsiTheme="majorEastAsia" w:eastAsiaTheme="majorEastAsia" w:cstheme="majorEastAsia"/>
          <w:b/>
          <w:bCs/>
          <w:kern w:val="0"/>
          <w:sz w:val="44"/>
          <w:szCs w:val="44"/>
        </w:rPr>
        <w:t>办法</w:t>
      </w:r>
      <w:r>
        <w:rPr>
          <w:rFonts w:asciiTheme="majorEastAsia" w:hAnsiTheme="majorEastAsia" w:eastAsiaTheme="majorEastAsia" w:cstheme="majorEastAsia"/>
          <w:b/>
          <w:bCs/>
          <w:kern w:val="0"/>
          <w:sz w:val="44"/>
          <w:szCs w:val="44"/>
        </w:rPr>
        <w:t>（试行）</w:t>
      </w:r>
    </w:p>
    <w:p>
      <w:pPr>
        <w:widowControl/>
        <w:spacing w:line="560" w:lineRule="exact"/>
        <w:jc w:val="center"/>
        <w:rPr>
          <w:rFonts w:hint="eastAsia" w:ascii="楷体" w:hAnsi="楷体" w:eastAsia="楷体" w:cs="楷体"/>
          <w:sz w:val="32"/>
          <w:szCs w:val="32"/>
        </w:rPr>
      </w:pPr>
      <w:r>
        <w:rPr>
          <w:rFonts w:hint="eastAsia" w:ascii="楷体" w:hAnsi="楷体" w:eastAsia="楷体" w:cs="楷体"/>
          <w:sz w:val="32"/>
          <w:szCs w:val="32"/>
        </w:rPr>
        <w:t>（征求意见稿）</w:t>
      </w:r>
    </w:p>
    <w:p>
      <w:pPr>
        <w:widowControl/>
        <w:spacing w:line="560" w:lineRule="exact"/>
        <w:jc w:val="center"/>
        <w:rPr>
          <w:rFonts w:hint="eastAsia" w:ascii="楷体" w:hAnsi="楷体" w:eastAsia="楷体" w:cs="楷体"/>
          <w:sz w:val="32"/>
          <w:szCs w:val="32"/>
        </w:rPr>
      </w:pPr>
      <w:bookmarkStart w:id="0" w:name="_GoBack"/>
      <w:bookmarkEnd w:id="0"/>
    </w:p>
    <w:p>
      <w:pPr>
        <w:pStyle w:val="3"/>
        <w:jc w:val="center"/>
        <w:rPr>
          <w:rFonts w:ascii="黑体" w:hAnsi="黑体" w:eastAsia="黑体"/>
          <w:b w:val="0"/>
        </w:rPr>
      </w:pPr>
      <w:r>
        <w:rPr>
          <w:rFonts w:hint="eastAsia" w:ascii="黑体" w:hAnsi="黑体" w:eastAsia="黑体"/>
          <w:b w:val="0"/>
        </w:rPr>
        <w:t>第一章 总则</w:t>
      </w:r>
    </w:p>
    <w:p>
      <w:pPr>
        <w:widowControl/>
        <w:spacing w:line="560" w:lineRule="exact"/>
        <w:ind w:firstLine="640"/>
        <w:rPr>
          <w:rFonts w:ascii="仿宋" w:hAnsi="仿宋" w:eastAsia="仿宋"/>
          <w:sz w:val="32"/>
          <w:szCs w:val="32"/>
        </w:rPr>
      </w:pPr>
      <w:r>
        <w:rPr>
          <w:rFonts w:ascii="黑体" w:hAnsi="黑体" w:eastAsia="黑体" w:cs="宋体"/>
          <w:kern w:val="0"/>
          <w:sz w:val="32"/>
          <w:szCs w:val="32"/>
        </w:rPr>
        <w:t>第一条</w:t>
      </w:r>
      <w:r>
        <w:rPr>
          <w:rFonts w:hint="eastAsia" w:ascii="黑体" w:hAnsi="黑体" w:eastAsia="黑体" w:cs="宋体"/>
          <w:kern w:val="0"/>
          <w:sz w:val="32"/>
          <w:szCs w:val="32"/>
        </w:rPr>
        <w:t>【</w:t>
      </w:r>
      <w:r>
        <w:rPr>
          <w:rFonts w:ascii="黑体" w:hAnsi="黑体" w:eastAsia="黑体" w:cs="宋体"/>
          <w:kern w:val="0"/>
          <w:sz w:val="32"/>
          <w:szCs w:val="32"/>
        </w:rPr>
        <w:t>制订</w:t>
      </w:r>
      <w:r>
        <w:rPr>
          <w:rFonts w:hint="eastAsia" w:ascii="黑体" w:hAnsi="黑体" w:eastAsia="黑体" w:cs="宋体"/>
          <w:kern w:val="0"/>
          <w:sz w:val="32"/>
          <w:szCs w:val="32"/>
        </w:rPr>
        <w:t>依据】</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Hans"/>
        </w:rPr>
        <w:t>贯彻落实</w:t>
      </w:r>
      <w:r>
        <w:rPr>
          <w:rFonts w:hint="eastAsia" w:ascii="仿宋_GB2312" w:hAnsi="仿宋_GB2312" w:eastAsia="仿宋_GB2312" w:cs="仿宋_GB2312"/>
          <w:sz w:val="32"/>
          <w:szCs w:val="32"/>
        </w:rPr>
        <w:t>《全面深化前海深港现代服务业合作区改革开放方案》</w:t>
      </w:r>
      <w:r>
        <w:rPr>
          <w:rFonts w:ascii="仿宋_GB2312" w:hAnsi="仿宋_GB2312" w:eastAsia="仿宋_GB2312" w:cs="仿宋_GB2312"/>
          <w:sz w:val="32"/>
          <w:szCs w:val="32"/>
        </w:rPr>
        <w:t>，</w:t>
      </w:r>
      <w:r>
        <w:rPr>
          <w:rFonts w:ascii="仿宋_GB2312" w:hAnsi="仿宋_GB2312" w:eastAsia="仿宋_GB2312" w:cs="仿宋_GB2312"/>
          <w:sz w:val="32"/>
          <w:szCs w:val="32"/>
          <w:lang w:eastAsia="zh-Hans"/>
        </w:rPr>
        <w:t>推动</w:t>
      </w:r>
      <w:r>
        <w:rPr>
          <w:rFonts w:hint="eastAsia" w:ascii="仿宋_GB2312" w:hAnsi="仿宋_GB2312" w:eastAsia="仿宋_GB2312" w:cs="仿宋_GB2312"/>
          <w:sz w:val="32"/>
          <w:szCs w:val="32"/>
        </w:rPr>
        <w:t>前海深港现代服务业合作区（以下简称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科技发展体制机制改革创新，加快</w:t>
      </w:r>
      <w:r>
        <w:rPr>
          <w:rFonts w:hint="eastAsia" w:ascii="仿宋_GB2312" w:hAnsi="仿宋_GB2312" w:eastAsia="仿宋_GB2312" w:cs="仿宋_GB2312"/>
          <w:sz w:val="32"/>
          <w:szCs w:val="32"/>
        </w:rPr>
        <w:t>粤港澳合作</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新型研发机构</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，促进港澳和内地创新链对接联通，结合前海合作区实际，制定本办法。</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宋体"/>
          <w:kern w:val="0"/>
          <w:sz w:val="32"/>
          <w:szCs w:val="32"/>
        </w:rPr>
        <w:t>第二条【主管</w:t>
      </w:r>
      <w:r>
        <w:rPr>
          <w:rFonts w:ascii="黑体" w:hAnsi="黑体" w:eastAsia="黑体" w:cs="宋体"/>
          <w:kern w:val="0"/>
          <w:sz w:val="32"/>
          <w:szCs w:val="32"/>
        </w:rPr>
        <w:t>单位</w:t>
      </w:r>
      <w:r>
        <w:rPr>
          <w:rFonts w:hint="eastAsia" w:ascii="黑体" w:hAnsi="黑体" w:eastAsia="黑体" w:cs="宋体"/>
          <w:kern w:val="0"/>
          <w:sz w:val="32"/>
          <w:szCs w:val="32"/>
        </w:rPr>
        <w:t>】</w:t>
      </w:r>
      <w:r>
        <w:rPr>
          <w:rFonts w:hint="eastAsia" w:ascii="仿宋_GB2312" w:hAnsi="仿宋_GB2312" w:eastAsia="仿宋_GB2312" w:cs="仿宋_GB2312"/>
          <w:sz w:val="32"/>
          <w:szCs w:val="32"/>
        </w:rPr>
        <w:t>深圳市前海深港现代服务业合作区管理局（简称</w:t>
      </w:r>
      <w:r>
        <w:rPr>
          <w:rFonts w:ascii="仿宋_GB2312" w:hAnsi="仿宋_GB2312" w:eastAsia="仿宋_GB2312" w:cs="仿宋_GB2312"/>
          <w:sz w:val="32"/>
          <w:szCs w:val="32"/>
        </w:rPr>
        <w:t>“前海管理局”）</w:t>
      </w:r>
      <w:r>
        <w:rPr>
          <w:rFonts w:hint="eastAsia" w:ascii="仿宋_GB2312" w:hAnsi="仿宋_GB2312" w:eastAsia="仿宋_GB2312" w:cs="仿宋_GB2312"/>
          <w:sz w:val="32"/>
          <w:szCs w:val="32"/>
        </w:rPr>
        <w:t>负责制定前海深港现代服务业合作区粤港澳合作新型研发机构</w:t>
      </w:r>
      <w:r>
        <w:rPr>
          <w:rFonts w:ascii="仿宋_GB2312" w:hAnsi="仿宋_GB2312" w:eastAsia="仿宋_GB2312" w:cs="仿宋_GB2312"/>
          <w:sz w:val="32"/>
          <w:szCs w:val="32"/>
        </w:rPr>
        <w:t>（以下简称“粤港澳合作新型研发机构”）</w:t>
      </w:r>
      <w:r>
        <w:rPr>
          <w:rFonts w:hint="eastAsia" w:ascii="仿宋_GB2312" w:hAnsi="仿宋_GB2312" w:eastAsia="仿宋_GB2312" w:cs="仿宋_GB2312"/>
          <w:sz w:val="32"/>
          <w:szCs w:val="32"/>
        </w:rPr>
        <w:t>的规划和政策；组织开展粤港澳合作新型研发机构的申报、</w:t>
      </w:r>
      <w:r>
        <w:rPr>
          <w:rFonts w:ascii="仿宋_GB2312" w:hAnsi="仿宋_GB2312" w:eastAsia="仿宋_GB2312" w:cs="仿宋_GB2312"/>
          <w:sz w:val="32"/>
          <w:szCs w:val="32"/>
        </w:rPr>
        <w:t>遴选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认定、支持、</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；协调解决粤港澳合作新型</w:t>
      </w:r>
      <w:r>
        <w:rPr>
          <w:rFonts w:ascii="仿宋_GB2312" w:hAnsi="仿宋_GB2312" w:eastAsia="仿宋_GB2312" w:cs="仿宋_GB2312"/>
          <w:sz w:val="32"/>
          <w:szCs w:val="32"/>
        </w:rPr>
        <w:t>研发机构建设</w:t>
      </w:r>
      <w:r>
        <w:rPr>
          <w:rFonts w:hint="eastAsia" w:ascii="仿宋_GB2312" w:hAnsi="仿宋_GB2312" w:eastAsia="仿宋_GB2312" w:cs="仿宋_GB2312"/>
          <w:sz w:val="32"/>
          <w:szCs w:val="32"/>
        </w:rPr>
        <w:t>过程中</w:t>
      </w:r>
      <w:r>
        <w:rPr>
          <w:rFonts w:ascii="仿宋_GB2312" w:hAnsi="仿宋_GB2312" w:eastAsia="仿宋_GB2312" w:cs="仿宋_GB2312"/>
          <w:sz w:val="32"/>
          <w:szCs w:val="32"/>
        </w:rPr>
        <w:t>遇到</w:t>
      </w:r>
      <w:r>
        <w:rPr>
          <w:rFonts w:hint="eastAsia" w:ascii="仿宋_GB2312" w:hAnsi="仿宋_GB2312" w:eastAsia="仿宋_GB2312" w:cs="仿宋_GB2312"/>
          <w:sz w:val="32"/>
          <w:szCs w:val="32"/>
        </w:rPr>
        <w:t>的重大问题。</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宋体"/>
          <w:kern w:val="0"/>
          <w:sz w:val="32"/>
          <w:szCs w:val="32"/>
        </w:rPr>
        <w:t>第三条【建设</w:t>
      </w:r>
      <w:r>
        <w:rPr>
          <w:rFonts w:ascii="黑体" w:hAnsi="黑体" w:eastAsia="黑体" w:cs="宋体"/>
          <w:kern w:val="0"/>
          <w:sz w:val="32"/>
          <w:szCs w:val="32"/>
        </w:rPr>
        <w:t>目标</w:t>
      </w:r>
      <w:r>
        <w:rPr>
          <w:rFonts w:hint="eastAsia" w:ascii="黑体" w:hAnsi="黑体" w:eastAsia="黑体" w:cs="宋体"/>
          <w:kern w:val="0"/>
          <w:sz w:val="32"/>
          <w:szCs w:val="32"/>
        </w:rPr>
        <w:t>】</w:t>
      </w:r>
      <w:r>
        <w:rPr>
          <w:rFonts w:hint="eastAsia" w:ascii="仿宋_GB2312" w:hAnsi="仿宋_GB2312" w:eastAsia="仿宋_GB2312" w:cs="仿宋_GB2312"/>
          <w:sz w:val="32"/>
          <w:szCs w:val="32"/>
        </w:rPr>
        <w:t>本办法所称“粤港澳合作新型研发机构”由前海管理局认定，是企业、港澳高校或研发中心建设，</w:t>
      </w:r>
      <w:r>
        <w:rPr>
          <w:rFonts w:ascii="仿宋_GB2312" w:hAnsi="仿宋_GB2312" w:eastAsia="仿宋_GB2312" w:cs="仿宋_GB2312"/>
          <w:sz w:val="32"/>
          <w:szCs w:val="32"/>
        </w:rPr>
        <w:t>聚焦</w:t>
      </w:r>
      <w:r>
        <w:rPr>
          <w:rFonts w:hint="eastAsia" w:ascii="仿宋_GB2312" w:hAnsi="仿宋_GB2312" w:eastAsia="仿宋_GB2312" w:cs="仿宋_GB2312"/>
          <w:sz w:val="32"/>
          <w:szCs w:val="32"/>
        </w:rPr>
        <w:t>港澳优势科技领域，面向国家科技发展需求和市场需求，促进港澳与内地协同开展科技研发和科研成果转化应用，投资主体多元化、管理制度现代化、运行机制市场化、用人机制灵活的独立法人机构。</w:t>
      </w:r>
    </w:p>
    <w:p>
      <w:pPr>
        <w:pStyle w:val="3"/>
        <w:jc w:val="center"/>
        <w:rPr>
          <w:rFonts w:ascii="黑体" w:hAnsi="黑体" w:eastAsia="黑体"/>
          <w:b w:val="0"/>
        </w:rPr>
      </w:pPr>
      <w:r>
        <w:rPr>
          <w:rFonts w:hint="eastAsia" w:ascii="黑体" w:hAnsi="黑体" w:eastAsia="黑体"/>
          <w:b w:val="0"/>
        </w:rPr>
        <w:t>第二章 认定</w:t>
      </w:r>
      <w:r>
        <w:rPr>
          <w:rFonts w:ascii="黑体" w:hAnsi="黑体" w:eastAsia="黑体"/>
          <w:b w:val="0"/>
        </w:rPr>
        <w:t>条件</w:t>
      </w:r>
    </w:p>
    <w:p>
      <w:pPr>
        <w:spacing w:line="560" w:lineRule="exact"/>
        <w:ind w:firstLine="640" w:firstLineChars="200"/>
        <w:rPr>
          <w:rFonts w:ascii="仿宋_GB2312" w:hAnsi="仿宋_GB2312" w:eastAsia="仿宋_GB2312" w:cs="仿宋_GB2312"/>
          <w:sz w:val="32"/>
          <w:szCs w:val="32"/>
        </w:rPr>
      </w:pPr>
      <w:r>
        <w:rPr>
          <w:rFonts w:ascii="黑体" w:hAnsi="黑体" w:eastAsia="黑体" w:cs="宋体"/>
          <w:kern w:val="0"/>
          <w:sz w:val="32"/>
          <w:szCs w:val="32"/>
        </w:rPr>
        <w:t>第四条【建设单位条件】</w:t>
      </w:r>
      <w:r>
        <w:rPr>
          <w:rFonts w:ascii="仿宋_GB2312" w:hAnsi="仿宋_GB2312" w:eastAsia="仿宋_GB2312" w:cs="仿宋_GB2312"/>
          <w:sz w:val="32"/>
          <w:szCs w:val="32"/>
        </w:rPr>
        <w:t>支持企业、港澳高校或研发中心</w:t>
      </w:r>
      <w:r>
        <w:rPr>
          <w:rFonts w:hint="eastAsia" w:ascii="仿宋_GB2312" w:hAnsi="仿宋_GB2312" w:eastAsia="仿宋_GB2312" w:cs="仿宋_GB2312"/>
          <w:sz w:val="32"/>
          <w:szCs w:val="32"/>
        </w:rPr>
        <w:t>在前海合作区</w:t>
      </w:r>
      <w:r>
        <w:rPr>
          <w:rFonts w:ascii="仿宋_GB2312" w:hAnsi="仿宋_GB2312" w:eastAsia="仿宋_GB2312" w:cs="仿宋_GB2312"/>
          <w:sz w:val="32"/>
          <w:szCs w:val="32"/>
        </w:rPr>
        <w:t>建设粤港澳合作新型研发机构。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（一）建设粤港澳合作新型研发机构的企业须满足以下条件之一：</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1.“世界500强”企业，且</w:t>
      </w:r>
      <w:r>
        <w:rPr>
          <w:rFonts w:hint="eastAsia" w:ascii="仿宋_GB2312" w:hAnsi="仿宋_GB2312" w:eastAsia="仿宋_GB2312" w:cs="仿宋_GB2312"/>
          <w:sz w:val="32"/>
          <w:szCs w:val="32"/>
        </w:rPr>
        <w:t>上一年度科技研究开发费用总额占同期销售收入总额比例不低于10%；</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2.上一年度</w:t>
      </w:r>
      <w:r>
        <w:rPr>
          <w:rFonts w:hint="eastAsia" w:ascii="仿宋_GB2312" w:hAnsi="仿宋_GB2312" w:eastAsia="仿宋_GB2312" w:cs="仿宋_GB2312"/>
          <w:sz w:val="32"/>
          <w:szCs w:val="32"/>
        </w:rPr>
        <w:t>销售</w:t>
      </w:r>
      <w:r>
        <w:rPr>
          <w:rFonts w:ascii="仿宋_GB2312" w:hAnsi="仿宋_GB2312" w:eastAsia="仿宋_GB2312" w:cs="仿宋_GB2312"/>
          <w:sz w:val="32"/>
          <w:szCs w:val="32"/>
        </w:rPr>
        <w:t>收入100亿元以上的前海合作区注册企业</w:t>
      </w:r>
      <w:r>
        <w:rPr>
          <w:rFonts w:hint="eastAsia" w:ascii="仿宋_GB2312" w:hAnsi="仿宋_GB2312" w:eastAsia="仿宋_GB2312" w:cs="仿宋_GB2312"/>
          <w:sz w:val="32"/>
          <w:szCs w:val="32"/>
        </w:rPr>
        <w:t>，且上一年度科技研究开发费用总额占同期销售收入总额比例不低于10%；</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3.上一年度销售收入30亿元以上的</w:t>
      </w:r>
      <w:r>
        <w:rPr>
          <w:rFonts w:hint="eastAsia" w:ascii="仿宋_GB2312" w:hAnsi="仿宋_GB2312" w:eastAsia="仿宋_GB2312" w:cs="仿宋_GB2312"/>
          <w:sz w:val="32"/>
          <w:szCs w:val="32"/>
        </w:rPr>
        <w:t>港澳地区</w:t>
      </w:r>
      <w:r>
        <w:rPr>
          <w:rFonts w:ascii="仿宋_GB2312" w:hAnsi="仿宋_GB2312" w:eastAsia="仿宋_GB2312" w:cs="仿宋_GB2312"/>
          <w:sz w:val="32"/>
          <w:szCs w:val="32"/>
        </w:rPr>
        <w:t>企业，且</w:t>
      </w:r>
      <w:r>
        <w:rPr>
          <w:rFonts w:hint="eastAsia" w:ascii="仿宋_GB2312" w:hAnsi="仿宋_GB2312" w:eastAsia="仿宋_GB2312" w:cs="仿宋_GB2312"/>
          <w:sz w:val="32"/>
          <w:szCs w:val="32"/>
        </w:rPr>
        <w:t>上一年度科技研究开发费用总额占同期销售收入总额比例不低于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4.前海合作区注册的港</w:t>
      </w:r>
      <w:r>
        <w:rPr>
          <w:rFonts w:hint="eastAsia" w:ascii="仿宋_GB2312" w:hAnsi="仿宋_GB2312" w:eastAsia="仿宋_GB2312" w:cs="仿宋_GB2312"/>
          <w:sz w:val="32"/>
          <w:szCs w:val="32"/>
        </w:rPr>
        <w:t>澳</w:t>
      </w:r>
      <w:r>
        <w:rPr>
          <w:rFonts w:ascii="仿宋_GB2312" w:hAnsi="仿宋_GB2312" w:eastAsia="仿宋_GB2312" w:cs="仿宋_GB2312"/>
          <w:sz w:val="32"/>
          <w:szCs w:val="32"/>
        </w:rPr>
        <w:t>资企业，获得国家高新技术企业认定，且上一年度</w:t>
      </w:r>
      <w:r>
        <w:rPr>
          <w:rFonts w:hint="eastAsia" w:ascii="仿宋_GB2312" w:hAnsi="仿宋_GB2312" w:eastAsia="仿宋_GB2312" w:cs="仿宋_GB2312"/>
          <w:sz w:val="32"/>
          <w:szCs w:val="32"/>
        </w:rPr>
        <w:t>销售</w:t>
      </w:r>
      <w:r>
        <w:rPr>
          <w:rFonts w:ascii="仿宋_GB2312" w:hAnsi="仿宋_GB2312" w:eastAsia="仿宋_GB2312" w:cs="仿宋_GB2312"/>
          <w:sz w:val="32"/>
          <w:szCs w:val="32"/>
        </w:rPr>
        <w:t>收入5亿元以上、</w:t>
      </w:r>
      <w:r>
        <w:rPr>
          <w:rFonts w:hint="eastAsia" w:ascii="仿宋_GB2312" w:hAnsi="仿宋_GB2312" w:eastAsia="仿宋_GB2312" w:cs="仿宋_GB2312"/>
          <w:sz w:val="32"/>
          <w:szCs w:val="32"/>
        </w:rPr>
        <w:t>上一年度科技研究开发费用总额占同期销售收入总额比例不低于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（二）港澳高校须为香港特区政府大学教育资助委员会资助并可颁授学位的高等教育院校或澳门研究型大学。港澳研发中心须为港澳特区政府成立的科技研发类公营机构。</w:t>
      </w:r>
    </w:p>
    <w:p>
      <w:pPr>
        <w:pStyle w:val="12"/>
        <w:rPr>
          <w:rFonts w:ascii="仿宋_GB2312" w:hAnsi="仿宋_GB2312" w:eastAsia="仿宋_GB2312" w:cs="仿宋_GB2312"/>
          <w:sz w:val="32"/>
        </w:rPr>
      </w:pPr>
      <w:r>
        <w:rPr>
          <w:rFonts w:hint="eastAsia" w:ascii="黑体" w:hAnsi="黑体" w:eastAsia="黑体" w:cs="黑体"/>
          <w:sz w:val="32"/>
        </w:rPr>
        <w:t>第</w:t>
      </w:r>
      <w:r>
        <w:rPr>
          <w:rFonts w:ascii="黑体" w:hAnsi="黑体" w:eastAsia="黑体" w:cs="黑体"/>
          <w:sz w:val="32"/>
        </w:rPr>
        <w:t>五</w:t>
      </w:r>
      <w:r>
        <w:rPr>
          <w:rFonts w:hint="eastAsia" w:ascii="黑体" w:hAnsi="黑体" w:eastAsia="黑体" w:cs="黑体"/>
          <w:sz w:val="32"/>
        </w:rPr>
        <w:t>条【</w:t>
      </w:r>
      <w:r>
        <w:rPr>
          <w:rFonts w:ascii="黑体" w:hAnsi="黑体" w:eastAsia="黑体" w:cs="黑体"/>
          <w:sz w:val="32"/>
        </w:rPr>
        <w:t>运营</w:t>
      </w:r>
      <w:r>
        <w:rPr>
          <w:rFonts w:hint="eastAsia" w:ascii="黑体" w:hAnsi="黑体" w:eastAsia="黑体" w:cs="黑体"/>
          <w:sz w:val="32"/>
        </w:rPr>
        <w:t>单位</w:t>
      </w:r>
      <w:r>
        <w:rPr>
          <w:rFonts w:ascii="黑体" w:hAnsi="黑体" w:eastAsia="黑体" w:cs="黑体"/>
          <w:sz w:val="32"/>
        </w:rPr>
        <w:t>基本条件</w:t>
      </w:r>
      <w:r>
        <w:rPr>
          <w:rFonts w:hint="eastAsia" w:ascii="黑体" w:hAnsi="黑体" w:eastAsia="黑体" w:cs="黑体"/>
          <w:sz w:val="32"/>
        </w:rPr>
        <w:t>】</w:t>
      </w:r>
    </w:p>
    <w:p>
      <w:pPr>
        <w:pStyle w:val="12"/>
        <w:rPr>
          <w:rFonts w:ascii="仿宋_GB2312" w:hAnsi="仿宋_GB2312" w:eastAsia="仿宋_GB2312" w:cs="仿宋_GB2312"/>
          <w:sz w:val="32"/>
        </w:rPr>
      </w:pPr>
      <w:r>
        <w:rPr>
          <w:rFonts w:ascii="仿宋_GB2312" w:hAnsi="仿宋_GB2312" w:eastAsia="仿宋_GB2312" w:cs="仿宋_GB2312"/>
          <w:sz w:val="32"/>
        </w:rPr>
        <w:t>粤港澳合作新型研发机构</w:t>
      </w:r>
      <w:r>
        <w:rPr>
          <w:rFonts w:hint="eastAsia" w:ascii="仿宋_GB2312" w:hAnsi="仿宋_GB2312" w:eastAsia="仿宋_GB2312" w:cs="仿宋_GB2312"/>
          <w:sz w:val="32"/>
        </w:rPr>
        <w:t>运营单位须同时满足以下条件：</w:t>
      </w:r>
    </w:p>
    <w:p>
      <w:pPr>
        <w:pStyle w:val="12"/>
        <w:rPr>
          <w:rFonts w:ascii="仿宋_GB2312" w:hAnsi="仿宋_GB2312" w:eastAsia="仿宋_GB2312" w:cs="仿宋_GB2312"/>
          <w:sz w:val="32"/>
        </w:rPr>
      </w:pPr>
      <w:r>
        <w:rPr>
          <w:rFonts w:ascii="仿宋_GB2312" w:hAnsi="仿宋_GB2312" w:eastAsia="仿宋_GB2312" w:cs="仿宋_GB2312"/>
          <w:sz w:val="32"/>
        </w:rPr>
        <w:t>（一）</w:t>
      </w:r>
      <w:r>
        <w:rPr>
          <w:rFonts w:hint="eastAsia" w:ascii="仿宋_GB2312" w:hAnsi="仿宋_GB2312" w:eastAsia="仿宋_GB2312" w:cs="仿宋_GB2312"/>
          <w:sz w:val="32"/>
        </w:rPr>
        <w:t>具有独立法人资格，注册登记地、实际经营地、税收缴纳地均在前海合作区内；</w:t>
      </w:r>
    </w:p>
    <w:p>
      <w:pPr>
        <w:pStyle w:val="12"/>
        <w:ind w:firstLineChars="0"/>
        <w:rPr>
          <w:rFonts w:ascii="仿宋_GB2312" w:hAnsi="仿宋_GB2312" w:eastAsia="仿宋_GB2312" w:cs="仿宋_GB2312"/>
          <w:sz w:val="32"/>
        </w:rPr>
      </w:pPr>
      <w:r>
        <w:rPr>
          <w:rFonts w:ascii="仿宋_GB2312" w:hAnsi="仿宋_GB2312" w:eastAsia="仿宋_GB2312" w:cs="仿宋_GB2312"/>
          <w:sz w:val="32"/>
        </w:rPr>
        <w:t>（</w:t>
      </w:r>
      <w:r>
        <w:rPr>
          <w:rFonts w:hint="eastAsia" w:ascii="仿宋_GB2312" w:hAnsi="仿宋_GB2312" w:eastAsia="仿宋_GB2312" w:cs="仿宋_GB2312"/>
          <w:sz w:val="32"/>
        </w:rPr>
        <w:t>二</w:t>
      </w:r>
      <w:r>
        <w:rPr>
          <w:rFonts w:ascii="仿宋_GB2312" w:hAnsi="仿宋_GB2312" w:eastAsia="仿宋_GB2312" w:cs="仿宋_GB2312"/>
          <w:sz w:val="32"/>
        </w:rPr>
        <w:t>）</w:t>
      </w:r>
      <w:r>
        <w:rPr>
          <w:rFonts w:hint="eastAsia" w:ascii="仿宋_GB2312" w:hAnsi="仿宋_GB2312" w:eastAsia="仿宋_GB2312" w:cs="仿宋_GB2312"/>
          <w:sz w:val="32"/>
        </w:rPr>
        <w:t>购买或租赁前海合作区内500平方米以上办公空间用于科技研发；</w:t>
      </w:r>
    </w:p>
    <w:p>
      <w:pPr>
        <w:pStyle w:val="12"/>
        <w:rPr>
          <w:rFonts w:ascii="仿宋_GB2312" w:hAnsi="仿宋_GB2312" w:eastAsia="仿宋_GB2312" w:cs="仿宋_GB2312"/>
          <w:sz w:val="32"/>
        </w:rPr>
      </w:pPr>
      <w:r>
        <w:rPr>
          <w:rFonts w:ascii="仿宋_GB2312" w:hAnsi="仿宋_GB2312" w:eastAsia="仿宋_GB2312" w:cs="仿宋_GB2312"/>
          <w:sz w:val="32"/>
        </w:rPr>
        <w:t>（</w:t>
      </w:r>
      <w:r>
        <w:rPr>
          <w:rFonts w:hint="eastAsia" w:ascii="仿宋_GB2312" w:hAnsi="仿宋_GB2312" w:eastAsia="仿宋_GB2312" w:cs="仿宋_GB2312"/>
          <w:sz w:val="32"/>
        </w:rPr>
        <w:t>三</w:t>
      </w:r>
      <w:r>
        <w:rPr>
          <w:rFonts w:ascii="仿宋_GB2312" w:hAnsi="仿宋_GB2312" w:eastAsia="仿宋_GB2312" w:cs="仿宋_GB2312"/>
          <w:sz w:val="32"/>
        </w:rPr>
        <w:t>）粤港澳合作新型研发机构注册为企业的，港澳高校、研发中心股权占比累计不低于25%；注册为民办非企业组织的，开办资金不少于500万元，发起单位须包括港澳高校或研发中心，且港澳高校、研发中心出资累计不低于25%。</w:t>
      </w:r>
    </w:p>
    <w:p>
      <w:pPr>
        <w:pStyle w:val="12"/>
        <w:rPr>
          <w:rFonts w:ascii="黑体" w:hAnsi="黑体" w:eastAsia="黑体" w:cs="黑体"/>
          <w:sz w:val="32"/>
        </w:rPr>
      </w:pPr>
      <w:r>
        <w:rPr>
          <w:rFonts w:ascii="黑体" w:hAnsi="黑体" w:eastAsia="黑体" w:cs="黑体"/>
          <w:sz w:val="32"/>
        </w:rPr>
        <w:t xml:space="preserve">第六条 </w:t>
      </w:r>
      <w:r>
        <w:rPr>
          <w:rFonts w:hint="eastAsia" w:ascii="黑体" w:hAnsi="黑体" w:eastAsia="黑体" w:cs="黑体"/>
          <w:sz w:val="32"/>
        </w:rPr>
        <w:t>【</w:t>
      </w:r>
      <w:r>
        <w:rPr>
          <w:rFonts w:ascii="黑体" w:hAnsi="黑体" w:eastAsia="黑体" w:cs="黑体"/>
          <w:sz w:val="32"/>
        </w:rPr>
        <w:t>开展粤港澳科技合作条件</w:t>
      </w:r>
      <w:r>
        <w:rPr>
          <w:rFonts w:hint="eastAsia" w:ascii="黑体" w:hAnsi="黑体" w:eastAsia="黑体" w:cs="黑体"/>
          <w:sz w:val="32"/>
        </w:rPr>
        <w:t>】</w:t>
      </w:r>
    </w:p>
    <w:p>
      <w:pPr>
        <w:pStyle w:val="12"/>
        <w:rPr>
          <w:rFonts w:ascii="仿宋_GB2312" w:hAnsi="仿宋_GB2312" w:eastAsia="仿宋_GB2312" w:cs="仿宋_GB2312"/>
          <w:sz w:val="32"/>
        </w:rPr>
      </w:pPr>
      <w:r>
        <w:rPr>
          <w:rFonts w:hint="eastAsia" w:ascii="仿宋_GB2312" w:hAnsi="仿宋_GB2312" w:eastAsia="仿宋_GB2312" w:cs="仿宋_GB2312"/>
          <w:sz w:val="32"/>
        </w:rPr>
        <w:t>粤港澳合作新型研发机构的</w:t>
      </w:r>
      <w:r>
        <w:rPr>
          <w:rFonts w:ascii="仿宋_GB2312" w:hAnsi="仿宋_GB2312" w:eastAsia="仿宋_GB2312" w:cs="仿宋_GB2312"/>
          <w:sz w:val="32"/>
        </w:rPr>
        <w:t>运营机构须具备以下粤港澳科技合作的实施条件：</w:t>
      </w:r>
    </w:p>
    <w:p>
      <w:pPr>
        <w:pStyle w:val="12"/>
        <w:ind w:firstLineChars="0"/>
        <w:rPr>
          <w:rFonts w:ascii="仿宋_GB2312" w:hAnsi="仿宋_GB2312" w:eastAsia="仿宋_GB2312" w:cs="仿宋_GB2312"/>
          <w:sz w:val="32"/>
        </w:rPr>
      </w:pPr>
      <w:r>
        <w:rPr>
          <w:rFonts w:ascii="仿宋_GB2312" w:hAnsi="仿宋_GB2312" w:eastAsia="仿宋_GB2312" w:cs="仿宋_GB2312"/>
          <w:sz w:val="32"/>
        </w:rPr>
        <w:t>（一）常驻研发人员不少于15人，其中博士学位研发人员占比不少于50%。</w:t>
      </w:r>
    </w:p>
    <w:p>
      <w:pPr>
        <w:pStyle w:val="12"/>
        <w:ind w:firstLineChars="0"/>
        <w:rPr>
          <w:rFonts w:ascii="仿宋_GB2312" w:hAnsi="仿宋_GB2312" w:eastAsia="仿宋_GB2312" w:cs="仿宋_GB2312"/>
          <w:sz w:val="32"/>
        </w:rPr>
      </w:pPr>
      <w:r>
        <w:rPr>
          <w:rFonts w:ascii="仿宋_GB2312" w:hAnsi="仿宋_GB2312" w:eastAsia="仿宋_GB2312" w:cs="仿宋_GB2312"/>
          <w:sz w:val="32"/>
        </w:rPr>
        <w:t>（二）拥有</w:t>
      </w:r>
      <w:r>
        <w:rPr>
          <w:rFonts w:hint="eastAsia" w:ascii="仿宋_GB2312" w:hAnsi="仿宋_GB2312" w:eastAsia="仿宋_GB2312" w:cs="仿宋_GB2312"/>
          <w:sz w:val="32"/>
        </w:rPr>
        <w:t>3</w:t>
      </w:r>
      <w:r>
        <w:rPr>
          <w:rFonts w:ascii="仿宋_GB2312" w:hAnsi="仿宋_GB2312" w:eastAsia="仿宋_GB2312" w:cs="仿宋_GB2312"/>
          <w:sz w:val="32"/>
        </w:rPr>
        <w:t>名以上港澳高校教授或港澳研发中心高级工程师常驻（每年不少于6个月）开展科研工作，科研团队中港澳居民占比不少于50%。</w:t>
      </w:r>
    </w:p>
    <w:p>
      <w:pPr>
        <w:pStyle w:val="12"/>
        <w:rPr>
          <w:rFonts w:ascii="仿宋_GB2312" w:hAnsi="仿宋_GB2312" w:eastAsia="仿宋_GB2312" w:cs="仿宋_GB2312"/>
          <w:sz w:val="32"/>
        </w:rPr>
      </w:pPr>
      <w:r>
        <w:rPr>
          <w:rFonts w:ascii="仿宋_GB2312" w:hAnsi="仿宋_GB2312" w:eastAsia="仿宋_GB2312" w:cs="仿宋_GB2312"/>
          <w:sz w:val="32"/>
        </w:rPr>
        <w:t>（三）具备开展科技攻关的研发能力，研发</w:t>
      </w:r>
      <w:r>
        <w:rPr>
          <w:rFonts w:hint="eastAsia" w:ascii="仿宋_GB2312" w:hAnsi="仿宋_GB2312" w:eastAsia="仿宋_GB2312" w:cs="仿宋_GB2312"/>
          <w:sz w:val="32"/>
        </w:rPr>
        <w:t>机构主要</w:t>
      </w:r>
      <w:r>
        <w:rPr>
          <w:rFonts w:ascii="仿宋_GB2312" w:hAnsi="仿宋_GB2312" w:eastAsia="仿宋_GB2312" w:cs="仿宋_GB2312"/>
          <w:sz w:val="32"/>
        </w:rPr>
        <w:t>负责人承接过国家、广东省科技计划项目或香港研究资助局、澳门科学技术发展基金研究资助项目。</w:t>
      </w:r>
    </w:p>
    <w:p>
      <w:pPr>
        <w:pStyle w:val="12"/>
        <w:rPr>
          <w:rFonts w:ascii="仿宋_GB2312" w:hAnsi="仿宋_GB2312" w:eastAsia="仿宋_GB2312" w:cs="仿宋_GB2312"/>
          <w:sz w:val="32"/>
        </w:rPr>
      </w:pPr>
      <w:r>
        <w:rPr>
          <w:rFonts w:hint="eastAsia" w:ascii="仿宋_GB2312" w:hAnsi="仿宋_GB2312" w:eastAsia="仿宋_GB2312" w:cs="仿宋_GB2312"/>
          <w:sz w:val="32"/>
        </w:rPr>
        <w:t>（</w:t>
      </w:r>
      <w:r>
        <w:rPr>
          <w:rFonts w:ascii="仿宋_GB2312" w:hAnsi="仿宋_GB2312" w:eastAsia="仿宋_GB2312" w:cs="仿宋_GB2312"/>
          <w:sz w:val="32"/>
        </w:rPr>
        <w:t>四</w:t>
      </w:r>
      <w:r>
        <w:rPr>
          <w:rFonts w:hint="eastAsia" w:ascii="仿宋_GB2312" w:hAnsi="仿宋_GB2312" w:eastAsia="仿宋_GB2312" w:cs="仿宋_GB2312"/>
          <w:sz w:val="32"/>
        </w:rPr>
        <w:t>）具备港澳技术成果转移转化的实施能力，面向产业需求已完成或正在开展的技术服务项目不少于2个。</w:t>
      </w:r>
    </w:p>
    <w:p>
      <w:pPr>
        <w:pStyle w:val="12"/>
        <w:ind w:firstLineChars="0"/>
        <w:rPr>
          <w:rFonts w:ascii="仿宋_GB2312" w:hAnsi="仿宋_GB2312" w:eastAsia="仿宋_GB2312" w:cs="仿宋_GB2312"/>
          <w:sz w:val="32"/>
        </w:rPr>
      </w:pPr>
      <w:r>
        <w:rPr>
          <w:rFonts w:ascii="仿宋_GB2312" w:hAnsi="仿宋_GB2312" w:eastAsia="仿宋_GB2312" w:cs="仿宋_GB2312"/>
          <w:sz w:val="32"/>
        </w:rPr>
        <w:t>（五）研究方向以人工智能、健康医疗、金融科技、智慧城市、物联网、新能源、新材料等港澳优势科技领域为重点，与深圳市战略性新兴产业发展需求相衔接。</w:t>
      </w:r>
    </w:p>
    <w:p>
      <w:pPr>
        <w:pStyle w:val="12"/>
        <w:ind w:firstLineChars="0"/>
        <w:rPr>
          <w:rFonts w:ascii="仿宋_GB2312" w:hAnsi="仿宋_GB2312" w:eastAsia="仿宋_GB2312" w:cs="仿宋_GB2312"/>
          <w:sz w:val="32"/>
        </w:rPr>
      </w:pPr>
      <w:r>
        <w:rPr>
          <w:rFonts w:ascii="仿宋_GB2312" w:hAnsi="仿宋_GB2312" w:eastAsia="仿宋_GB2312" w:cs="仿宋_GB2312"/>
          <w:sz w:val="32"/>
        </w:rPr>
        <w:t>（六）拥有完整的新型研发机构建设规划、健全的内部管理制度和明确的研发投入计划。</w:t>
      </w:r>
    </w:p>
    <w:p>
      <w:pPr>
        <w:pStyle w:val="3"/>
        <w:jc w:val="center"/>
        <w:rPr>
          <w:rFonts w:ascii="黑体" w:hAnsi="黑体" w:eastAsia="黑体"/>
          <w:b w:val="0"/>
        </w:rPr>
      </w:pPr>
      <w:r>
        <w:rPr>
          <w:rFonts w:hint="eastAsia" w:ascii="黑体" w:hAnsi="黑体" w:eastAsia="黑体"/>
          <w:b w:val="0"/>
        </w:rPr>
        <w:t>第</w:t>
      </w:r>
      <w:r>
        <w:rPr>
          <w:rFonts w:ascii="黑体" w:hAnsi="黑体" w:eastAsia="黑体"/>
          <w:b w:val="0"/>
        </w:rPr>
        <w:t>三</w:t>
      </w:r>
      <w:r>
        <w:rPr>
          <w:rFonts w:hint="eastAsia" w:ascii="黑体" w:hAnsi="黑体" w:eastAsia="黑体"/>
          <w:b w:val="0"/>
        </w:rPr>
        <w:t xml:space="preserve">章 </w:t>
      </w:r>
      <w:r>
        <w:rPr>
          <w:rFonts w:ascii="黑体" w:hAnsi="黑体" w:eastAsia="黑体"/>
          <w:b w:val="0"/>
        </w:rPr>
        <w:t>支持政策</w:t>
      </w:r>
    </w:p>
    <w:p>
      <w:pPr>
        <w:widowControl/>
        <w:spacing w:line="560" w:lineRule="exact"/>
        <w:ind w:firstLine="640" w:firstLineChars="200"/>
        <w:rPr>
          <w:rFonts w:ascii="黑体" w:hAnsi="黑体" w:eastAsia="黑体" w:cs="宋体"/>
          <w:kern w:val="0"/>
          <w:sz w:val="32"/>
        </w:rPr>
      </w:pPr>
      <w:r>
        <w:rPr>
          <w:rFonts w:hint="eastAsia" w:ascii="黑体" w:hAnsi="黑体" w:eastAsia="黑体" w:cs="宋体"/>
          <w:kern w:val="0"/>
          <w:sz w:val="32"/>
        </w:rPr>
        <w:t>第</w:t>
      </w:r>
      <w:r>
        <w:rPr>
          <w:rFonts w:ascii="黑体" w:hAnsi="黑体" w:eastAsia="黑体" w:cs="宋体"/>
          <w:kern w:val="0"/>
          <w:sz w:val="32"/>
        </w:rPr>
        <w:t>七</w:t>
      </w:r>
      <w:r>
        <w:rPr>
          <w:rFonts w:hint="eastAsia" w:ascii="黑体" w:hAnsi="黑体" w:eastAsia="黑体" w:cs="宋体"/>
          <w:kern w:val="0"/>
          <w:sz w:val="32"/>
        </w:rPr>
        <w:t>条【</w:t>
      </w:r>
      <w:r>
        <w:rPr>
          <w:rFonts w:ascii="黑体" w:hAnsi="黑体" w:eastAsia="黑体" w:cs="宋体"/>
          <w:kern w:val="0"/>
          <w:sz w:val="32"/>
        </w:rPr>
        <w:t>建设支持</w:t>
      </w:r>
      <w:r>
        <w:rPr>
          <w:rFonts w:hint="eastAsia" w:ascii="黑体" w:hAnsi="黑体" w:eastAsia="黑体" w:cs="宋体"/>
          <w:kern w:val="0"/>
          <w:sz w:val="32"/>
        </w:rPr>
        <w:t>】</w:t>
      </w:r>
      <w:r>
        <w:rPr>
          <w:rFonts w:hint="eastAsia" w:ascii="仿宋_GB2312" w:hAnsi="宋体" w:eastAsia="仿宋_GB2312" w:cs="宋体"/>
          <w:kern w:val="0"/>
          <w:sz w:val="32"/>
          <w:szCs w:val="32"/>
        </w:rPr>
        <w:t>经认定的粤港澳合作新型研发机构可申请建设资金支持：</w:t>
      </w:r>
    </w:p>
    <w:p>
      <w:pPr>
        <w:pStyle w:val="12"/>
        <w:ind w:firstLineChars="0"/>
        <w:rPr>
          <w:rFonts w:ascii="仿宋_GB2312" w:hAnsi="宋体" w:eastAsia="仿宋_GB2312" w:cs="宋体"/>
          <w:kern w:val="0"/>
          <w:sz w:val="32"/>
        </w:rPr>
      </w:pPr>
      <w:r>
        <w:rPr>
          <w:rFonts w:hint="eastAsia" w:ascii="仿宋_GB2312" w:hAnsi="宋体" w:eastAsia="仿宋_GB2312" w:cs="宋体"/>
          <w:kern w:val="0"/>
          <w:sz w:val="32"/>
        </w:rPr>
        <w:t>（一）上一年度研发投入1</w:t>
      </w:r>
      <w:r>
        <w:rPr>
          <w:rFonts w:ascii="仿宋_GB2312" w:hAnsi="宋体" w:eastAsia="仿宋_GB2312" w:cs="宋体"/>
          <w:kern w:val="0"/>
          <w:sz w:val="32"/>
        </w:rPr>
        <w:t>000万元</w:t>
      </w:r>
      <w:r>
        <w:rPr>
          <w:rFonts w:hint="eastAsia" w:ascii="仿宋_GB2312" w:hAnsi="宋体" w:eastAsia="仿宋_GB2312" w:cs="宋体"/>
          <w:kern w:val="0"/>
          <w:sz w:val="32"/>
        </w:rPr>
        <w:t>以上</w:t>
      </w:r>
      <w:r>
        <w:rPr>
          <w:rFonts w:ascii="仿宋_GB2312" w:hAnsi="宋体" w:eastAsia="仿宋_GB2312" w:cs="宋体"/>
          <w:kern w:val="0"/>
          <w:sz w:val="32"/>
        </w:rPr>
        <w:t>、不</w:t>
      </w:r>
      <w:r>
        <w:rPr>
          <w:rFonts w:hint="eastAsia" w:ascii="仿宋_GB2312" w:hAnsi="宋体" w:eastAsia="仿宋_GB2312" w:cs="宋体"/>
          <w:kern w:val="0"/>
          <w:sz w:val="32"/>
        </w:rPr>
        <w:t>超过2</w:t>
      </w:r>
      <w:r>
        <w:rPr>
          <w:rFonts w:ascii="仿宋_GB2312" w:hAnsi="宋体" w:eastAsia="仿宋_GB2312" w:cs="宋体"/>
          <w:kern w:val="0"/>
          <w:sz w:val="32"/>
        </w:rPr>
        <w:t>000万元的</w:t>
      </w:r>
      <w:r>
        <w:rPr>
          <w:rFonts w:hint="eastAsia" w:ascii="仿宋_GB2312" w:hAnsi="宋体" w:eastAsia="仿宋_GB2312" w:cs="宋体"/>
          <w:kern w:val="0"/>
          <w:sz w:val="32"/>
        </w:rPr>
        <w:t>，予以5</w:t>
      </w:r>
      <w:r>
        <w:rPr>
          <w:rFonts w:ascii="仿宋_GB2312" w:hAnsi="宋体" w:eastAsia="仿宋_GB2312" w:cs="宋体"/>
          <w:kern w:val="0"/>
          <w:sz w:val="32"/>
        </w:rPr>
        <w:t>00</w:t>
      </w:r>
      <w:r>
        <w:rPr>
          <w:rFonts w:hint="eastAsia" w:ascii="仿宋_GB2312" w:hAnsi="宋体" w:eastAsia="仿宋_GB2312" w:cs="宋体"/>
          <w:kern w:val="0"/>
          <w:sz w:val="32"/>
        </w:rPr>
        <w:t>万元资金支持；上一年度研发投入</w:t>
      </w:r>
      <w:r>
        <w:rPr>
          <w:rFonts w:ascii="仿宋_GB2312" w:hAnsi="宋体" w:eastAsia="仿宋_GB2312" w:cs="宋体"/>
          <w:kern w:val="0"/>
          <w:sz w:val="32"/>
        </w:rPr>
        <w:t>2000万元</w:t>
      </w:r>
      <w:r>
        <w:rPr>
          <w:rFonts w:hint="eastAsia" w:ascii="仿宋_GB2312" w:hAnsi="宋体" w:eastAsia="仿宋_GB2312" w:cs="宋体"/>
          <w:kern w:val="0"/>
          <w:sz w:val="32"/>
        </w:rPr>
        <w:t>以上</w:t>
      </w:r>
      <w:r>
        <w:rPr>
          <w:rFonts w:ascii="仿宋_GB2312" w:hAnsi="宋体" w:eastAsia="仿宋_GB2312" w:cs="宋体"/>
          <w:kern w:val="0"/>
          <w:sz w:val="32"/>
        </w:rPr>
        <w:t>的</w:t>
      </w:r>
      <w:r>
        <w:rPr>
          <w:rFonts w:hint="eastAsia" w:ascii="仿宋_GB2312" w:hAnsi="宋体" w:eastAsia="仿宋_GB2312" w:cs="宋体"/>
          <w:kern w:val="0"/>
          <w:sz w:val="32"/>
        </w:rPr>
        <w:t>，予以</w:t>
      </w:r>
      <w:r>
        <w:rPr>
          <w:rFonts w:ascii="仿宋_GB2312" w:hAnsi="宋体" w:eastAsia="仿宋_GB2312" w:cs="宋体"/>
          <w:kern w:val="0"/>
          <w:sz w:val="32"/>
        </w:rPr>
        <w:t>1000</w:t>
      </w:r>
      <w:r>
        <w:rPr>
          <w:rFonts w:hint="eastAsia" w:ascii="仿宋_GB2312" w:hAnsi="宋体" w:eastAsia="仿宋_GB2312" w:cs="宋体"/>
          <w:kern w:val="0"/>
          <w:sz w:val="32"/>
        </w:rPr>
        <w:t>万元资金支持。</w:t>
      </w:r>
    </w:p>
    <w:p>
      <w:pPr>
        <w:pStyle w:val="12"/>
        <w:ind w:firstLineChars="0"/>
        <w:rPr>
          <w:rFonts w:ascii="仿宋_GB2312" w:hAnsi="宋体" w:eastAsia="仿宋_GB2312" w:cs="宋体"/>
          <w:kern w:val="0"/>
          <w:sz w:val="32"/>
        </w:rPr>
      </w:pPr>
      <w:r>
        <w:rPr>
          <w:rFonts w:hint="eastAsia" w:ascii="仿宋_GB2312" w:hAnsi="宋体" w:eastAsia="仿宋_GB2312" w:cs="宋体"/>
          <w:kern w:val="0"/>
          <w:sz w:val="32"/>
        </w:rPr>
        <w:t>（二）对港澳高校与前海管理局签署协议建设粤港澳合作新型研发机构的，</w:t>
      </w:r>
      <w:r>
        <w:rPr>
          <w:rFonts w:ascii="仿宋_GB2312" w:hAnsi="宋体" w:eastAsia="仿宋_GB2312" w:cs="宋体"/>
          <w:kern w:val="0"/>
          <w:sz w:val="32"/>
        </w:rPr>
        <w:t>按照协议约定</w:t>
      </w:r>
      <w:r>
        <w:rPr>
          <w:rFonts w:hint="eastAsia" w:ascii="仿宋_GB2312" w:hAnsi="宋体" w:eastAsia="仿宋_GB2312" w:cs="宋体"/>
          <w:kern w:val="0"/>
          <w:sz w:val="32"/>
        </w:rPr>
        <w:t>予以支持</w:t>
      </w:r>
      <w:r>
        <w:rPr>
          <w:rFonts w:ascii="仿宋_GB2312" w:hAnsi="宋体" w:eastAsia="仿宋_GB2312" w:cs="宋体"/>
          <w:kern w:val="0"/>
          <w:sz w:val="32"/>
        </w:rPr>
        <w:t>。</w:t>
      </w:r>
    </w:p>
    <w:p>
      <w:pPr>
        <w:widowControl/>
        <w:spacing w:line="560" w:lineRule="exact"/>
        <w:ind w:firstLine="640" w:firstLineChars="200"/>
        <w:rPr>
          <w:rFonts w:ascii="仿宋_GB2312" w:hAnsi="宋体" w:eastAsia="仿宋_GB2312" w:cs="宋体"/>
          <w:kern w:val="0"/>
          <w:sz w:val="32"/>
          <w:szCs w:val="32"/>
        </w:rPr>
      </w:pPr>
      <w:r>
        <w:rPr>
          <w:rFonts w:ascii="黑体" w:hAnsi="黑体" w:eastAsia="黑体" w:cs="宋体"/>
          <w:kern w:val="0"/>
          <w:sz w:val="32"/>
        </w:rPr>
        <w:t xml:space="preserve">第八条 </w:t>
      </w:r>
      <w:r>
        <w:rPr>
          <w:rFonts w:hint="eastAsia" w:ascii="黑体" w:hAnsi="黑体" w:eastAsia="黑体" w:cs="宋体"/>
          <w:kern w:val="0"/>
          <w:sz w:val="32"/>
        </w:rPr>
        <w:t>【</w:t>
      </w:r>
      <w:r>
        <w:rPr>
          <w:rFonts w:ascii="黑体" w:hAnsi="黑体" w:eastAsia="黑体" w:cs="宋体"/>
          <w:kern w:val="0"/>
          <w:sz w:val="32"/>
        </w:rPr>
        <w:t>发展支持</w:t>
      </w:r>
      <w:r>
        <w:rPr>
          <w:rFonts w:hint="eastAsia" w:ascii="黑体" w:hAnsi="黑体" w:eastAsia="黑体" w:cs="宋体"/>
          <w:kern w:val="0"/>
          <w:sz w:val="32"/>
        </w:rPr>
        <w:t>】</w:t>
      </w:r>
      <w:r>
        <w:rPr>
          <w:rFonts w:hint="eastAsia" w:ascii="仿宋_GB2312" w:hAnsi="宋体" w:eastAsia="仿宋_GB2312" w:cs="宋体"/>
          <w:kern w:val="0"/>
          <w:sz w:val="32"/>
          <w:szCs w:val="32"/>
        </w:rPr>
        <w:t>经认定的粤港澳合作新型研发机构可申请发展支持：</w:t>
      </w:r>
    </w:p>
    <w:p>
      <w:pPr>
        <w:widowControl/>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（一）获得广东省有关主管部门粤港澳联合实验室建设项目资助的，</w:t>
      </w:r>
      <w:r>
        <w:rPr>
          <w:rFonts w:hint="eastAsia" w:ascii="仿宋_GB2312" w:hAnsi="宋体" w:eastAsia="仿宋_GB2312" w:cs="宋体"/>
          <w:kern w:val="0"/>
          <w:sz w:val="32"/>
          <w:szCs w:val="32"/>
        </w:rPr>
        <w:t>予以</w:t>
      </w:r>
      <w:r>
        <w:rPr>
          <w:rFonts w:ascii="仿宋_GB2312" w:hAnsi="宋体" w:eastAsia="仿宋_GB2312" w:cs="宋体"/>
          <w:kern w:val="0"/>
          <w:sz w:val="32"/>
          <w:szCs w:val="32"/>
        </w:rPr>
        <w:t>一次性100万元支持；</w:t>
      </w:r>
    </w:p>
    <w:p>
      <w:pPr>
        <w:widowControl/>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（二）获得国家、广东省科技计划项目立项资助并顺利结题的，分别</w:t>
      </w:r>
      <w:r>
        <w:rPr>
          <w:rFonts w:hint="eastAsia" w:ascii="仿宋_GB2312" w:hAnsi="宋体" w:eastAsia="仿宋_GB2312" w:cs="宋体"/>
          <w:kern w:val="0"/>
          <w:sz w:val="32"/>
          <w:szCs w:val="32"/>
        </w:rPr>
        <w:t>对</w:t>
      </w:r>
      <w:r>
        <w:rPr>
          <w:rFonts w:ascii="仿宋_GB2312" w:hAnsi="宋体" w:eastAsia="仿宋_GB2312" w:cs="宋体"/>
          <w:kern w:val="0"/>
          <w:sz w:val="32"/>
          <w:szCs w:val="32"/>
        </w:rPr>
        <w:t>承担项目的科研团队</w:t>
      </w:r>
      <w:r>
        <w:rPr>
          <w:rFonts w:hint="eastAsia" w:ascii="仿宋_GB2312" w:hAnsi="宋体" w:eastAsia="仿宋_GB2312" w:cs="宋体"/>
          <w:kern w:val="0"/>
          <w:sz w:val="32"/>
          <w:szCs w:val="32"/>
        </w:rPr>
        <w:t>予以</w:t>
      </w:r>
      <w:r>
        <w:rPr>
          <w:rFonts w:ascii="仿宋_GB2312" w:hAnsi="宋体" w:eastAsia="仿宋_GB2312" w:cs="宋体"/>
          <w:kern w:val="0"/>
          <w:sz w:val="32"/>
          <w:szCs w:val="32"/>
        </w:rPr>
        <w:t>一次性20万元、10万元资金奖励，每个机构每年累计奖励不超过100万元。</w:t>
      </w:r>
    </w:p>
    <w:p>
      <w:pPr>
        <w:widowControl/>
        <w:spacing w:line="560" w:lineRule="exact"/>
        <w:ind w:firstLine="640" w:firstLineChars="200"/>
        <w:rPr>
          <w:rFonts w:ascii="黑体" w:hAnsi="黑体" w:eastAsia="黑体" w:cs="宋体"/>
          <w:kern w:val="0"/>
          <w:sz w:val="32"/>
        </w:rPr>
      </w:pPr>
      <w:r>
        <w:rPr>
          <w:rFonts w:hint="eastAsia" w:ascii="黑体" w:hAnsi="黑体" w:eastAsia="黑体" w:cs="宋体"/>
          <w:kern w:val="0"/>
          <w:sz w:val="32"/>
        </w:rPr>
        <w:t>第</w:t>
      </w:r>
      <w:r>
        <w:rPr>
          <w:rFonts w:ascii="黑体" w:hAnsi="黑体" w:eastAsia="黑体" w:cs="宋体"/>
          <w:kern w:val="0"/>
          <w:sz w:val="32"/>
        </w:rPr>
        <w:t>九</w:t>
      </w:r>
      <w:r>
        <w:rPr>
          <w:rFonts w:hint="eastAsia" w:ascii="黑体" w:hAnsi="黑体" w:eastAsia="黑体" w:cs="宋体"/>
          <w:kern w:val="0"/>
          <w:sz w:val="32"/>
        </w:rPr>
        <w:t>条【</w:t>
      </w:r>
      <w:r>
        <w:rPr>
          <w:rFonts w:ascii="黑体" w:hAnsi="黑体" w:eastAsia="黑体" w:cs="宋体"/>
          <w:kern w:val="0"/>
          <w:sz w:val="32"/>
        </w:rPr>
        <w:t>创新试点</w:t>
      </w:r>
      <w:r>
        <w:rPr>
          <w:rFonts w:hint="eastAsia" w:ascii="黑体" w:hAnsi="黑体" w:eastAsia="黑体" w:cs="宋体"/>
          <w:kern w:val="0"/>
          <w:sz w:val="32"/>
        </w:rPr>
        <w:t>】</w:t>
      </w:r>
    </w:p>
    <w:p>
      <w:pPr>
        <w:widowControl/>
        <w:spacing w:line="560" w:lineRule="exact"/>
        <w:ind w:firstLine="640" w:firstLineChars="200"/>
        <w:rPr>
          <w:rFonts w:ascii="黑体" w:hAnsi="黑体" w:eastAsia="黑体" w:cs="宋体"/>
          <w:kern w:val="0"/>
          <w:sz w:val="32"/>
        </w:rPr>
      </w:pPr>
      <w:r>
        <w:rPr>
          <w:rFonts w:ascii="仿宋_GB2312" w:hAnsi="宋体" w:eastAsia="仿宋_GB2312" w:cs="宋体"/>
          <w:kern w:val="0"/>
          <w:sz w:val="32"/>
          <w:szCs w:val="32"/>
        </w:rPr>
        <w:t>被认定为粤港澳合作新型研发机构的，优先</w:t>
      </w:r>
      <w:r>
        <w:rPr>
          <w:rFonts w:hint="eastAsia" w:ascii="仿宋_GB2312" w:hAnsi="宋体" w:eastAsia="仿宋_GB2312" w:cs="宋体"/>
          <w:kern w:val="0"/>
          <w:sz w:val="32"/>
          <w:szCs w:val="32"/>
        </w:rPr>
        <w:t>作为</w:t>
      </w:r>
      <w:r>
        <w:rPr>
          <w:rFonts w:ascii="仿宋_GB2312" w:hAnsi="宋体" w:eastAsia="仿宋_GB2312" w:cs="宋体"/>
          <w:kern w:val="0"/>
          <w:sz w:val="32"/>
          <w:szCs w:val="32"/>
        </w:rPr>
        <w:t>前海合作区</w:t>
      </w:r>
      <w:r>
        <w:rPr>
          <w:rFonts w:hint="eastAsia" w:ascii="仿宋_GB2312" w:hAnsi="宋体" w:eastAsia="仿宋_GB2312" w:cs="宋体"/>
          <w:kern w:val="0"/>
          <w:sz w:val="32"/>
          <w:szCs w:val="32"/>
        </w:rPr>
        <w:t>科研管理、科技要素流动、对外合作、人才管理、成果转化等先行先试政策</w:t>
      </w:r>
      <w:r>
        <w:rPr>
          <w:rFonts w:ascii="仿宋_GB2312" w:hAnsi="宋体" w:eastAsia="仿宋_GB2312" w:cs="宋体"/>
          <w:kern w:val="0"/>
          <w:sz w:val="32"/>
          <w:szCs w:val="32"/>
        </w:rPr>
        <w:t>和改革创新</w:t>
      </w:r>
      <w:r>
        <w:rPr>
          <w:rFonts w:hint="eastAsia" w:ascii="仿宋_GB2312" w:hAnsi="宋体" w:eastAsia="仿宋_GB2312" w:cs="宋体"/>
          <w:kern w:val="0"/>
          <w:sz w:val="32"/>
          <w:szCs w:val="32"/>
        </w:rPr>
        <w:t>的试点单位。</w:t>
      </w:r>
      <w:r>
        <w:rPr>
          <w:rFonts w:ascii="仿宋_GB2312" w:hAnsi="宋体" w:eastAsia="仿宋_GB2312" w:cs="宋体"/>
          <w:kern w:val="0"/>
          <w:sz w:val="32"/>
          <w:szCs w:val="32"/>
        </w:rPr>
        <w:t>对在建设模式、研发管理、成果转化等方面</w:t>
      </w:r>
      <w:r>
        <w:rPr>
          <w:rFonts w:hint="eastAsia" w:ascii="仿宋_GB2312" w:hAnsi="宋体" w:eastAsia="仿宋_GB2312" w:cs="宋体"/>
          <w:kern w:val="0"/>
          <w:sz w:val="32"/>
          <w:szCs w:val="32"/>
        </w:rPr>
        <w:t>取得</w:t>
      </w:r>
      <w:r>
        <w:rPr>
          <w:rFonts w:ascii="仿宋_GB2312" w:hAnsi="宋体" w:eastAsia="仿宋_GB2312" w:cs="宋体"/>
          <w:kern w:val="0"/>
          <w:sz w:val="32"/>
          <w:szCs w:val="32"/>
        </w:rPr>
        <w:t>优异</w:t>
      </w:r>
      <w:r>
        <w:rPr>
          <w:rFonts w:hint="eastAsia" w:ascii="仿宋_GB2312" w:hAnsi="宋体" w:eastAsia="仿宋_GB2312" w:cs="宋体"/>
          <w:kern w:val="0"/>
          <w:sz w:val="32"/>
          <w:szCs w:val="32"/>
        </w:rPr>
        <w:t>成效的，前海管理局</w:t>
      </w:r>
      <w:r>
        <w:rPr>
          <w:rFonts w:ascii="仿宋_GB2312" w:hAnsi="宋体" w:eastAsia="仿宋_GB2312" w:cs="宋体"/>
          <w:kern w:val="0"/>
          <w:sz w:val="32"/>
          <w:szCs w:val="32"/>
        </w:rPr>
        <w:t>重点</w:t>
      </w:r>
      <w:r>
        <w:rPr>
          <w:rFonts w:hint="eastAsia" w:ascii="仿宋_GB2312" w:hAnsi="宋体" w:eastAsia="仿宋_GB2312" w:cs="宋体"/>
          <w:kern w:val="0"/>
          <w:sz w:val="32"/>
          <w:szCs w:val="32"/>
        </w:rPr>
        <w:t>推动其创新经验复制推广</w:t>
      </w:r>
      <w:r>
        <w:rPr>
          <w:rFonts w:ascii="仿宋_GB2312" w:hAnsi="宋体" w:eastAsia="仿宋_GB2312" w:cs="宋体"/>
          <w:kern w:val="0"/>
          <w:sz w:val="32"/>
          <w:szCs w:val="32"/>
        </w:rPr>
        <w:t>。</w:t>
      </w:r>
    </w:p>
    <w:p>
      <w:pPr>
        <w:widowControl/>
        <w:spacing w:line="56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rPr>
        <w:t>第</w:t>
      </w:r>
      <w:r>
        <w:rPr>
          <w:rFonts w:ascii="黑体" w:hAnsi="黑体" w:eastAsia="黑体" w:cs="宋体"/>
          <w:kern w:val="0"/>
          <w:sz w:val="32"/>
        </w:rPr>
        <w:t>十</w:t>
      </w:r>
      <w:r>
        <w:rPr>
          <w:rFonts w:hint="eastAsia" w:ascii="黑体" w:hAnsi="黑体" w:eastAsia="黑体" w:cs="宋体"/>
          <w:kern w:val="0"/>
          <w:sz w:val="32"/>
        </w:rPr>
        <w:t>条【</w:t>
      </w:r>
      <w:r>
        <w:rPr>
          <w:rFonts w:ascii="黑体" w:hAnsi="黑体" w:eastAsia="黑体" w:cs="宋体"/>
          <w:kern w:val="0"/>
          <w:sz w:val="32"/>
        </w:rPr>
        <w:t>申报推荐</w:t>
      </w:r>
      <w:r>
        <w:rPr>
          <w:rFonts w:hint="eastAsia" w:ascii="黑体" w:hAnsi="黑体" w:eastAsia="黑体" w:cs="宋体"/>
          <w:kern w:val="0"/>
          <w:sz w:val="32"/>
        </w:rPr>
        <w:t>】</w:t>
      </w:r>
      <w:r>
        <w:rPr>
          <w:rFonts w:ascii="仿宋_GB2312" w:hAnsi="宋体" w:eastAsia="仿宋_GB2312" w:cs="宋体"/>
          <w:kern w:val="0"/>
          <w:sz w:val="32"/>
          <w:szCs w:val="32"/>
        </w:rPr>
        <w:t>被认定为粤港澳合作新型研发机构的，前海管理局优先推荐其</w:t>
      </w:r>
      <w:r>
        <w:rPr>
          <w:rFonts w:hint="eastAsia" w:ascii="仿宋_GB2312" w:hAnsi="宋体" w:eastAsia="仿宋_GB2312" w:cs="宋体"/>
          <w:kern w:val="0"/>
          <w:sz w:val="32"/>
          <w:szCs w:val="32"/>
        </w:rPr>
        <w:t>申报国家、省、市</w:t>
      </w:r>
      <w:r>
        <w:rPr>
          <w:rFonts w:ascii="仿宋_GB2312" w:hAnsi="宋体" w:eastAsia="仿宋_GB2312" w:cs="宋体"/>
          <w:kern w:val="0"/>
          <w:sz w:val="32"/>
          <w:szCs w:val="32"/>
        </w:rPr>
        <w:t>各级</w:t>
      </w:r>
      <w:r>
        <w:rPr>
          <w:rFonts w:hint="eastAsia" w:ascii="仿宋_GB2312" w:hAnsi="宋体" w:eastAsia="仿宋_GB2312" w:cs="宋体"/>
          <w:kern w:val="0"/>
          <w:sz w:val="32"/>
          <w:szCs w:val="32"/>
        </w:rPr>
        <w:t>支持政策</w:t>
      </w:r>
      <w:r>
        <w:rPr>
          <w:rFonts w:ascii="仿宋_GB2312" w:hAnsi="宋体" w:eastAsia="仿宋_GB2312" w:cs="宋体"/>
          <w:kern w:val="0"/>
          <w:sz w:val="32"/>
          <w:szCs w:val="32"/>
        </w:rPr>
        <w:t>和科技立项</w:t>
      </w:r>
      <w:r>
        <w:rPr>
          <w:rFonts w:hint="eastAsia" w:ascii="仿宋_GB2312" w:hAnsi="宋体" w:eastAsia="仿宋_GB2312" w:cs="宋体"/>
          <w:kern w:val="0"/>
          <w:sz w:val="32"/>
          <w:szCs w:val="32"/>
        </w:rPr>
        <w:t>。</w:t>
      </w:r>
    </w:p>
    <w:p>
      <w:pPr>
        <w:widowControl/>
        <w:spacing w:line="56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rPr>
        <w:t>第</w:t>
      </w:r>
      <w:r>
        <w:rPr>
          <w:rFonts w:ascii="黑体" w:hAnsi="黑体" w:eastAsia="黑体" w:cs="宋体"/>
          <w:kern w:val="0"/>
          <w:sz w:val="32"/>
        </w:rPr>
        <w:t>十一</w:t>
      </w:r>
      <w:r>
        <w:rPr>
          <w:rFonts w:hint="eastAsia" w:ascii="黑体" w:hAnsi="黑体" w:eastAsia="黑体" w:cs="宋体"/>
          <w:kern w:val="0"/>
          <w:sz w:val="32"/>
        </w:rPr>
        <w:t>条【扶持上限】</w:t>
      </w:r>
      <w:r>
        <w:rPr>
          <w:rFonts w:hint="eastAsia" w:ascii="仿宋_GB2312" w:hAnsi="宋体" w:eastAsia="仿宋_GB2312" w:cs="宋体"/>
          <w:kern w:val="0"/>
          <w:sz w:val="32"/>
          <w:szCs w:val="32"/>
        </w:rPr>
        <w:t>每家机构每年享受本办法支持原则上不超过1000万元。</w:t>
      </w:r>
    </w:p>
    <w:p>
      <w:pPr>
        <w:widowControl/>
        <w:spacing w:line="56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rPr>
        <w:t>第</w:t>
      </w:r>
      <w:r>
        <w:rPr>
          <w:rFonts w:ascii="黑体" w:hAnsi="黑体" w:eastAsia="黑体" w:cs="宋体"/>
          <w:kern w:val="0"/>
          <w:sz w:val="32"/>
        </w:rPr>
        <w:t>十</w:t>
      </w:r>
      <w:r>
        <w:rPr>
          <w:rFonts w:hint="eastAsia" w:ascii="黑体" w:hAnsi="黑体" w:eastAsia="黑体" w:cs="宋体"/>
          <w:kern w:val="0"/>
          <w:sz w:val="32"/>
        </w:rPr>
        <w:t>二条【</w:t>
      </w:r>
      <w:r>
        <w:rPr>
          <w:rFonts w:ascii="黑体" w:hAnsi="黑体" w:eastAsia="黑体" w:cs="宋体"/>
          <w:kern w:val="0"/>
          <w:sz w:val="32"/>
        </w:rPr>
        <w:t>一事一议</w:t>
      </w:r>
      <w:r>
        <w:rPr>
          <w:rFonts w:hint="eastAsia" w:ascii="黑体" w:hAnsi="黑体" w:eastAsia="黑体" w:cs="宋体"/>
          <w:kern w:val="0"/>
          <w:sz w:val="32"/>
        </w:rPr>
        <w:t>】</w:t>
      </w:r>
      <w:r>
        <w:rPr>
          <w:rFonts w:hint="eastAsia" w:ascii="仿宋_GB2312" w:hAnsi="宋体" w:eastAsia="仿宋_GB2312" w:cs="宋体"/>
          <w:kern w:val="0"/>
          <w:sz w:val="32"/>
          <w:szCs w:val="32"/>
        </w:rPr>
        <w:t>对</w:t>
      </w:r>
      <w:r>
        <w:rPr>
          <w:rFonts w:ascii="仿宋_GB2312" w:hAnsi="宋体" w:eastAsia="仿宋_GB2312" w:cs="宋体"/>
          <w:kern w:val="0"/>
          <w:sz w:val="32"/>
          <w:szCs w:val="32"/>
        </w:rPr>
        <w:t>具有重要战略意义的科研合作项目或承接国家、省、市</w:t>
      </w:r>
      <w:r>
        <w:rPr>
          <w:rFonts w:hint="eastAsia" w:ascii="仿宋_GB2312" w:hAnsi="宋体" w:eastAsia="仿宋_GB2312" w:cs="宋体"/>
          <w:kern w:val="0"/>
          <w:sz w:val="32"/>
          <w:szCs w:val="32"/>
        </w:rPr>
        <w:t>重</w:t>
      </w:r>
      <w:r>
        <w:rPr>
          <w:rFonts w:ascii="仿宋_GB2312" w:hAnsi="宋体" w:eastAsia="仿宋_GB2312" w:cs="宋体"/>
          <w:kern w:val="0"/>
          <w:sz w:val="32"/>
          <w:szCs w:val="32"/>
        </w:rPr>
        <w:t>大科研项目的粤港澳合作新型研发机构</w:t>
      </w:r>
      <w:r>
        <w:rPr>
          <w:rFonts w:hint="eastAsia" w:ascii="仿宋_GB2312" w:hAnsi="宋体" w:eastAsia="仿宋_GB2312" w:cs="宋体"/>
          <w:kern w:val="0"/>
          <w:sz w:val="32"/>
          <w:szCs w:val="32"/>
        </w:rPr>
        <w:t>，前海管理局可通过签订协议</w:t>
      </w:r>
      <w:r>
        <w:rPr>
          <w:rFonts w:ascii="仿宋_GB2312" w:hAnsi="宋体" w:eastAsia="仿宋_GB2312" w:cs="宋体"/>
          <w:kern w:val="0"/>
          <w:sz w:val="32"/>
          <w:szCs w:val="32"/>
        </w:rPr>
        <w:t>方式</w:t>
      </w:r>
      <w:r>
        <w:rPr>
          <w:rFonts w:hint="eastAsia" w:ascii="仿宋_GB2312" w:hAnsi="宋体" w:eastAsia="仿宋_GB2312" w:cs="宋体"/>
          <w:kern w:val="0"/>
          <w:sz w:val="32"/>
          <w:szCs w:val="32"/>
        </w:rPr>
        <w:t>另行</w:t>
      </w:r>
      <w:r>
        <w:rPr>
          <w:rFonts w:ascii="仿宋_GB2312" w:hAnsi="宋体" w:eastAsia="仿宋_GB2312" w:cs="宋体"/>
          <w:kern w:val="0"/>
          <w:sz w:val="32"/>
          <w:szCs w:val="32"/>
        </w:rPr>
        <w:t>予以支持。</w:t>
      </w:r>
    </w:p>
    <w:p>
      <w:pPr>
        <w:pStyle w:val="3"/>
        <w:jc w:val="center"/>
        <w:rPr>
          <w:rFonts w:ascii="黑体" w:hAnsi="黑体" w:eastAsia="黑体"/>
          <w:b w:val="0"/>
        </w:rPr>
      </w:pPr>
      <w:r>
        <w:rPr>
          <w:rFonts w:hint="eastAsia" w:ascii="黑体" w:hAnsi="黑体" w:eastAsia="黑体"/>
          <w:b w:val="0"/>
        </w:rPr>
        <w:t>第</w:t>
      </w:r>
      <w:r>
        <w:rPr>
          <w:rFonts w:ascii="黑体" w:hAnsi="黑体" w:eastAsia="黑体"/>
          <w:b w:val="0"/>
        </w:rPr>
        <w:t>四</w:t>
      </w:r>
      <w:r>
        <w:rPr>
          <w:rFonts w:hint="eastAsia" w:ascii="黑体" w:hAnsi="黑体" w:eastAsia="黑体"/>
          <w:b w:val="0"/>
        </w:rPr>
        <w:t xml:space="preserve">章 </w:t>
      </w:r>
      <w:r>
        <w:rPr>
          <w:rFonts w:ascii="黑体" w:hAnsi="黑体" w:eastAsia="黑体"/>
          <w:b w:val="0"/>
        </w:rPr>
        <w:t>建设管理</w:t>
      </w:r>
    </w:p>
    <w:p>
      <w:pPr>
        <w:widowControl/>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w:t>
      </w:r>
      <w:r>
        <w:rPr>
          <w:rFonts w:ascii="黑体" w:hAnsi="黑体" w:eastAsia="黑体" w:cs="宋体"/>
          <w:kern w:val="0"/>
          <w:sz w:val="32"/>
          <w:szCs w:val="32"/>
        </w:rPr>
        <w:t>十</w:t>
      </w:r>
      <w:r>
        <w:rPr>
          <w:rFonts w:hint="eastAsia" w:ascii="黑体" w:hAnsi="黑体" w:eastAsia="黑体" w:cs="宋体"/>
          <w:kern w:val="0"/>
          <w:sz w:val="32"/>
          <w:szCs w:val="32"/>
        </w:rPr>
        <w:t>三条【机构认定】</w:t>
      </w:r>
    </w:p>
    <w:p>
      <w:pPr>
        <w:adjustRightInd w:val="0"/>
        <w:snapToGrid w:val="0"/>
        <w:spacing w:line="560" w:lineRule="exact"/>
        <w:ind w:firstLine="707" w:firstLineChars="221"/>
        <w:rPr>
          <w:rFonts w:ascii="仿宋_GB2312" w:eastAsia="仿宋_GB2312"/>
          <w:sz w:val="32"/>
        </w:rPr>
      </w:pPr>
      <w:r>
        <w:rPr>
          <w:rFonts w:ascii="仿宋_GB2312" w:hAnsi="仿宋_GB2312" w:eastAsia="仿宋_GB2312" w:cs="仿宋_GB2312"/>
          <w:kern w:val="0"/>
          <w:sz w:val="32"/>
          <w:szCs w:val="32"/>
        </w:rPr>
        <w:t>粤港澳合作新型研发机构的认定采用“核准制”</w:t>
      </w:r>
      <w:r>
        <w:rPr>
          <w:rFonts w:ascii="仿宋_GB2312" w:eastAsia="仿宋_GB2312"/>
          <w:sz w:val="32"/>
        </w:rPr>
        <w:t>，经核准符合</w:t>
      </w:r>
      <w:r>
        <w:rPr>
          <w:rFonts w:hint="eastAsia" w:ascii="仿宋_GB2312" w:eastAsia="仿宋_GB2312"/>
          <w:sz w:val="32"/>
        </w:rPr>
        <w:t>第二章所列认定条件的</w:t>
      </w:r>
      <w:r>
        <w:rPr>
          <w:rFonts w:ascii="仿宋_GB2312" w:eastAsia="仿宋_GB2312"/>
          <w:sz w:val="32"/>
        </w:rPr>
        <w:t>，由前海管理局认定为粤港澳合作新型研发机构。</w:t>
      </w:r>
    </w:p>
    <w:p>
      <w:pPr>
        <w:adjustRightInd w:val="0"/>
        <w:snapToGrid w:val="0"/>
        <w:spacing w:line="560" w:lineRule="exact"/>
        <w:ind w:firstLine="709" w:firstLineChars="221"/>
        <w:rPr>
          <w:rFonts w:ascii="仿宋_GB2312" w:eastAsia="仿宋_GB2312"/>
          <w:sz w:val="32"/>
        </w:rPr>
      </w:pPr>
      <w:r>
        <w:rPr>
          <w:rFonts w:hint="eastAsia" w:ascii="楷体" w:hAnsi="楷体" w:eastAsia="楷体" w:cs="楷体"/>
          <w:b/>
          <w:bCs/>
          <w:sz w:val="32"/>
        </w:rPr>
        <w:t>（一）申报受理。</w:t>
      </w:r>
      <w:r>
        <w:rPr>
          <w:rFonts w:hint="eastAsia" w:ascii="仿宋_GB2312" w:eastAsia="仿宋_GB2312"/>
          <w:sz w:val="32"/>
        </w:rPr>
        <w:t>符合申</w:t>
      </w:r>
      <w:r>
        <w:rPr>
          <w:rFonts w:ascii="仿宋_GB2312" w:eastAsia="仿宋_GB2312"/>
          <w:sz w:val="32"/>
        </w:rPr>
        <w:t>报</w:t>
      </w:r>
      <w:r>
        <w:rPr>
          <w:rFonts w:hint="eastAsia" w:ascii="仿宋_GB2312" w:eastAsia="仿宋_GB2312"/>
          <w:sz w:val="32"/>
        </w:rPr>
        <w:t>条件的单位在受理期限提交申报材料，受理时间以前海管理局每年发布的遴选公告为准。申报受理期限不少于20个工作日。</w:t>
      </w:r>
    </w:p>
    <w:p>
      <w:pPr>
        <w:adjustRightInd w:val="0"/>
        <w:snapToGrid w:val="0"/>
        <w:spacing w:line="560" w:lineRule="exact"/>
        <w:ind w:firstLine="709" w:firstLineChars="221"/>
        <w:rPr>
          <w:rFonts w:ascii="仿宋_GB2312" w:eastAsia="仿宋_GB2312"/>
          <w:sz w:val="32"/>
        </w:rPr>
      </w:pPr>
      <w:r>
        <w:rPr>
          <w:rFonts w:hint="eastAsia" w:ascii="楷体" w:hAnsi="楷体" w:eastAsia="楷体" w:cs="楷体"/>
          <w:b/>
          <w:bCs/>
          <w:sz w:val="32"/>
        </w:rPr>
        <w:t>（二）形式审查。</w:t>
      </w:r>
      <w:r>
        <w:rPr>
          <w:rFonts w:hint="eastAsia" w:ascii="仿宋_GB2312" w:eastAsia="仿宋_GB2312"/>
          <w:sz w:val="32"/>
        </w:rPr>
        <w:t>前海管理局对申报材料进行形式审查。符合要求的，进入核查程序。</w:t>
      </w:r>
    </w:p>
    <w:p>
      <w:pPr>
        <w:adjustRightInd w:val="0"/>
        <w:snapToGrid w:val="0"/>
        <w:spacing w:line="560" w:lineRule="exact"/>
        <w:ind w:firstLine="709" w:firstLineChars="221"/>
        <w:rPr>
          <w:rFonts w:ascii="仿宋_GB2312" w:hAnsi="仿宋_GB2312" w:eastAsia="仿宋_GB2312" w:cs="仿宋_GB2312"/>
          <w:kern w:val="0"/>
          <w:sz w:val="32"/>
          <w:szCs w:val="32"/>
        </w:rPr>
      </w:pPr>
      <w:r>
        <w:rPr>
          <w:rFonts w:hint="eastAsia" w:ascii="楷体" w:hAnsi="楷体" w:eastAsia="楷体" w:cs="楷体"/>
          <w:b/>
          <w:bCs/>
          <w:sz w:val="32"/>
        </w:rPr>
        <w:t>（三）</w:t>
      </w:r>
      <w:r>
        <w:rPr>
          <w:rFonts w:ascii="楷体" w:hAnsi="楷体" w:eastAsia="楷体" w:cs="楷体"/>
          <w:b/>
          <w:bCs/>
          <w:sz w:val="32"/>
        </w:rPr>
        <w:t>情况</w:t>
      </w:r>
      <w:r>
        <w:rPr>
          <w:rFonts w:hint="eastAsia" w:ascii="楷体" w:hAnsi="楷体" w:eastAsia="楷体" w:cs="楷体"/>
          <w:b/>
          <w:bCs/>
          <w:sz w:val="32"/>
        </w:rPr>
        <w:t>核查。</w:t>
      </w:r>
      <w:r>
        <w:rPr>
          <w:rFonts w:hint="eastAsia" w:ascii="仿宋_GB2312" w:eastAsia="仿宋_GB2312"/>
          <w:sz w:val="32"/>
        </w:rPr>
        <w:t>前海管理局对申报单位是否达到认定条件进行核查，必要时可委托第三方机构依法进行核查。核查符合认定条件的，进入结果公示。</w:t>
      </w:r>
    </w:p>
    <w:p>
      <w:pPr>
        <w:adjustRightInd w:val="0"/>
        <w:snapToGrid w:val="0"/>
        <w:spacing w:line="560" w:lineRule="exact"/>
        <w:ind w:firstLine="709" w:firstLineChars="221"/>
        <w:rPr>
          <w:rFonts w:ascii="仿宋_GB2312" w:eastAsia="仿宋_GB2312"/>
          <w:sz w:val="32"/>
        </w:rPr>
      </w:pPr>
      <w:r>
        <w:rPr>
          <w:rFonts w:hint="eastAsia" w:ascii="楷体" w:hAnsi="楷体" w:eastAsia="楷体" w:cs="楷体"/>
          <w:b/>
          <w:bCs/>
          <w:sz w:val="32"/>
        </w:rPr>
        <w:t>（四）</w:t>
      </w:r>
      <w:r>
        <w:rPr>
          <w:rFonts w:hint="eastAsia" w:ascii="楷体" w:hAnsi="楷体" w:eastAsia="楷体" w:cs="楷体"/>
          <w:b/>
          <w:bCs/>
          <w:sz w:val="32"/>
          <w:lang w:eastAsia="zh-Hans"/>
        </w:rPr>
        <w:t>结果</w:t>
      </w:r>
      <w:r>
        <w:rPr>
          <w:rFonts w:hint="eastAsia" w:ascii="楷体" w:hAnsi="楷体" w:eastAsia="楷体" w:cs="楷体"/>
          <w:b/>
          <w:bCs/>
          <w:sz w:val="32"/>
        </w:rPr>
        <w:t>公示。</w:t>
      </w:r>
      <w:r>
        <w:rPr>
          <w:rFonts w:hint="eastAsia" w:ascii="仿宋_GB2312" w:eastAsia="仿宋_GB2312"/>
          <w:sz w:val="32"/>
        </w:rPr>
        <w:t>公示期不少于5个工作日。任何组织或个人对公示有异议的，应当在公示期内向前海管理局提出书面异议。前海管理局应当对异议进行调查核实。异议成立的，对事项进行公示；异议不成立的，作出书面决定并告知异议人。</w:t>
      </w:r>
    </w:p>
    <w:p>
      <w:pPr>
        <w:adjustRightInd w:val="0"/>
        <w:snapToGrid w:val="0"/>
        <w:spacing w:line="560" w:lineRule="exact"/>
        <w:ind w:firstLine="709" w:firstLineChars="221"/>
        <w:rPr>
          <w:rFonts w:ascii="仿宋_GB2312" w:eastAsia="仿宋_GB2312"/>
          <w:sz w:val="32"/>
          <w:lang w:eastAsia="zh-Hans"/>
        </w:rPr>
      </w:pPr>
      <w:r>
        <w:rPr>
          <w:rFonts w:hint="eastAsia" w:ascii="楷体" w:hAnsi="楷体" w:eastAsia="楷体" w:cs="楷体"/>
          <w:b/>
          <w:bCs/>
          <w:sz w:val="32"/>
          <w:lang w:eastAsia="zh-Hans"/>
        </w:rPr>
        <w:t>（五）</w:t>
      </w:r>
      <w:r>
        <w:rPr>
          <w:rFonts w:ascii="楷体" w:hAnsi="楷体" w:eastAsia="楷体" w:cs="楷体"/>
          <w:b/>
          <w:bCs/>
          <w:sz w:val="32"/>
          <w:lang w:eastAsia="zh-Hans"/>
        </w:rPr>
        <w:t>正式</w:t>
      </w:r>
      <w:r>
        <w:rPr>
          <w:rFonts w:hint="eastAsia" w:ascii="楷体" w:hAnsi="楷体" w:eastAsia="楷体" w:cs="楷体"/>
          <w:b/>
          <w:bCs/>
          <w:sz w:val="32"/>
          <w:lang w:eastAsia="zh-Hans"/>
        </w:rPr>
        <w:t>认定</w:t>
      </w:r>
      <w:r>
        <w:rPr>
          <w:rFonts w:hint="eastAsia" w:ascii="仿宋_GB2312" w:eastAsia="仿宋_GB2312"/>
          <w:sz w:val="32"/>
        </w:rPr>
        <w:t>。</w:t>
      </w:r>
      <w:r>
        <w:rPr>
          <w:rFonts w:hint="eastAsia" w:ascii="仿宋_GB2312" w:eastAsia="仿宋_GB2312"/>
          <w:sz w:val="32"/>
          <w:lang w:eastAsia="zh-Hans"/>
        </w:rPr>
        <w:t>公示无异议或异议不成立的，由前海管理局认定为粤港澳合作新型研发机构，并通过前海管理局官方门户网站向社会公开，接受有关部门和社会监督。</w:t>
      </w:r>
    </w:p>
    <w:p>
      <w:pPr>
        <w:widowControl/>
        <w:spacing w:line="56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第</w:t>
      </w:r>
      <w:r>
        <w:rPr>
          <w:rFonts w:ascii="黑体" w:hAnsi="黑体" w:eastAsia="黑体" w:cs="宋体"/>
          <w:kern w:val="0"/>
          <w:sz w:val="32"/>
          <w:szCs w:val="32"/>
        </w:rPr>
        <w:t>十</w:t>
      </w:r>
      <w:r>
        <w:rPr>
          <w:rFonts w:hint="eastAsia" w:ascii="黑体" w:hAnsi="黑体" w:eastAsia="黑体" w:cs="宋体"/>
          <w:kern w:val="0"/>
          <w:sz w:val="32"/>
          <w:szCs w:val="32"/>
        </w:rPr>
        <w:t>四条【资金管理】</w:t>
      </w:r>
      <w:r>
        <w:rPr>
          <w:rFonts w:hint="eastAsia" w:ascii="仿宋_GB2312" w:hAnsi="宋体" w:eastAsia="仿宋_GB2312" w:cs="宋体"/>
          <w:kern w:val="0"/>
          <w:sz w:val="32"/>
          <w:szCs w:val="32"/>
        </w:rPr>
        <w:t>前海管理局</w:t>
      </w:r>
      <w:r>
        <w:rPr>
          <w:rFonts w:ascii="仿宋_GB2312" w:hAnsi="宋体" w:eastAsia="仿宋_GB2312" w:cs="宋体"/>
          <w:kern w:val="0"/>
          <w:sz w:val="32"/>
          <w:szCs w:val="32"/>
        </w:rPr>
        <w:t>按</w:t>
      </w:r>
      <w:r>
        <w:rPr>
          <w:rFonts w:hint="eastAsia" w:ascii="仿宋_GB2312" w:hAnsi="宋体" w:eastAsia="仿宋_GB2312" w:cs="宋体"/>
          <w:kern w:val="0"/>
          <w:sz w:val="32"/>
          <w:szCs w:val="32"/>
        </w:rPr>
        <w:t>有关规定</w:t>
      </w:r>
      <w:r>
        <w:rPr>
          <w:rFonts w:ascii="仿宋_GB2312" w:hAnsi="宋体" w:eastAsia="仿宋_GB2312" w:cs="宋体"/>
          <w:kern w:val="0"/>
          <w:sz w:val="32"/>
          <w:szCs w:val="32"/>
        </w:rPr>
        <w:t>给予</w:t>
      </w:r>
      <w:r>
        <w:rPr>
          <w:rFonts w:ascii="仿宋_GB2312" w:hAnsi="宋体" w:eastAsia="仿宋_GB2312" w:cs="宋体"/>
          <w:kern w:val="0"/>
          <w:sz w:val="32"/>
          <w:szCs w:val="32"/>
          <w:lang w:eastAsia="zh-Hans"/>
        </w:rPr>
        <w:t>经</w:t>
      </w:r>
      <w:r>
        <w:rPr>
          <w:rFonts w:hint="eastAsia" w:ascii="仿宋_GB2312" w:hAnsi="宋体" w:eastAsia="仿宋_GB2312" w:cs="宋体"/>
          <w:kern w:val="0"/>
          <w:sz w:val="32"/>
          <w:szCs w:val="32"/>
        </w:rPr>
        <w:t>认定</w:t>
      </w:r>
      <w:r>
        <w:rPr>
          <w:rFonts w:ascii="仿宋_GB2312" w:hAnsi="宋体" w:eastAsia="仿宋_GB2312" w:cs="宋体"/>
          <w:kern w:val="0"/>
          <w:sz w:val="32"/>
          <w:szCs w:val="32"/>
        </w:rPr>
        <w:t>的</w:t>
      </w:r>
      <w:r>
        <w:rPr>
          <w:rFonts w:hint="eastAsia" w:ascii="仿宋_GB2312" w:hAnsi="宋体" w:eastAsia="仿宋_GB2312" w:cs="宋体"/>
          <w:kern w:val="0"/>
          <w:sz w:val="32"/>
          <w:szCs w:val="32"/>
        </w:rPr>
        <w:t>粤港澳合作新型研发机构</w:t>
      </w:r>
      <w:r>
        <w:rPr>
          <w:rFonts w:ascii="仿宋_GB2312" w:hAnsi="宋体" w:eastAsia="仿宋_GB2312" w:cs="宋体"/>
          <w:kern w:val="0"/>
          <w:sz w:val="32"/>
          <w:szCs w:val="32"/>
        </w:rPr>
        <w:t>政策资金支持。</w:t>
      </w:r>
    </w:p>
    <w:p>
      <w:pPr>
        <w:widowControl/>
        <w:numPr>
          <w:ilvl w:val="255"/>
          <w:numId w:val="0"/>
        </w:numPr>
        <w:spacing w:line="560" w:lineRule="exact"/>
        <w:ind w:firstLine="642" w:firstLineChars="200"/>
        <w:rPr>
          <w:rFonts w:ascii="仿宋_GB2312" w:hAnsi="仿宋_GB2312" w:eastAsia="仿宋_GB2312" w:cs="仿宋_GB2312"/>
          <w:kern w:val="0"/>
          <w:sz w:val="32"/>
          <w:szCs w:val="32"/>
        </w:rPr>
      </w:pPr>
      <w:r>
        <w:rPr>
          <w:rFonts w:ascii="楷体" w:hAnsi="楷体" w:eastAsia="楷体" w:cs="楷体"/>
          <w:b/>
          <w:bCs/>
          <w:sz w:val="32"/>
          <w:lang w:eastAsia="zh-Hans"/>
        </w:rPr>
        <w:t>（一）签订协议。</w:t>
      </w:r>
      <w:r>
        <w:rPr>
          <w:rFonts w:ascii="仿宋_GB2312" w:hAnsi="宋体" w:eastAsia="仿宋_GB2312" w:cs="宋体"/>
          <w:kern w:val="0"/>
          <w:sz w:val="32"/>
          <w:szCs w:val="32"/>
        </w:rPr>
        <w:t>申请</w:t>
      </w:r>
      <w:r>
        <w:rPr>
          <w:rFonts w:hint="eastAsia" w:ascii="仿宋_GB2312" w:hAnsi="宋体" w:eastAsia="仿宋_GB2312" w:cs="宋体"/>
          <w:kern w:val="0"/>
          <w:sz w:val="32"/>
          <w:szCs w:val="32"/>
        </w:rPr>
        <w:t>粤港澳合作新型研发机构资金</w:t>
      </w:r>
      <w:r>
        <w:rPr>
          <w:rFonts w:ascii="仿宋_GB2312" w:hAnsi="宋体" w:eastAsia="仿宋_GB2312" w:cs="宋体"/>
          <w:kern w:val="0"/>
          <w:sz w:val="32"/>
          <w:szCs w:val="32"/>
        </w:rPr>
        <w:t>资助</w:t>
      </w:r>
      <w:r>
        <w:rPr>
          <w:rFonts w:hint="eastAsia" w:ascii="仿宋_GB2312" w:hAnsi="宋体" w:eastAsia="仿宋_GB2312" w:cs="宋体"/>
          <w:kern w:val="0"/>
          <w:sz w:val="32"/>
          <w:szCs w:val="32"/>
        </w:rPr>
        <w:t>的</w:t>
      </w:r>
      <w:r>
        <w:rPr>
          <w:rFonts w:ascii="仿宋_GB2312" w:hAnsi="宋体" w:eastAsia="仿宋_GB2312" w:cs="宋体"/>
          <w:kern w:val="0"/>
          <w:sz w:val="32"/>
          <w:szCs w:val="32"/>
        </w:rPr>
        <w:t>运营单位</w:t>
      </w:r>
      <w:r>
        <w:rPr>
          <w:rFonts w:hint="eastAsia" w:ascii="仿宋_GB2312" w:hAnsi="宋体" w:eastAsia="仿宋_GB2312" w:cs="宋体"/>
          <w:kern w:val="0"/>
          <w:sz w:val="32"/>
          <w:szCs w:val="32"/>
        </w:rPr>
        <w:t>，</w:t>
      </w:r>
      <w:r>
        <w:rPr>
          <w:rFonts w:ascii="仿宋_GB2312" w:hAnsi="宋体" w:eastAsia="仿宋_GB2312" w:cs="宋体"/>
          <w:kern w:val="0"/>
          <w:sz w:val="32"/>
          <w:szCs w:val="32"/>
        </w:rPr>
        <w:t>须</w:t>
      </w:r>
      <w:r>
        <w:rPr>
          <w:rFonts w:hint="eastAsia" w:ascii="仿宋_GB2312" w:hAnsi="宋体" w:eastAsia="仿宋_GB2312" w:cs="宋体"/>
          <w:kern w:val="0"/>
          <w:sz w:val="32"/>
          <w:szCs w:val="32"/>
        </w:rPr>
        <w:t>与前海管理局签订扶持协议，并按协议</w:t>
      </w:r>
      <w:r>
        <w:rPr>
          <w:rFonts w:ascii="仿宋_GB2312" w:hAnsi="宋体" w:eastAsia="仿宋_GB2312" w:cs="宋体"/>
          <w:kern w:val="0"/>
          <w:sz w:val="32"/>
          <w:szCs w:val="32"/>
        </w:rPr>
        <w:t>推进落实</w:t>
      </w:r>
      <w:r>
        <w:rPr>
          <w:rFonts w:hint="eastAsia" w:ascii="仿宋_GB2312" w:hAnsi="宋体" w:eastAsia="仿宋_GB2312" w:cs="宋体"/>
          <w:kern w:val="0"/>
          <w:sz w:val="32"/>
          <w:szCs w:val="32"/>
        </w:rPr>
        <w:t>建设投入、体制机制、研发团队、创新活动、创新效益等指标要求。</w:t>
      </w:r>
    </w:p>
    <w:p>
      <w:pPr>
        <w:adjustRightInd w:val="0"/>
        <w:snapToGrid w:val="0"/>
        <w:spacing w:line="560" w:lineRule="exact"/>
        <w:ind w:firstLine="709" w:firstLineChars="221"/>
        <w:rPr>
          <w:rFonts w:ascii="仿宋_GB2312" w:eastAsia="仿宋_GB2312"/>
          <w:sz w:val="32"/>
          <w:lang w:eastAsia="zh-Hans"/>
        </w:rPr>
      </w:pPr>
      <w:r>
        <w:rPr>
          <w:rFonts w:ascii="楷体" w:hAnsi="楷体" w:eastAsia="楷体" w:cs="楷体"/>
          <w:b/>
          <w:bCs/>
          <w:sz w:val="32"/>
          <w:lang w:eastAsia="zh-Hans"/>
        </w:rPr>
        <w:t>（二）拨付资金。</w:t>
      </w:r>
      <w:r>
        <w:rPr>
          <w:rFonts w:ascii="仿宋_GB2312" w:eastAsia="仿宋_GB2312"/>
          <w:sz w:val="32"/>
          <w:lang w:eastAsia="zh-Hans"/>
        </w:rPr>
        <w:t>扶持协议签订后，前海管理局按照政策扶持金额拨付资金。</w:t>
      </w:r>
    </w:p>
    <w:p>
      <w:pPr>
        <w:widowControl/>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宋体"/>
          <w:kern w:val="0"/>
          <w:sz w:val="32"/>
          <w:szCs w:val="32"/>
        </w:rPr>
        <w:t>第</w:t>
      </w:r>
      <w:r>
        <w:rPr>
          <w:rFonts w:ascii="黑体" w:hAnsi="黑体" w:eastAsia="黑体" w:cs="宋体"/>
          <w:kern w:val="0"/>
          <w:sz w:val="32"/>
          <w:szCs w:val="32"/>
        </w:rPr>
        <w:t>十</w:t>
      </w:r>
      <w:r>
        <w:rPr>
          <w:rFonts w:hint="eastAsia" w:ascii="黑体" w:hAnsi="黑体" w:eastAsia="黑体" w:cs="宋体"/>
          <w:kern w:val="0"/>
          <w:sz w:val="32"/>
          <w:szCs w:val="32"/>
        </w:rPr>
        <w:t>五条【绩效管理】</w:t>
      </w:r>
      <w:r>
        <w:rPr>
          <w:rFonts w:hint="eastAsia" w:ascii="仿宋_GB2312" w:hAnsi="仿宋_GB2312" w:eastAsia="仿宋_GB2312" w:cs="仿宋_GB2312"/>
          <w:kern w:val="0"/>
          <w:sz w:val="32"/>
          <w:szCs w:val="32"/>
        </w:rPr>
        <w:t>前海管理局根据协议考核目标，</w:t>
      </w:r>
      <w:r>
        <w:rPr>
          <w:rFonts w:ascii="仿宋_GB2312" w:hAnsi="仿宋_GB2312" w:eastAsia="仿宋_GB2312" w:cs="仿宋_GB2312"/>
          <w:kern w:val="0"/>
          <w:sz w:val="32"/>
          <w:szCs w:val="32"/>
        </w:rPr>
        <w:t>对粤港澳合作新型研发机构</w:t>
      </w:r>
      <w:r>
        <w:rPr>
          <w:rFonts w:hint="eastAsia" w:ascii="仿宋_GB2312" w:hAnsi="仿宋_GB2312" w:eastAsia="仿宋_GB2312" w:cs="仿宋_GB2312"/>
          <w:kern w:val="0"/>
          <w:sz w:val="32"/>
          <w:szCs w:val="32"/>
        </w:rPr>
        <w:t>开展</w:t>
      </w:r>
      <w:r>
        <w:rPr>
          <w:rFonts w:hint="eastAsia" w:ascii="仿宋_GB2312" w:hAnsi="宋体" w:eastAsia="仿宋_GB2312" w:cs="宋体"/>
          <w:kern w:val="0"/>
          <w:sz w:val="32"/>
          <w:szCs w:val="32"/>
        </w:rPr>
        <w:t>年度绩效考核</w:t>
      </w:r>
      <w:r>
        <w:rPr>
          <w:rFonts w:hint="eastAsia" w:ascii="仿宋_GB2312" w:hAnsi="仿宋_GB2312" w:eastAsia="仿宋_GB2312" w:cs="仿宋_GB2312"/>
          <w:kern w:val="0"/>
          <w:sz w:val="32"/>
          <w:szCs w:val="32"/>
        </w:rPr>
        <w:t>。运营单位</w:t>
      </w:r>
      <w:r>
        <w:rPr>
          <w:rFonts w:ascii="仿宋_GB2312" w:hAnsi="仿宋_GB2312" w:eastAsia="仿宋_GB2312" w:cs="仿宋_GB2312"/>
          <w:kern w:val="0"/>
          <w:sz w:val="32"/>
          <w:szCs w:val="32"/>
        </w:rPr>
        <w:t>须</w:t>
      </w:r>
      <w:r>
        <w:rPr>
          <w:rFonts w:hint="eastAsia" w:ascii="仿宋_GB2312" w:hAnsi="仿宋_GB2312" w:eastAsia="仿宋_GB2312" w:cs="仿宋_GB2312"/>
          <w:kern w:val="0"/>
          <w:sz w:val="32"/>
          <w:szCs w:val="32"/>
        </w:rPr>
        <w:t>配合前海管理局开展绩效考核</w:t>
      </w:r>
      <w:r>
        <w:rPr>
          <w:rFonts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rPr>
        <w:t>。</w:t>
      </w:r>
    </w:p>
    <w:p>
      <w:pPr>
        <w:widowControl/>
        <w:spacing w:line="560" w:lineRule="exact"/>
        <w:ind w:firstLine="642" w:firstLineChars="200"/>
        <w:rPr>
          <w:rFonts w:ascii="仿宋_GB2312" w:hAnsi="仿宋_GB2312" w:eastAsia="仿宋_GB2312" w:cs="仿宋_GB2312"/>
          <w:kern w:val="0"/>
          <w:sz w:val="32"/>
          <w:szCs w:val="32"/>
        </w:rPr>
      </w:pPr>
      <w:r>
        <w:rPr>
          <w:rFonts w:hint="eastAsia" w:ascii="楷体" w:hAnsi="楷体" w:eastAsia="楷体" w:cs="楷体"/>
          <w:b/>
          <w:bCs/>
          <w:sz w:val="32"/>
          <w:lang w:eastAsia="zh-Hans"/>
        </w:rPr>
        <w:t>（</w:t>
      </w:r>
      <w:r>
        <w:rPr>
          <w:rFonts w:ascii="楷体" w:hAnsi="楷体" w:eastAsia="楷体" w:cs="楷体"/>
          <w:b/>
          <w:bCs/>
          <w:sz w:val="32"/>
          <w:lang w:eastAsia="zh-Hans"/>
        </w:rPr>
        <w:t>一</w:t>
      </w:r>
      <w:r>
        <w:rPr>
          <w:rFonts w:hint="eastAsia" w:ascii="楷体" w:hAnsi="楷体" w:eastAsia="楷体" w:cs="楷体"/>
          <w:b/>
          <w:bCs/>
          <w:sz w:val="32"/>
          <w:lang w:eastAsia="zh-Hans"/>
        </w:rPr>
        <w:t>）</w:t>
      </w:r>
      <w:r>
        <w:rPr>
          <w:rFonts w:ascii="楷体" w:hAnsi="楷体" w:eastAsia="楷体" w:cs="楷体"/>
          <w:b/>
          <w:bCs/>
          <w:sz w:val="32"/>
          <w:lang w:eastAsia="zh-Hans"/>
        </w:rPr>
        <w:t>持续扶持</w:t>
      </w:r>
      <w:r>
        <w:rPr>
          <w:rFonts w:hint="eastAsia" w:ascii="楷体" w:hAnsi="楷体" w:eastAsia="楷体" w:cs="楷体"/>
          <w:b/>
          <w:bCs/>
          <w:sz w:val="32"/>
          <w:lang w:eastAsia="zh-Hans"/>
        </w:rPr>
        <w:t>。</w:t>
      </w:r>
      <w:r>
        <w:rPr>
          <w:rFonts w:ascii="仿宋_GB2312" w:hAnsi="仿宋_GB2312" w:eastAsia="仿宋_GB2312" w:cs="仿宋_GB2312"/>
          <w:kern w:val="0"/>
          <w:sz w:val="32"/>
          <w:szCs w:val="32"/>
        </w:rPr>
        <w:t>考核结果为“合格”的，继续按协议拨付年度扶持资金，并持续给予各项政策支持。</w:t>
      </w:r>
    </w:p>
    <w:p>
      <w:pPr>
        <w:widowControl/>
        <w:spacing w:line="560" w:lineRule="exact"/>
        <w:ind w:firstLine="642" w:firstLineChars="200"/>
        <w:rPr>
          <w:rFonts w:ascii="仿宋_GB2312" w:hAnsi="仿宋_GB2312" w:eastAsia="仿宋_GB2312" w:cs="仿宋_GB2312"/>
          <w:kern w:val="0"/>
          <w:sz w:val="32"/>
          <w:szCs w:val="32"/>
        </w:rPr>
      </w:pPr>
      <w:r>
        <w:rPr>
          <w:rFonts w:ascii="楷体" w:hAnsi="楷体" w:eastAsia="楷体" w:cs="楷体"/>
          <w:b/>
          <w:bCs/>
          <w:sz w:val="32"/>
          <w:lang w:eastAsia="zh-Hans"/>
        </w:rPr>
        <w:t>（二）限期整改。</w:t>
      </w:r>
      <w:r>
        <w:rPr>
          <w:rFonts w:hint="eastAsia" w:ascii="仿宋_GB2312" w:hAnsi="仿宋_GB2312" w:eastAsia="仿宋_GB2312" w:cs="仿宋_GB2312"/>
          <w:kern w:val="0"/>
          <w:sz w:val="32"/>
          <w:szCs w:val="32"/>
        </w:rPr>
        <w:t>考核结果为“</w:t>
      </w:r>
      <w:r>
        <w:rPr>
          <w:rFonts w:ascii="仿宋_GB2312" w:hAnsi="仿宋_GB2312" w:eastAsia="仿宋_GB2312" w:cs="仿宋_GB2312"/>
          <w:kern w:val="0"/>
          <w:sz w:val="32"/>
          <w:szCs w:val="32"/>
        </w:rPr>
        <w:t>不合格</w:t>
      </w:r>
      <w:r>
        <w:rPr>
          <w:rFonts w:hint="eastAsia" w:ascii="仿宋_GB2312" w:hAnsi="仿宋_GB2312" w:eastAsia="仿宋_GB2312" w:cs="仿宋_GB2312"/>
          <w:kern w:val="0"/>
          <w:sz w:val="32"/>
          <w:szCs w:val="32"/>
        </w:rPr>
        <w:t>”的，通知粤港澳</w:t>
      </w:r>
      <w:r>
        <w:rPr>
          <w:rFonts w:ascii="仿宋_GB2312" w:hAnsi="仿宋_GB2312" w:eastAsia="仿宋_GB2312" w:cs="仿宋_GB2312"/>
          <w:kern w:val="0"/>
          <w:sz w:val="32"/>
          <w:szCs w:val="32"/>
        </w:rPr>
        <w:t>合作</w:t>
      </w:r>
      <w:r>
        <w:rPr>
          <w:rFonts w:hint="eastAsia" w:ascii="仿宋_GB2312" w:hAnsi="仿宋_GB2312" w:eastAsia="仿宋_GB2312" w:cs="仿宋_GB2312"/>
          <w:kern w:val="0"/>
          <w:sz w:val="32"/>
          <w:szCs w:val="32"/>
        </w:rPr>
        <w:t>新型研发机构运营单位进行整改，整改期最长不超过6个月。整改后，由前海管理局组织开展整改情况评估</w:t>
      </w:r>
      <w:r>
        <w:rPr>
          <w:rFonts w:ascii="仿宋_GB2312" w:hAnsi="仿宋_GB2312" w:eastAsia="仿宋_GB2312" w:cs="仿宋_GB2312"/>
          <w:kern w:val="0"/>
          <w:sz w:val="32"/>
          <w:szCs w:val="32"/>
        </w:rPr>
        <w:t>。评估合格的，继续给予支持。</w:t>
      </w:r>
      <w:r>
        <w:rPr>
          <w:rFonts w:hint="eastAsia" w:ascii="仿宋_GB2312" w:hAnsi="仿宋_GB2312" w:eastAsia="仿宋_GB2312" w:cs="仿宋_GB2312"/>
          <w:kern w:val="0"/>
          <w:sz w:val="32"/>
          <w:szCs w:val="32"/>
        </w:rPr>
        <w:t>评估</w:t>
      </w:r>
      <w:r>
        <w:rPr>
          <w:rFonts w:ascii="仿宋_GB2312" w:hAnsi="仿宋_GB2312" w:eastAsia="仿宋_GB2312" w:cs="仿宋_GB2312"/>
          <w:kern w:val="0"/>
          <w:sz w:val="32"/>
          <w:szCs w:val="32"/>
        </w:rPr>
        <w:t>仍</w:t>
      </w:r>
      <w:r>
        <w:rPr>
          <w:rFonts w:hint="eastAsia" w:ascii="仿宋_GB2312" w:hAnsi="仿宋_GB2312" w:eastAsia="仿宋_GB2312" w:cs="仿宋_GB2312"/>
          <w:kern w:val="0"/>
          <w:sz w:val="32"/>
          <w:szCs w:val="32"/>
        </w:rPr>
        <w:t>不合格的，取消其粤港澳合作新型研发机构</w:t>
      </w:r>
      <w:r>
        <w:rPr>
          <w:rFonts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rPr>
        <w:t>认定</w:t>
      </w:r>
      <w:r>
        <w:rPr>
          <w:rFonts w:ascii="仿宋_GB2312" w:hAnsi="仿宋_GB2312" w:eastAsia="仿宋_GB2312" w:cs="仿宋_GB2312"/>
          <w:kern w:val="0"/>
          <w:sz w:val="32"/>
          <w:szCs w:val="32"/>
        </w:rPr>
        <w:t>，停止拨付扶持资金。</w:t>
      </w:r>
    </w:p>
    <w:p>
      <w:pPr>
        <w:pStyle w:val="3"/>
        <w:jc w:val="center"/>
        <w:rPr>
          <w:rFonts w:ascii="黑体" w:hAnsi="黑体" w:eastAsia="黑体"/>
          <w:b w:val="0"/>
        </w:rPr>
      </w:pPr>
      <w:r>
        <w:rPr>
          <w:rFonts w:hint="eastAsia" w:ascii="黑体" w:hAnsi="黑体" w:eastAsia="黑体"/>
          <w:b w:val="0"/>
        </w:rPr>
        <w:t>第</w:t>
      </w:r>
      <w:r>
        <w:rPr>
          <w:rFonts w:ascii="黑体" w:hAnsi="黑体" w:eastAsia="黑体"/>
          <w:b w:val="0"/>
        </w:rPr>
        <w:t>五</w:t>
      </w:r>
      <w:r>
        <w:rPr>
          <w:rFonts w:hint="eastAsia" w:ascii="黑体" w:hAnsi="黑体" w:eastAsia="黑体"/>
          <w:b w:val="0"/>
        </w:rPr>
        <w:t>章 附则</w:t>
      </w:r>
    </w:p>
    <w:p>
      <w:pPr>
        <w:widowControl/>
        <w:spacing w:line="560" w:lineRule="exact"/>
        <w:ind w:firstLine="645"/>
        <w:rPr>
          <w:rFonts w:ascii="仿宋_GB2312" w:hAnsi="仿宋_GB2312" w:eastAsia="仿宋_GB2312" w:cs="仿宋_GB2312"/>
          <w:kern w:val="0"/>
          <w:sz w:val="32"/>
          <w:szCs w:val="32"/>
        </w:rPr>
      </w:pPr>
      <w:r>
        <w:rPr>
          <w:rFonts w:hint="eastAsia" w:ascii="黑体" w:hAnsi="黑体" w:eastAsia="黑体" w:cs="宋体"/>
          <w:kern w:val="0"/>
          <w:sz w:val="32"/>
          <w:szCs w:val="32"/>
        </w:rPr>
        <w:t>第</w:t>
      </w:r>
      <w:r>
        <w:rPr>
          <w:rFonts w:ascii="黑体" w:hAnsi="黑体" w:eastAsia="黑体" w:cs="宋体"/>
          <w:kern w:val="0"/>
          <w:sz w:val="32"/>
          <w:szCs w:val="32"/>
        </w:rPr>
        <w:t>十</w:t>
      </w:r>
      <w:r>
        <w:rPr>
          <w:rFonts w:hint="eastAsia" w:ascii="黑体" w:hAnsi="黑体" w:eastAsia="黑体" w:cs="宋体"/>
          <w:kern w:val="0"/>
          <w:sz w:val="32"/>
          <w:szCs w:val="32"/>
        </w:rPr>
        <w:t>六条【责任与监督】</w:t>
      </w:r>
      <w:r>
        <w:rPr>
          <w:rFonts w:hint="eastAsia" w:ascii="仿宋_GB2312" w:hAnsi="仿宋_GB2312" w:eastAsia="仿宋_GB2312" w:cs="仿宋_GB2312"/>
          <w:kern w:val="0"/>
          <w:sz w:val="32"/>
          <w:szCs w:val="32"/>
        </w:rPr>
        <w:t>前海管理局和申请主体应当保证申请材料的完整性，接受前海廉政监督局监督。</w:t>
      </w:r>
    </w:p>
    <w:p>
      <w:pPr>
        <w:widowControl/>
        <w:spacing w:line="560" w:lineRule="exact"/>
        <w:ind w:firstLine="64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申请主体在申报过程中存在弄虚作假、拒绝配合监督检查的，取消其认定资格，</w:t>
      </w:r>
      <w:r>
        <w:rPr>
          <w:rFonts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rPr>
        <w:t>年内不得再次申请认定，并依据国家有关规定将不诚信名单向深圳市相关部门推送，同时依法将该机构及其法定代表人、主要负责人和其他负有直接责任人员的行为信息纳入公共信用信息系统，采取惩戒措施。涉嫌犯罪的，依法移送司法机关处理。</w:t>
      </w:r>
    </w:p>
    <w:p>
      <w:pPr>
        <w:widowControl/>
        <w:spacing w:line="560" w:lineRule="exact"/>
        <w:ind w:firstLine="64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前海管理局的工作人员在</w:t>
      </w:r>
      <w:r>
        <w:rPr>
          <w:rFonts w:ascii="仿宋_GB2312" w:hAnsi="仿宋_GB2312" w:eastAsia="仿宋_GB2312" w:cs="仿宋_GB2312"/>
          <w:kern w:val="0"/>
          <w:sz w:val="32"/>
          <w:szCs w:val="32"/>
        </w:rPr>
        <w:t>遴选认定工作中</w:t>
      </w:r>
      <w:r>
        <w:rPr>
          <w:rFonts w:hint="eastAsia" w:ascii="仿宋_GB2312" w:hAnsi="仿宋_GB2312" w:eastAsia="仿宋_GB2312" w:cs="仿宋_GB2312"/>
          <w:kern w:val="0"/>
          <w:sz w:val="32"/>
          <w:szCs w:val="32"/>
        </w:rPr>
        <w:t>玩忽职守、滥用职权，不履行或不正确履行本办法规定的各项职责，或利用职务便利谋取不正当利益，依法依规给予党纪政务处分；涉嫌职务犯罪的，依法移交监察机关处理。</w:t>
      </w:r>
    </w:p>
    <w:p>
      <w:pPr>
        <w:widowControl/>
        <w:spacing w:line="560" w:lineRule="exact"/>
        <w:ind w:firstLine="645"/>
        <w:rPr>
          <w:rFonts w:ascii="仿宋_GB2312" w:hAnsi="仿宋_GB2312" w:eastAsia="仿宋_GB2312" w:cs="仿宋_GB2312"/>
          <w:kern w:val="0"/>
          <w:sz w:val="32"/>
          <w:szCs w:val="32"/>
        </w:rPr>
      </w:pPr>
      <w:r>
        <w:rPr>
          <w:rFonts w:hint="eastAsia" w:ascii="黑体" w:hAnsi="黑体" w:eastAsia="黑体" w:cs="宋体"/>
          <w:kern w:val="0"/>
          <w:sz w:val="32"/>
          <w:szCs w:val="32"/>
        </w:rPr>
        <w:t>第十七条【名词解释】</w:t>
      </w:r>
      <w:r>
        <w:rPr>
          <w:rFonts w:hint="eastAsia" w:ascii="仿宋_GB2312" w:hAnsi="仿宋_GB2312" w:eastAsia="仿宋_GB2312" w:cs="仿宋_GB2312"/>
          <w:kern w:val="0"/>
          <w:sz w:val="32"/>
          <w:szCs w:val="32"/>
        </w:rPr>
        <w:t>本办法有关名词的解释如下：</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（一）本办法所称“前海合作区”范围为中共中央、国务院印发的《全面深化前海深港现代服务业合作区改革开放方案》（中发〔2021〕22号）确定的区域。</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本办法所称“实际经营地”，是指申报时，机构的实际管理机构设在前海合作区，并对机构生产经营、人员、账务、财产等实施实质性全面管理和控制，同时前海合作区内经营场地面积按不低于企业员工人数三分之一、人均10㎡的核算值。已取得前海合作区产业用地并签署产业发展监管协议的企业，承诺在土地出让合同约定的项目投入使用日期后12个月内迁入的，视同实际经营地在前海合作区。</w:t>
      </w:r>
    </w:p>
    <w:p>
      <w:pPr>
        <w:widowControl/>
        <w:snapToGri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三</w:t>
      </w:r>
      <w:r>
        <w:rPr>
          <w:rFonts w:ascii="仿宋_GB2312" w:hAnsi="宋体" w:eastAsia="仿宋_GB2312" w:cs="宋体"/>
          <w:kern w:val="0"/>
          <w:sz w:val="32"/>
          <w:szCs w:val="32"/>
        </w:rPr>
        <w:t>）本办法所称“世界500强”，</w:t>
      </w:r>
      <w:r>
        <w:rPr>
          <w:rFonts w:hint="eastAsia" w:ascii="仿宋_GB2312" w:hAnsi="宋体" w:eastAsia="仿宋_GB2312" w:cs="宋体"/>
          <w:kern w:val="0"/>
          <w:sz w:val="32"/>
          <w:szCs w:val="32"/>
        </w:rPr>
        <w:t>以申报之日前美国《财富》杂志最新公布为准</w:t>
      </w:r>
      <w:r>
        <w:rPr>
          <w:rFonts w:ascii="仿宋_GB2312" w:hAnsi="宋体" w:eastAsia="仿宋_GB2312" w:cs="宋体"/>
          <w:kern w:val="0"/>
          <w:sz w:val="32"/>
          <w:szCs w:val="32"/>
        </w:rPr>
        <w:t>。</w:t>
      </w:r>
    </w:p>
    <w:p>
      <w:pPr>
        <w:widowControl/>
        <w:snapToGri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（四）</w:t>
      </w:r>
      <w:r>
        <w:rPr>
          <w:rFonts w:hint="eastAsia" w:ascii="仿宋_GB2312" w:hAnsi="宋体" w:eastAsia="仿宋_GB2312" w:cs="宋体"/>
          <w:kern w:val="0"/>
          <w:sz w:val="32"/>
          <w:szCs w:val="32"/>
        </w:rPr>
        <w:t>本办法所称“港资企业”，需为香港投资者持股25%以上在前海合作区注册的机构；香港投资者是指在中国香港特别行政区依法注册或登记设立并从事实质性商业经营的法人机构、香港居民。香港居民是指中国香港特别行政区永久性居民、赴香港定居的内地居民（已注销内地户籍）。</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前款所称实质性商业经营应当符合下列标准：</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1.根据香港《公司条例》或其他有关条例注册或登记，并取得有效商业登记证。香港法例如有规定，应取得开展该经营业务的牌照或许可；</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2.在香港注册或登记设立并从事实质性商业经营1年以上（含1年）；</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3.在香港从事实质性商业经营期间依法缴纳利得税；</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4.在香港拥有或租用业务场所从事实质性商业经营；</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5.雇用在香港居留不受限制的居民或持单程证在香港定居的内地人士。</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6.通过收购或兼并的方式取得第一款规定香港法人机构50%以上股权满一年以上的，该被收购或兼并的机构属于符合第一款规定的香港投资者。</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澳资企业认定及扶持标准参照港资企业执行。</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五</w:t>
      </w:r>
      <w:r>
        <w:rPr>
          <w:rFonts w:hint="eastAsia" w:ascii="仿宋_GB2312" w:hAnsi="宋体" w:eastAsia="仿宋_GB2312" w:cs="宋体"/>
          <w:kern w:val="0"/>
          <w:sz w:val="32"/>
          <w:szCs w:val="32"/>
        </w:rPr>
        <w:t>）本办法所称“港澳居民”，是指香港、澳门永久性居民或赴港澳定居的内地居民（已注销内地户籍），遵纪守法，拥护“一国两制”，无违法违规等不良行为记录。</w:t>
      </w:r>
    </w:p>
    <w:p>
      <w:pPr>
        <w:widowControl/>
        <w:snapToGri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（六）本办法所称“元”均指人民币单位。</w:t>
      </w:r>
    </w:p>
    <w:p>
      <w:pPr>
        <w:widowControl/>
        <w:spacing w:line="560" w:lineRule="exact"/>
        <w:ind w:firstLine="64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七</w:t>
      </w:r>
      <w:r>
        <w:rPr>
          <w:rFonts w:hint="eastAsia" w:ascii="仿宋_GB2312" w:hAnsi="仿宋_GB2312" w:eastAsia="仿宋_GB2312" w:cs="仿宋_GB2312"/>
          <w:kern w:val="0"/>
          <w:sz w:val="32"/>
          <w:szCs w:val="32"/>
        </w:rPr>
        <w:t>）本办法所称“不</w:t>
      </w:r>
      <w:r>
        <w:rPr>
          <w:rFonts w:ascii="仿宋_GB2312" w:hAnsi="仿宋_GB2312" w:eastAsia="仿宋_GB2312" w:cs="仿宋_GB2312"/>
          <w:kern w:val="0"/>
          <w:sz w:val="32"/>
          <w:szCs w:val="32"/>
        </w:rPr>
        <w:t>低于</w:t>
      </w:r>
      <w:r>
        <w:rPr>
          <w:rFonts w:hint="eastAsia" w:ascii="仿宋_GB2312" w:hAnsi="仿宋_GB2312" w:eastAsia="仿宋_GB2312" w:cs="仿宋_GB2312"/>
          <w:kern w:val="0"/>
          <w:sz w:val="32"/>
          <w:szCs w:val="32"/>
        </w:rPr>
        <w:t>”“不少于”“不超过”“以上”均含本数。</w:t>
      </w:r>
    </w:p>
    <w:p>
      <w:pPr>
        <w:spacing w:line="560" w:lineRule="exact"/>
        <w:ind w:firstLine="640" w:firstLineChars="200"/>
        <w:rPr>
          <w:rFonts w:ascii="仿宋" w:hAnsi="仿宋" w:eastAsia="仿宋" w:cs="仿宋_GB2312"/>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ascii="黑体" w:hAnsi="黑体" w:eastAsia="黑体" w:cs="宋体"/>
          <w:kern w:val="0"/>
          <w:sz w:val="32"/>
          <w:szCs w:val="32"/>
        </w:rPr>
        <w:t>第</w:t>
      </w:r>
      <w:r>
        <w:rPr>
          <w:rFonts w:hint="eastAsia" w:ascii="黑体" w:hAnsi="黑体" w:eastAsia="黑体" w:cs="宋体"/>
          <w:kern w:val="0"/>
          <w:sz w:val="32"/>
          <w:szCs w:val="32"/>
        </w:rPr>
        <w:t>十八</w:t>
      </w:r>
      <w:r>
        <w:rPr>
          <w:rFonts w:ascii="黑体" w:hAnsi="黑体" w:eastAsia="黑体" w:cs="宋体"/>
          <w:kern w:val="0"/>
          <w:sz w:val="32"/>
          <w:szCs w:val="32"/>
        </w:rPr>
        <w:t>条</w:t>
      </w:r>
      <w:r>
        <w:rPr>
          <w:rFonts w:hint="eastAsia" w:ascii="黑体" w:hAnsi="黑体" w:eastAsia="黑体" w:cs="宋体"/>
          <w:kern w:val="0"/>
          <w:sz w:val="32"/>
          <w:szCs w:val="32"/>
        </w:rPr>
        <w:t>【有效期】</w:t>
      </w:r>
      <w:r>
        <w:rPr>
          <w:rFonts w:hint="eastAsia" w:ascii="仿宋_GB2312" w:hAnsi="仿宋_GB2312" w:eastAsia="仿宋_GB2312" w:cs="仿宋_GB2312"/>
          <w:kern w:val="0"/>
          <w:sz w:val="32"/>
          <w:szCs w:val="32"/>
        </w:rPr>
        <w:t>本办法由前海管理局负责解释。本办法自XX年XX月XX日起实施，有效期</w:t>
      </w:r>
      <w:r>
        <w:rPr>
          <w:rFonts w:ascii="仿宋_GB2312" w:hAnsi="仿宋_GB2312" w:eastAsia="仿宋_GB2312" w:cs="仿宋_GB2312"/>
          <w:kern w:val="0"/>
          <w:sz w:val="32"/>
          <w:szCs w:val="32"/>
        </w:rPr>
        <w:t>三年。</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粤港澳合作新型研发机构</w:t>
      </w:r>
      <w:r>
        <w:rPr>
          <w:rFonts w:ascii="方正小标宋简体" w:hAnsi="方正小标宋简体" w:eastAsia="方正小标宋简体" w:cs="方正小标宋简体"/>
          <w:sz w:val="44"/>
          <w:szCs w:val="44"/>
        </w:rPr>
        <w:t>考核</w:t>
      </w:r>
      <w:r>
        <w:rPr>
          <w:rFonts w:hint="eastAsia" w:ascii="方正小标宋简体" w:hAnsi="方正小标宋简体" w:eastAsia="方正小标宋简体" w:cs="方正小标宋简体"/>
          <w:sz w:val="44"/>
          <w:szCs w:val="44"/>
        </w:rPr>
        <w:t>指标体系</w:t>
      </w:r>
    </w:p>
    <w:tbl>
      <w:tblPr>
        <w:tblStyle w:val="9"/>
        <w:tblpPr w:leftFromText="180" w:rightFromText="180" w:vertAnchor="text" w:horzAnchor="page" w:tblpX="1088" w:tblpY="543"/>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244"/>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一级指标</w:t>
            </w:r>
          </w:p>
        </w:tc>
        <w:tc>
          <w:tcPr>
            <w:tcW w:w="2244"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二级指标</w:t>
            </w:r>
          </w:p>
        </w:tc>
        <w:tc>
          <w:tcPr>
            <w:tcW w:w="5949"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restart"/>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建设投入</w:t>
            </w: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建设规模</w:t>
            </w: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注册资金（万元）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办公和研发场地面积（平方米）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年度建设资金投入总量（万元）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研发条件</w:t>
            </w: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年度研发投入资金总量（万元）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单价万元以上科研设备原值（万元）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国家级、省级创新平台数量（含重点实验室、工程中心、技术中心等）（个）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restart"/>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体制</w:t>
            </w:r>
            <w:r>
              <w:rPr>
                <w:rFonts w:hint="eastAsia" w:ascii="仿宋_GB2312" w:hAnsi="仿宋_GB2312" w:eastAsia="仿宋_GB2312" w:cs="仿宋_GB2312"/>
                <w:sz w:val="28"/>
                <w:szCs w:val="28"/>
              </w:rPr>
              <w:t>机制</w:t>
            </w: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明确发展战略</w:t>
            </w: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是否制订中长期</w:t>
            </w:r>
            <w:r>
              <w:rPr>
                <w:rFonts w:hint="eastAsia" w:ascii="仿宋_GB2312" w:hAnsi="仿宋_GB2312" w:eastAsia="仿宋_GB2312" w:cs="仿宋_GB2312"/>
                <w:sz w:val="28"/>
                <w:szCs w:val="28"/>
              </w:rPr>
              <w:t>发展战略</w:t>
            </w:r>
            <w:r>
              <w:rPr>
                <w:rFonts w:ascii="仿宋_GB2312" w:hAnsi="仿宋_GB2312" w:eastAsia="仿宋_GB2312" w:cs="仿宋_GB2312"/>
                <w:sz w:val="28"/>
                <w:szCs w:val="28"/>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是否制订年度</w:t>
            </w:r>
            <w:r>
              <w:rPr>
                <w:rFonts w:hint="eastAsia" w:ascii="仿宋_GB2312" w:hAnsi="仿宋_GB2312" w:eastAsia="仿宋_GB2312" w:cs="仿宋_GB2312"/>
                <w:sz w:val="28"/>
                <w:szCs w:val="28"/>
              </w:rPr>
              <w:t>研发</w:t>
            </w:r>
            <w:r>
              <w:rPr>
                <w:rFonts w:ascii="仿宋_GB2312" w:hAnsi="仿宋_GB2312" w:eastAsia="仿宋_GB2312" w:cs="仿宋_GB2312"/>
                <w:sz w:val="28"/>
                <w:szCs w:val="28"/>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新型组建模式</w:t>
            </w: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投资主体</w:t>
            </w:r>
            <w:r>
              <w:rPr>
                <w:rFonts w:ascii="仿宋_GB2312" w:hAnsi="仿宋_GB2312" w:eastAsia="仿宋_GB2312" w:cs="仿宋_GB2312"/>
                <w:sz w:val="28"/>
                <w:szCs w:val="28"/>
              </w:rPr>
              <w:t>的</w:t>
            </w:r>
            <w:r>
              <w:rPr>
                <w:rFonts w:hint="eastAsia" w:ascii="仿宋_GB2312" w:hAnsi="仿宋_GB2312" w:eastAsia="仿宋_GB2312" w:cs="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是否建立年度预算资金计划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市场化运行机制</w:t>
            </w: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是否建立</w:t>
            </w:r>
            <w:r>
              <w:rPr>
                <w:rFonts w:hint="eastAsia" w:ascii="仿宋_GB2312" w:hAnsi="仿宋_GB2312" w:eastAsia="仿宋_GB2312" w:cs="仿宋_GB2312"/>
                <w:sz w:val="28"/>
                <w:szCs w:val="28"/>
              </w:rPr>
              <w:t>人才激励</w:t>
            </w:r>
            <w:r>
              <w:rPr>
                <w:rFonts w:ascii="仿宋_GB2312" w:hAnsi="仿宋_GB2312" w:eastAsia="仿宋_GB2312" w:cs="仿宋_GB2312"/>
                <w:sz w:val="28"/>
                <w:szCs w:val="28"/>
              </w:rPr>
              <w:t>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是否建立财务管理制度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是否建立科研项目管理制度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研发团队</w:t>
            </w: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研发人员规模</w:t>
            </w: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研发人员总数（人）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continue"/>
            <w:vAlign w:val="center"/>
          </w:tcPr>
          <w:p>
            <w:pP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研发人员占比（%）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continue"/>
            <w:vAlign w:val="center"/>
          </w:tcPr>
          <w:p>
            <w:pP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港澳研发人员占比（%）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continue"/>
            <w:vAlign w:val="center"/>
          </w:tcPr>
          <w:p>
            <w:pP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外籍</w:t>
            </w:r>
            <w:r>
              <w:rPr>
                <w:rFonts w:hint="eastAsia" w:ascii="仿宋_GB2312" w:hAnsi="仿宋_GB2312" w:eastAsia="仿宋_GB2312" w:cs="仿宋_GB2312"/>
                <w:sz w:val="28"/>
                <w:szCs w:val="28"/>
              </w:rPr>
              <w:t>研发人员占比（%）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研发人员素质</w:t>
            </w: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硕士</w:t>
            </w:r>
            <w:r>
              <w:rPr>
                <w:rFonts w:hint="eastAsia" w:ascii="仿宋_GB2312" w:hAnsi="仿宋_GB2312" w:eastAsia="仿宋_GB2312" w:cs="仿宋_GB2312"/>
                <w:sz w:val="28"/>
                <w:szCs w:val="28"/>
              </w:rPr>
              <w:t>及以上学历人员占比（%）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博士学位</w:t>
            </w:r>
            <w:r>
              <w:rPr>
                <w:rFonts w:ascii="仿宋_GB2312" w:hAnsi="仿宋_GB2312" w:eastAsia="仿宋_GB2312" w:cs="仿宋_GB2312"/>
                <w:sz w:val="28"/>
                <w:szCs w:val="28"/>
              </w:rPr>
              <w:t>及</w:t>
            </w:r>
            <w:r>
              <w:rPr>
                <w:rFonts w:hint="eastAsia" w:ascii="仿宋_GB2312" w:hAnsi="仿宋_GB2312" w:eastAsia="仿宋_GB2312" w:cs="仿宋_GB2312"/>
                <w:sz w:val="28"/>
                <w:szCs w:val="28"/>
              </w:rPr>
              <w:t>以上人员占比（%）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高层次创新人才</w:t>
            </w: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外籍创新人才数量（人）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世界杰出科学家</w:t>
            </w:r>
            <w:r>
              <w:rPr>
                <w:rFonts w:hint="eastAsia" w:ascii="仿宋_GB2312" w:hAnsi="仿宋_GB2312" w:eastAsia="仿宋_GB2312" w:cs="仿宋_GB2312"/>
                <w:sz w:val="28"/>
                <w:szCs w:val="28"/>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创新活动</w:t>
            </w: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市场结合程度</w:t>
            </w: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获得社会投资或资助金额（万元）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企业合作研发项目数量（个）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ascii="仿宋_GB2312" w:hAnsi="仿宋_GB2312" w:eastAsia="仿宋_GB2312" w:cs="仿宋_GB2312"/>
                <w:sz w:val="28"/>
                <w:szCs w:val="28"/>
              </w:rPr>
              <w:t>科研成果产业应用案例（个）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研发产出水平</w:t>
            </w: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国际</w:t>
            </w:r>
            <w:r>
              <w:rPr>
                <w:rFonts w:ascii="仿宋_GB2312" w:hAnsi="仿宋_GB2312" w:eastAsia="仿宋_GB2312" w:cs="仿宋_GB2312"/>
                <w:sz w:val="28"/>
                <w:szCs w:val="28"/>
              </w:rPr>
              <w:t>合作</w:t>
            </w:r>
            <w:r>
              <w:rPr>
                <w:rFonts w:hint="eastAsia" w:ascii="仿宋_GB2312" w:hAnsi="仿宋_GB2312" w:eastAsia="仿宋_GB2312" w:cs="仿宋_GB2312"/>
                <w:sz w:val="28"/>
                <w:szCs w:val="28"/>
              </w:rPr>
              <w:t>发表</w:t>
            </w:r>
            <w:r>
              <w:rPr>
                <w:rFonts w:ascii="仿宋_GB2312" w:hAnsi="仿宋_GB2312" w:eastAsia="仿宋_GB2312" w:cs="仿宋_GB2312"/>
                <w:sz w:val="28"/>
                <w:szCs w:val="28"/>
              </w:rPr>
              <w:t>论文</w:t>
            </w:r>
            <w:r>
              <w:rPr>
                <w:rFonts w:hint="eastAsia" w:ascii="仿宋_GB2312" w:hAnsi="仿宋_GB2312" w:eastAsia="仿宋_GB2312" w:cs="仿宋_GB2312"/>
                <w:sz w:val="28"/>
                <w:szCs w:val="28"/>
              </w:rPr>
              <w:t>数量（篇）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发明专利拥有量（件）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牵头或参与制定省级以上标准数量（个）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44" w:type="dxa"/>
            <w:vMerge w:val="continue"/>
            <w:vAlign w:val="center"/>
          </w:tcPr>
          <w:p>
            <w:pPr>
              <w:jc w:val="cente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获得国家级、省级科技奖励数量（个）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创新效益</w:t>
            </w: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成果转化效益</w:t>
            </w: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年总收入（万元）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成果转化收入（万元）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创业孵化能力</w:t>
            </w: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是否设立产业投资资金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continue"/>
            <w:vAlign w:val="center"/>
          </w:tcPr>
          <w:p>
            <w:pPr>
              <w:jc w:val="cente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累计孵化企业数量（家）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服务社会情况</w:t>
            </w: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累计服务企业数量（家）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Merge w:val="continue"/>
            <w:vAlign w:val="center"/>
          </w:tcPr>
          <w:p>
            <w:pPr>
              <w:rPr>
                <w:rFonts w:ascii="仿宋_GB2312" w:hAnsi="仿宋_GB2312" w:eastAsia="仿宋_GB2312" w:cs="仿宋_GB2312"/>
                <w:sz w:val="28"/>
                <w:szCs w:val="28"/>
              </w:rPr>
            </w:pPr>
          </w:p>
        </w:tc>
        <w:tc>
          <w:tcPr>
            <w:tcW w:w="2244" w:type="dxa"/>
            <w:vMerge w:val="continue"/>
            <w:vAlign w:val="center"/>
          </w:tcPr>
          <w:p>
            <w:pPr>
              <w:rPr>
                <w:rFonts w:ascii="仿宋_GB2312" w:hAnsi="仿宋_GB2312" w:eastAsia="仿宋_GB2312" w:cs="仿宋_GB2312"/>
                <w:sz w:val="28"/>
                <w:szCs w:val="28"/>
              </w:rPr>
            </w:pPr>
          </w:p>
        </w:tc>
        <w:tc>
          <w:tcPr>
            <w:tcW w:w="5949"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是否</w:t>
            </w:r>
            <w:r>
              <w:rPr>
                <w:rFonts w:ascii="仿宋_GB2312" w:hAnsi="仿宋_GB2312" w:eastAsia="仿宋_GB2312" w:cs="仿宋_GB2312"/>
                <w:sz w:val="28"/>
                <w:szCs w:val="28"/>
              </w:rPr>
              <w:t>组织</w:t>
            </w:r>
            <w:r>
              <w:rPr>
                <w:rFonts w:hint="eastAsia" w:ascii="仿宋_GB2312" w:hAnsi="仿宋_GB2312" w:eastAsia="仿宋_GB2312" w:cs="仿宋_GB2312"/>
                <w:sz w:val="28"/>
                <w:szCs w:val="28"/>
              </w:rPr>
              <w:t>产业创新</w:t>
            </w:r>
            <w:r>
              <w:rPr>
                <w:rFonts w:ascii="仿宋_GB2312" w:hAnsi="仿宋_GB2312" w:eastAsia="仿宋_GB2312" w:cs="仿宋_GB2312"/>
                <w:sz w:val="28"/>
                <w:szCs w:val="28"/>
              </w:rPr>
              <w:t>协会或</w:t>
            </w:r>
            <w:r>
              <w:rPr>
                <w:rFonts w:hint="eastAsia" w:ascii="仿宋_GB2312" w:hAnsi="仿宋_GB2312" w:eastAsia="仿宋_GB2312" w:cs="仿宋_GB2312"/>
                <w:sz w:val="28"/>
                <w:szCs w:val="28"/>
              </w:rPr>
              <w:t>联盟</w:t>
            </w:r>
          </w:p>
        </w:tc>
      </w:tr>
    </w:tbl>
    <w:p/>
    <w:sectPr>
      <w:pgSz w:w="11906" w:h="16838"/>
      <w:pgMar w:top="1160" w:right="720" w:bottom="1401"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562910184"/>
    </w:sdtPr>
    <w:sdtEndPr>
      <w:rPr>
        <w:rStyle w:val="11"/>
      </w:rPr>
    </w:sdtEndPr>
    <w:sdtContent>
      <w:p>
        <w:pPr>
          <w:pStyle w:val="6"/>
          <w:framePr w:wrap="around"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3</w:t>
        </w:r>
        <w:r>
          <w:rPr>
            <w:rStyle w:val="11"/>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289325266"/>
    </w:sdtPr>
    <w:sdtEndPr>
      <w:rPr>
        <w:rStyle w:val="11"/>
      </w:rPr>
    </w:sdtEndPr>
    <w:sdtContent>
      <w:p>
        <w:pPr>
          <w:pStyle w:val="6"/>
          <w:framePr w:wrap="around"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32006"/>
    <w:rsid w:val="00021749"/>
    <w:rsid w:val="00026827"/>
    <w:rsid w:val="00063C88"/>
    <w:rsid w:val="000A479F"/>
    <w:rsid w:val="000F1E34"/>
    <w:rsid w:val="00135F1B"/>
    <w:rsid w:val="00152A80"/>
    <w:rsid w:val="00160D8F"/>
    <w:rsid w:val="001744E3"/>
    <w:rsid w:val="001969CB"/>
    <w:rsid w:val="001D0854"/>
    <w:rsid w:val="001E415A"/>
    <w:rsid w:val="001E4B64"/>
    <w:rsid w:val="00222740"/>
    <w:rsid w:val="00241160"/>
    <w:rsid w:val="002558B8"/>
    <w:rsid w:val="002761C5"/>
    <w:rsid w:val="002B3ACF"/>
    <w:rsid w:val="002D0C39"/>
    <w:rsid w:val="003322D0"/>
    <w:rsid w:val="00352E3B"/>
    <w:rsid w:val="003E1FC0"/>
    <w:rsid w:val="00405581"/>
    <w:rsid w:val="004417E9"/>
    <w:rsid w:val="00456577"/>
    <w:rsid w:val="004772B0"/>
    <w:rsid w:val="004A248D"/>
    <w:rsid w:val="004B5BCB"/>
    <w:rsid w:val="004D1AFF"/>
    <w:rsid w:val="004E416C"/>
    <w:rsid w:val="004F2276"/>
    <w:rsid w:val="00501C31"/>
    <w:rsid w:val="00510F5B"/>
    <w:rsid w:val="0051598F"/>
    <w:rsid w:val="005A586C"/>
    <w:rsid w:val="0060515C"/>
    <w:rsid w:val="00651729"/>
    <w:rsid w:val="0066222B"/>
    <w:rsid w:val="006827B9"/>
    <w:rsid w:val="00685FD2"/>
    <w:rsid w:val="006D1F45"/>
    <w:rsid w:val="006E0D25"/>
    <w:rsid w:val="00714E67"/>
    <w:rsid w:val="0075521B"/>
    <w:rsid w:val="007644DF"/>
    <w:rsid w:val="007C7944"/>
    <w:rsid w:val="008327FE"/>
    <w:rsid w:val="008550A8"/>
    <w:rsid w:val="0085526C"/>
    <w:rsid w:val="008572C9"/>
    <w:rsid w:val="008729C2"/>
    <w:rsid w:val="00887C70"/>
    <w:rsid w:val="00894E98"/>
    <w:rsid w:val="008C1F15"/>
    <w:rsid w:val="00910867"/>
    <w:rsid w:val="0091117C"/>
    <w:rsid w:val="009162A1"/>
    <w:rsid w:val="00917B16"/>
    <w:rsid w:val="00936CAE"/>
    <w:rsid w:val="009463E4"/>
    <w:rsid w:val="00955AA8"/>
    <w:rsid w:val="00966F4C"/>
    <w:rsid w:val="00983312"/>
    <w:rsid w:val="009A2B07"/>
    <w:rsid w:val="009E0FAA"/>
    <w:rsid w:val="009E66D7"/>
    <w:rsid w:val="009F678F"/>
    <w:rsid w:val="00A3395A"/>
    <w:rsid w:val="00A95017"/>
    <w:rsid w:val="00AD32FB"/>
    <w:rsid w:val="00B12DE0"/>
    <w:rsid w:val="00B26593"/>
    <w:rsid w:val="00B605DB"/>
    <w:rsid w:val="00B6067F"/>
    <w:rsid w:val="00B675FF"/>
    <w:rsid w:val="00B73E8E"/>
    <w:rsid w:val="00C27DDF"/>
    <w:rsid w:val="00C41F1F"/>
    <w:rsid w:val="00C50815"/>
    <w:rsid w:val="00C81BDF"/>
    <w:rsid w:val="00C93E9D"/>
    <w:rsid w:val="00D15026"/>
    <w:rsid w:val="00D32B4C"/>
    <w:rsid w:val="00D65C99"/>
    <w:rsid w:val="00DA71EC"/>
    <w:rsid w:val="00DB4DED"/>
    <w:rsid w:val="00DC5CD9"/>
    <w:rsid w:val="00DD2FBA"/>
    <w:rsid w:val="00E20091"/>
    <w:rsid w:val="00E202BD"/>
    <w:rsid w:val="00E81DC6"/>
    <w:rsid w:val="00E972F9"/>
    <w:rsid w:val="00EF044A"/>
    <w:rsid w:val="00F03432"/>
    <w:rsid w:val="00F40CC0"/>
    <w:rsid w:val="00F54D89"/>
    <w:rsid w:val="00F550B6"/>
    <w:rsid w:val="00F56908"/>
    <w:rsid w:val="00F9112A"/>
    <w:rsid w:val="00FA567B"/>
    <w:rsid w:val="00FC7862"/>
    <w:rsid w:val="00FF50BF"/>
    <w:rsid w:val="10390F97"/>
    <w:rsid w:val="15BF747B"/>
    <w:rsid w:val="17EFDAF1"/>
    <w:rsid w:val="19A1B9A0"/>
    <w:rsid w:val="1D7BBDE5"/>
    <w:rsid w:val="1F4FE38D"/>
    <w:rsid w:val="1F7DFF99"/>
    <w:rsid w:val="1FCFA110"/>
    <w:rsid w:val="1FD75E62"/>
    <w:rsid w:val="1FDDFF80"/>
    <w:rsid w:val="1FDFF307"/>
    <w:rsid w:val="1FFF6A7A"/>
    <w:rsid w:val="21FB7B2B"/>
    <w:rsid w:val="224F9079"/>
    <w:rsid w:val="227FDCC1"/>
    <w:rsid w:val="22FD5692"/>
    <w:rsid w:val="267CA879"/>
    <w:rsid w:val="27FD7F1F"/>
    <w:rsid w:val="28FF0944"/>
    <w:rsid w:val="29FF7E70"/>
    <w:rsid w:val="2BCFE337"/>
    <w:rsid w:val="2BD96F62"/>
    <w:rsid w:val="2CDEDF64"/>
    <w:rsid w:val="2D787530"/>
    <w:rsid w:val="2DF7C34F"/>
    <w:rsid w:val="2E9F3614"/>
    <w:rsid w:val="2EDF8A4C"/>
    <w:rsid w:val="2EEEDD3B"/>
    <w:rsid w:val="2F383741"/>
    <w:rsid w:val="2FBF0343"/>
    <w:rsid w:val="2FDBBA70"/>
    <w:rsid w:val="2FED223E"/>
    <w:rsid w:val="2FF7CA22"/>
    <w:rsid w:val="2FFF5ADF"/>
    <w:rsid w:val="33F35512"/>
    <w:rsid w:val="33FF5907"/>
    <w:rsid w:val="33FFF8C6"/>
    <w:rsid w:val="34FF0401"/>
    <w:rsid w:val="357993FC"/>
    <w:rsid w:val="35CF1C35"/>
    <w:rsid w:val="35EE5730"/>
    <w:rsid w:val="36EBE5B3"/>
    <w:rsid w:val="375E11FC"/>
    <w:rsid w:val="376504A7"/>
    <w:rsid w:val="37BF2D5E"/>
    <w:rsid w:val="37BFADAC"/>
    <w:rsid w:val="37DEA613"/>
    <w:rsid w:val="37F3E184"/>
    <w:rsid w:val="39FFFF2B"/>
    <w:rsid w:val="3AA6F25C"/>
    <w:rsid w:val="3AFBE924"/>
    <w:rsid w:val="3B2DE878"/>
    <w:rsid w:val="3B7D2B96"/>
    <w:rsid w:val="3BCE406E"/>
    <w:rsid w:val="3BE7157B"/>
    <w:rsid w:val="3CC7D604"/>
    <w:rsid w:val="3CDE2A72"/>
    <w:rsid w:val="3CFE2747"/>
    <w:rsid w:val="3D5D59BB"/>
    <w:rsid w:val="3D7FB241"/>
    <w:rsid w:val="3DBA45DC"/>
    <w:rsid w:val="3DDD712C"/>
    <w:rsid w:val="3DEFC74E"/>
    <w:rsid w:val="3E5DF856"/>
    <w:rsid w:val="3E95279E"/>
    <w:rsid w:val="3EB74705"/>
    <w:rsid w:val="3F3F9703"/>
    <w:rsid w:val="3F66228D"/>
    <w:rsid w:val="3F7FD5CD"/>
    <w:rsid w:val="3F9F008A"/>
    <w:rsid w:val="3FAF0B68"/>
    <w:rsid w:val="3FB39583"/>
    <w:rsid w:val="3FD787B3"/>
    <w:rsid w:val="3FDC02C6"/>
    <w:rsid w:val="3FE73694"/>
    <w:rsid w:val="3FEB7F26"/>
    <w:rsid w:val="3FF6EE46"/>
    <w:rsid w:val="3FF7A4C2"/>
    <w:rsid w:val="3FFD0867"/>
    <w:rsid w:val="3FFF30AB"/>
    <w:rsid w:val="41722A91"/>
    <w:rsid w:val="46EF2122"/>
    <w:rsid w:val="474768BF"/>
    <w:rsid w:val="4B003E3A"/>
    <w:rsid w:val="4B5D3757"/>
    <w:rsid w:val="4BEFB9E6"/>
    <w:rsid w:val="4CFD913E"/>
    <w:rsid w:val="4D356D16"/>
    <w:rsid w:val="4DEFA9B5"/>
    <w:rsid w:val="4DF3B79E"/>
    <w:rsid w:val="4DFF608C"/>
    <w:rsid w:val="4EBAA917"/>
    <w:rsid w:val="4F0B559F"/>
    <w:rsid w:val="4F5F3868"/>
    <w:rsid w:val="4FAFEA3B"/>
    <w:rsid w:val="4FF772A3"/>
    <w:rsid w:val="4FFC83B9"/>
    <w:rsid w:val="53DFEA6C"/>
    <w:rsid w:val="53FFC107"/>
    <w:rsid w:val="53FFDC27"/>
    <w:rsid w:val="55D7B94C"/>
    <w:rsid w:val="55FF9950"/>
    <w:rsid w:val="573531F8"/>
    <w:rsid w:val="57BB88FE"/>
    <w:rsid w:val="57D7A963"/>
    <w:rsid w:val="57D7ABAD"/>
    <w:rsid w:val="57DE9FA1"/>
    <w:rsid w:val="59FD124D"/>
    <w:rsid w:val="59FEF154"/>
    <w:rsid w:val="5B7D1B83"/>
    <w:rsid w:val="5BAFD33D"/>
    <w:rsid w:val="5BBFC094"/>
    <w:rsid w:val="5BF54C75"/>
    <w:rsid w:val="5D51688B"/>
    <w:rsid w:val="5D77AC64"/>
    <w:rsid w:val="5D9D1CF8"/>
    <w:rsid w:val="5DF6230F"/>
    <w:rsid w:val="5DF7B17A"/>
    <w:rsid w:val="5DFBC6A4"/>
    <w:rsid w:val="5DFF19DB"/>
    <w:rsid w:val="5E5FB5DF"/>
    <w:rsid w:val="5EFF8D3C"/>
    <w:rsid w:val="5F0F92E1"/>
    <w:rsid w:val="5F2F18A5"/>
    <w:rsid w:val="5F5F831B"/>
    <w:rsid w:val="5F6F0FD6"/>
    <w:rsid w:val="5FB501C6"/>
    <w:rsid w:val="5FB7F603"/>
    <w:rsid w:val="5FB97256"/>
    <w:rsid w:val="5FBF6796"/>
    <w:rsid w:val="5FDD4E4C"/>
    <w:rsid w:val="5FE376CD"/>
    <w:rsid w:val="5FF96151"/>
    <w:rsid w:val="5FFD2DBF"/>
    <w:rsid w:val="5FFDBE2A"/>
    <w:rsid w:val="5FFF3775"/>
    <w:rsid w:val="5FFF6D6C"/>
    <w:rsid w:val="5FFF6E65"/>
    <w:rsid w:val="61032006"/>
    <w:rsid w:val="63DDA0D2"/>
    <w:rsid w:val="647EB322"/>
    <w:rsid w:val="6578DD46"/>
    <w:rsid w:val="65AF8D88"/>
    <w:rsid w:val="673778EF"/>
    <w:rsid w:val="67605D7B"/>
    <w:rsid w:val="677FF191"/>
    <w:rsid w:val="679DEEEA"/>
    <w:rsid w:val="67FFFB93"/>
    <w:rsid w:val="687EA9C3"/>
    <w:rsid w:val="696BB557"/>
    <w:rsid w:val="6B7B52C2"/>
    <w:rsid w:val="6BFE8E35"/>
    <w:rsid w:val="6BFFBE34"/>
    <w:rsid w:val="6D7BFFD9"/>
    <w:rsid w:val="6DA7F616"/>
    <w:rsid w:val="6DEB2F64"/>
    <w:rsid w:val="6DF3A3A2"/>
    <w:rsid w:val="6DFB0BAD"/>
    <w:rsid w:val="6DFFDD0A"/>
    <w:rsid w:val="6E7C3E1B"/>
    <w:rsid w:val="6EDDB0C9"/>
    <w:rsid w:val="6EF76538"/>
    <w:rsid w:val="6F786BEF"/>
    <w:rsid w:val="6F7F2C4F"/>
    <w:rsid w:val="6FAF9461"/>
    <w:rsid w:val="6FB18548"/>
    <w:rsid w:val="6FDBF876"/>
    <w:rsid w:val="6FFC0C8E"/>
    <w:rsid w:val="6FFD3508"/>
    <w:rsid w:val="6FFE4DA5"/>
    <w:rsid w:val="6FFFCA32"/>
    <w:rsid w:val="718114EF"/>
    <w:rsid w:val="71EFE73E"/>
    <w:rsid w:val="725FA60C"/>
    <w:rsid w:val="72B5E541"/>
    <w:rsid w:val="736FBA0A"/>
    <w:rsid w:val="7397267B"/>
    <w:rsid w:val="73CF44C8"/>
    <w:rsid w:val="73FFB97F"/>
    <w:rsid w:val="74211A07"/>
    <w:rsid w:val="74EFE656"/>
    <w:rsid w:val="74FB970F"/>
    <w:rsid w:val="755FD160"/>
    <w:rsid w:val="75BAB199"/>
    <w:rsid w:val="75E5ED35"/>
    <w:rsid w:val="764F27A1"/>
    <w:rsid w:val="767EA037"/>
    <w:rsid w:val="767F0DFE"/>
    <w:rsid w:val="76BF7B2C"/>
    <w:rsid w:val="76BFD60B"/>
    <w:rsid w:val="76FF435B"/>
    <w:rsid w:val="777F3932"/>
    <w:rsid w:val="779E5DA0"/>
    <w:rsid w:val="77BBCD7D"/>
    <w:rsid w:val="77BEAF74"/>
    <w:rsid w:val="77BFFF29"/>
    <w:rsid w:val="77C688EE"/>
    <w:rsid w:val="77CDA6A5"/>
    <w:rsid w:val="77E67E6D"/>
    <w:rsid w:val="77ED4A6C"/>
    <w:rsid w:val="77EDC607"/>
    <w:rsid w:val="77FFC5A5"/>
    <w:rsid w:val="78F31D31"/>
    <w:rsid w:val="792FA97D"/>
    <w:rsid w:val="798E2135"/>
    <w:rsid w:val="79A5CD72"/>
    <w:rsid w:val="79BA7C9E"/>
    <w:rsid w:val="79EB7D94"/>
    <w:rsid w:val="79F6BD05"/>
    <w:rsid w:val="7ACECBAE"/>
    <w:rsid w:val="7ADF171D"/>
    <w:rsid w:val="7B3DC4D9"/>
    <w:rsid w:val="7B5B4756"/>
    <w:rsid w:val="7B5FF564"/>
    <w:rsid w:val="7B77EF15"/>
    <w:rsid w:val="7B9F37B0"/>
    <w:rsid w:val="7BB7E50A"/>
    <w:rsid w:val="7BD72F98"/>
    <w:rsid w:val="7BDF97BA"/>
    <w:rsid w:val="7BECF82E"/>
    <w:rsid w:val="7BEF3BE5"/>
    <w:rsid w:val="7BF36BEA"/>
    <w:rsid w:val="7BFD4BEC"/>
    <w:rsid w:val="7BFED6F1"/>
    <w:rsid w:val="7BFF696F"/>
    <w:rsid w:val="7C7E6D21"/>
    <w:rsid w:val="7CB72578"/>
    <w:rsid w:val="7CBE362B"/>
    <w:rsid w:val="7CEDE46E"/>
    <w:rsid w:val="7CEF322C"/>
    <w:rsid w:val="7CFFB63C"/>
    <w:rsid w:val="7D1B635D"/>
    <w:rsid w:val="7D5E762D"/>
    <w:rsid w:val="7D7EDF5A"/>
    <w:rsid w:val="7D9ECADC"/>
    <w:rsid w:val="7D9F02A6"/>
    <w:rsid w:val="7D9F46F9"/>
    <w:rsid w:val="7DAB7856"/>
    <w:rsid w:val="7DAF76EC"/>
    <w:rsid w:val="7DBF60A9"/>
    <w:rsid w:val="7DC59428"/>
    <w:rsid w:val="7DEA3AA4"/>
    <w:rsid w:val="7DF5DB98"/>
    <w:rsid w:val="7DFD7A72"/>
    <w:rsid w:val="7DFE58F6"/>
    <w:rsid w:val="7E5E67E5"/>
    <w:rsid w:val="7E67D2F3"/>
    <w:rsid w:val="7E6D681F"/>
    <w:rsid w:val="7E6FEAEF"/>
    <w:rsid w:val="7E7DF1C0"/>
    <w:rsid w:val="7EDF21CA"/>
    <w:rsid w:val="7EEFADEA"/>
    <w:rsid w:val="7EFB5EB0"/>
    <w:rsid w:val="7EFD764F"/>
    <w:rsid w:val="7EFDB4A3"/>
    <w:rsid w:val="7F1DB280"/>
    <w:rsid w:val="7F3A6A85"/>
    <w:rsid w:val="7F4F7668"/>
    <w:rsid w:val="7F5FDBEE"/>
    <w:rsid w:val="7F7DC868"/>
    <w:rsid w:val="7F7F25DB"/>
    <w:rsid w:val="7F9D6B65"/>
    <w:rsid w:val="7F9F31EA"/>
    <w:rsid w:val="7F9FDAE1"/>
    <w:rsid w:val="7FAE47FD"/>
    <w:rsid w:val="7FAF3118"/>
    <w:rsid w:val="7FB5DE9F"/>
    <w:rsid w:val="7FB642FD"/>
    <w:rsid w:val="7FBFA1BC"/>
    <w:rsid w:val="7FC58ACF"/>
    <w:rsid w:val="7FCF00E3"/>
    <w:rsid w:val="7FCFC432"/>
    <w:rsid w:val="7FD7DDC6"/>
    <w:rsid w:val="7FDFD5A4"/>
    <w:rsid w:val="7FE7BE31"/>
    <w:rsid w:val="7FEDDA7B"/>
    <w:rsid w:val="7FEE40B1"/>
    <w:rsid w:val="7FEEF991"/>
    <w:rsid w:val="7FEF72B7"/>
    <w:rsid w:val="7FF54508"/>
    <w:rsid w:val="7FF73758"/>
    <w:rsid w:val="7FFB3C9B"/>
    <w:rsid w:val="7FFB7265"/>
    <w:rsid w:val="7FFB9E2F"/>
    <w:rsid w:val="7FFD59C0"/>
    <w:rsid w:val="7FFD97BB"/>
    <w:rsid w:val="7FFE7BC3"/>
    <w:rsid w:val="7FFF1470"/>
    <w:rsid w:val="7FFF63DB"/>
    <w:rsid w:val="7FFF75B4"/>
    <w:rsid w:val="7FFF87EF"/>
    <w:rsid w:val="877F6D59"/>
    <w:rsid w:val="8FCF4787"/>
    <w:rsid w:val="933EF4CD"/>
    <w:rsid w:val="93CFBB7D"/>
    <w:rsid w:val="9773A67F"/>
    <w:rsid w:val="97D75BE0"/>
    <w:rsid w:val="97F66DEE"/>
    <w:rsid w:val="97FFE0E5"/>
    <w:rsid w:val="997F3A9F"/>
    <w:rsid w:val="99F6E95A"/>
    <w:rsid w:val="9BA4A8C1"/>
    <w:rsid w:val="9BBAF084"/>
    <w:rsid w:val="9BBF0F15"/>
    <w:rsid w:val="9CBB2022"/>
    <w:rsid w:val="9D7D37DB"/>
    <w:rsid w:val="9DDFB429"/>
    <w:rsid w:val="9DECCAAE"/>
    <w:rsid w:val="9E6C575C"/>
    <w:rsid w:val="9E7DAF31"/>
    <w:rsid w:val="9EFEB6F3"/>
    <w:rsid w:val="9F46A85B"/>
    <w:rsid w:val="9F9F4E23"/>
    <w:rsid w:val="9FF37102"/>
    <w:rsid w:val="A3DC6743"/>
    <w:rsid w:val="A5FFB418"/>
    <w:rsid w:val="A77B9574"/>
    <w:rsid w:val="A7E5C6C2"/>
    <w:rsid w:val="A7F79325"/>
    <w:rsid w:val="ABCF09DB"/>
    <w:rsid w:val="ABDFC45A"/>
    <w:rsid w:val="ACF3E730"/>
    <w:rsid w:val="ADFE9492"/>
    <w:rsid w:val="AF3DB43C"/>
    <w:rsid w:val="AFB31BA7"/>
    <w:rsid w:val="AFB6BD5D"/>
    <w:rsid w:val="AFE316E2"/>
    <w:rsid w:val="AFE5F6DC"/>
    <w:rsid w:val="AFFA3345"/>
    <w:rsid w:val="B0F51E3C"/>
    <w:rsid w:val="B3BDC815"/>
    <w:rsid w:val="B3C71C09"/>
    <w:rsid w:val="B4E650A8"/>
    <w:rsid w:val="B56CC7BE"/>
    <w:rsid w:val="B5EE6F69"/>
    <w:rsid w:val="B65CC131"/>
    <w:rsid w:val="B67F0064"/>
    <w:rsid w:val="B6ABD9A6"/>
    <w:rsid w:val="B6BF5EE1"/>
    <w:rsid w:val="B77D552F"/>
    <w:rsid w:val="B7DD248C"/>
    <w:rsid w:val="B7FC8552"/>
    <w:rsid w:val="B8E1AAA9"/>
    <w:rsid w:val="B8F6058C"/>
    <w:rsid w:val="B986AC27"/>
    <w:rsid w:val="BA0F9BCF"/>
    <w:rsid w:val="BA6734BC"/>
    <w:rsid w:val="BB5FCBEB"/>
    <w:rsid w:val="BB7DA8F8"/>
    <w:rsid w:val="BBA677F4"/>
    <w:rsid w:val="BBAEC534"/>
    <w:rsid w:val="BBF42C87"/>
    <w:rsid w:val="BBF66CB7"/>
    <w:rsid w:val="BBFF7D50"/>
    <w:rsid w:val="BCFB350D"/>
    <w:rsid w:val="BD6F08BC"/>
    <w:rsid w:val="BD7613DE"/>
    <w:rsid w:val="BD799035"/>
    <w:rsid w:val="BDB34D59"/>
    <w:rsid w:val="BDFE897F"/>
    <w:rsid w:val="BDFF9CAB"/>
    <w:rsid w:val="BE7F784C"/>
    <w:rsid w:val="BEC7BCD1"/>
    <w:rsid w:val="BEDF4799"/>
    <w:rsid w:val="BEF6A8D9"/>
    <w:rsid w:val="BF3ED0DB"/>
    <w:rsid w:val="BF4F88E5"/>
    <w:rsid w:val="BF5F99B0"/>
    <w:rsid w:val="BF7741D9"/>
    <w:rsid w:val="BF7F8041"/>
    <w:rsid w:val="BFB72D65"/>
    <w:rsid w:val="BFC34914"/>
    <w:rsid w:val="BFEEEF8D"/>
    <w:rsid w:val="BFFD99F7"/>
    <w:rsid w:val="BFFDE95C"/>
    <w:rsid w:val="BFFF2A97"/>
    <w:rsid w:val="BFFFC7C2"/>
    <w:rsid w:val="C3FB1781"/>
    <w:rsid w:val="C56D08BE"/>
    <w:rsid w:val="C6F1067C"/>
    <w:rsid w:val="C7FF7A7B"/>
    <w:rsid w:val="C7FF7F65"/>
    <w:rsid w:val="CBFE3CE0"/>
    <w:rsid w:val="CD7F3712"/>
    <w:rsid w:val="CDBBFF0E"/>
    <w:rsid w:val="CEFF246B"/>
    <w:rsid w:val="CFCFE699"/>
    <w:rsid w:val="D2CD0255"/>
    <w:rsid w:val="D2FFD582"/>
    <w:rsid w:val="D3FFE0F3"/>
    <w:rsid w:val="D4EE5207"/>
    <w:rsid w:val="D5F31EFA"/>
    <w:rsid w:val="D61EEE53"/>
    <w:rsid w:val="D6D6A462"/>
    <w:rsid w:val="D6EEFDB1"/>
    <w:rsid w:val="D6FFFF9C"/>
    <w:rsid w:val="D77CA067"/>
    <w:rsid w:val="D7ED12C7"/>
    <w:rsid w:val="D7EE287C"/>
    <w:rsid w:val="D7FD5E35"/>
    <w:rsid w:val="D7FEE529"/>
    <w:rsid w:val="D9575A01"/>
    <w:rsid w:val="D9F50ECF"/>
    <w:rsid w:val="D9F734CF"/>
    <w:rsid w:val="DB5DEAC7"/>
    <w:rsid w:val="DB5ECC0D"/>
    <w:rsid w:val="DB9C9920"/>
    <w:rsid w:val="DC3C7E50"/>
    <w:rsid w:val="DCEF4781"/>
    <w:rsid w:val="DCFE0C76"/>
    <w:rsid w:val="DD5BA32F"/>
    <w:rsid w:val="DDBF968F"/>
    <w:rsid w:val="DDDE2BFB"/>
    <w:rsid w:val="DE37371F"/>
    <w:rsid w:val="DECFA169"/>
    <w:rsid w:val="DF6D50CA"/>
    <w:rsid w:val="DF77486B"/>
    <w:rsid w:val="DFCF2317"/>
    <w:rsid w:val="DFE5FE3E"/>
    <w:rsid w:val="DFEFBAAB"/>
    <w:rsid w:val="E2FF7F90"/>
    <w:rsid w:val="E35E7BC7"/>
    <w:rsid w:val="E5C79B1A"/>
    <w:rsid w:val="E5FB3CBE"/>
    <w:rsid w:val="E66FFDC6"/>
    <w:rsid w:val="E677C558"/>
    <w:rsid w:val="E7D38E52"/>
    <w:rsid w:val="E7DA4D08"/>
    <w:rsid w:val="E7DF8D10"/>
    <w:rsid w:val="E7E5322F"/>
    <w:rsid w:val="E7FD22AF"/>
    <w:rsid w:val="E7FE7774"/>
    <w:rsid w:val="E7FFBF5B"/>
    <w:rsid w:val="E9E75595"/>
    <w:rsid w:val="EA70E4C9"/>
    <w:rsid w:val="EADF4519"/>
    <w:rsid w:val="EAEBF10C"/>
    <w:rsid w:val="EB77C3A3"/>
    <w:rsid w:val="EB7FE7B8"/>
    <w:rsid w:val="EBDE5F8D"/>
    <w:rsid w:val="EBDEF05C"/>
    <w:rsid w:val="EBF54915"/>
    <w:rsid w:val="EBFD9090"/>
    <w:rsid w:val="EBFDAD5A"/>
    <w:rsid w:val="EBFFA91E"/>
    <w:rsid w:val="ED57AC8E"/>
    <w:rsid w:val="ED6D080A"/>
    <w:rsid w:val="ED8754F8"/>
    <w:rsid w:val="EDF32766"/>
    <w:rsid w:val="EDFA51DF"/>
    <w:rsid w:val="EEBBDB6F"/>
    <w:rsid w:val="EEBF9EDB"/>
    <w:rsid w:val="EEDF10A5"/>
    <w:rsid w:val="EEF39F8F"/>
    <w:rsid w:val="EEFBF22C"/>
    <w:rsid w:val="EEFFD943"/>
    <w:rsid w:val="EF2DBDF6"/>
    <w:rsid w:val="EF3D9DE3"/>
    <w:rsid w:val="EF5F018F"/>
    <w:rsid w:val="EF689563"/>
    <w:rsid w:val="EF7BFB63"/>
    <w:rsid w:val="EF7F18A0"/>
    <w:rsid w:val="EF7FB9EA"/>
    <w:rsid w:val="EFBF24D4"/>
    <w:rsid w:val="EFBF4447"/>
    <w:rsid w:val="EFD7732E"/>
    <w:rsid w:val="EFDB1F89"/>
    <w:rsid w:val="EFDC1B5C"/>
    <w:rsid w:val="EFDF04DB"/>
    <w:rsid w:val="EFEF8D91"/>
    <w:rsid w:val="EFF31B10"/>
    <w:rsid w:val="EFF74AC2"/>
    <w:rsid w:val="EFFB4226"/>
    <w:rsid w:val="EFFDA912"/>
    <w:rsid w:val="EFFE9DC3"/>
    <w:rsid w:val="EFFF7D88"/>
    <w:rsid w:val="F1FF6580"/>
    <w:rsid w:val="F35FE378"/>
    <w:rsid w:val="F37E961D"/>
    <w:rsid w:val="F3C85B26"/>
    <w:rsid w:val="F3E75B31"/>
    <w:rsid w:val="F3FFF7EC"/>
    <w:rsid w:val="F41F319E"/>
    <w:rsid w:val="F4FDE03D"/>
    <w:rsid w:val="F5CF4522"/>
    <w:rsid w:val="F5FEC9F3"/>
    <w:rsid w:val="F5FF5F19"/>
    <w:rsid w:val="F66F5B43"/>
    <w:rsid w:val="F6AD248D"/>
    <w:rsid w:val="F6E9EFE8"/>
    <w:rsid w:val="F6EE51FE"/>
    <w:rsid w:val="F6FF76C7"/>
    <w:rsid w:val="F7535D68"/>
    <w:rsid w:val="F76D9F73"/>
    <w:rsid w:val="F7B187D2"/>
    <w:rsid w:val="F7B9E7F3"/>
    <w:rsid w:val="F7CB9F97"/>
    <w:rsid w:val="F7DD84F3"/>
    <w:rsid w:val="F7FABE06"/>
    <w:rsid w:val="F7FC842C"/>
    <w:rsid w:val="F7FE4694"/>
    <w:rsid w:val="F7FF8233"/>
    <w:rsid w:val="F7FFAD7F"/>
    <w:rsid w:val="F873E307"/>
    <w:rsid w:val="F8B32E11"/>
    <w:rsid w:val="F8EFD2D1"/>
    <w:rsid w:val="F95FCB82"/>
    <w:rsid w:val="F976C94E"/>
    <w:rsid w:val="F9A3F5EA"/>
    <w:rsid w:val="FA131D1C"/>
    <w:rsid w:val="FA4F7411"/>
    <w:rsid w:val="FA73C2B7"/>
    <w:rsid w:val="FAF28680"/>
    <w:rsid w:val="FB72B02D"/>
    <w:rsid w:val="FB7FF266"/>
    <w:rsid w:val="FB9D5ECC"/>
    <w:rsid w:val="FBB7178E"/>
    <w:rsid w:val="FBB89162"/>
    <w:rsid w:val="FBBF7286"/>
    <w:rsid w:val="FBDDA26E"/>
    <w:rsid w:val="FBEC9E46"/>
    <w:rsid w:val="FBF97339"/>
    <w:rsid w:val="FBFB8801"/>
    <w:rsid w:val="FBFBEE6B"/>
    <w:rsid w:val="FC533C9A"/>
    <w:rsid w:val="FCB90633"/>
    <w:rsid w:val="FCBFCD4D"/>
    <w:rsid w:val="FCDB521E"/>
    <w:rsid w:val="FCDF6A7B"/>
    <w:rsid w:val="FCFA5F5C"/>
    <w:rsid w:val="FCFF1DA0"/>
    <w:rsid w:val="FD27F82E"/>
    <w:rsid w:val="FD3BB4DF"/>
    <w:rsid w:val="FD75FA38"/>
    <w:rsid w:val="FD7DC2AA"/>
    <w:rsid w:val="FD7F4391"/>
    <w:rsid w:val="FD9A6CAE"/>
    <w:rsid w:val="FDB942D4"/>
    <w:rsid w:val="FDCD5097"/>
    <w:rsid w:val="FDDE8D0F"/>
    <w:rsid w:val="FDE83F6C"/>
    <w:rsid w:val="FDF1EDC3"/>
    <w:rsid w:val="FDF3AD2A"/>
    <w:rsid w:val="FDFBFB3F"/>
    <w:rsid w:val="FDFC2CA2"/>
    <w:rsid w:val="FDFF7305"/>
    <w:rsid w:val="FDFFABA1"/>
    <w:rsid w:val="FE6F285F"/>
    <w:rsid w:val="FE7B5E19"/>
    <w:rsid w:val="FE7D352D"/>
    <w:rsid w:val="FE7F6297"/>
    <w:rsid w:val="FEAEB067"/>
    <w:rsid w:val="FEB3EF85"/>
    <w:rsid w:val="FEBFE814"/>
    <w:rsid w:val="FEE5A478"/>
    <w:rsid w:val="FEE7D97C"/>
    <w:rsid w:val="FEEA245C"/>
    <w:rsid w:val="FEF54C98"/>
    <w:rsid w:val="FF0FEF9E"/>
    <w:rsid w:val="FF1B386E"/>
    <w:rsid w:val="FF2F6D7A"/>
    <w:rsid w:val="FF38A2C6"/>
    <w:rsid w:val="FF4B9F60"/>
    <w:rsid w:val="FF4F0DEE"/>
    <w:rsid w:val="FF5B1469"/>
    <w:rsid w:val="FF5F5B37"/>
    <w:rsid w:val="FF6B038C"/>
    <w:rsid w:val="FF6FEB50"/>
    <w:rsid w:val="FF79BBDE"/>
    <w:rsid w:val="FF7B149C"/>
    <w:rsid w:val="FF7DB9CC"/>
    <w:rsid w:val="FF7F3E12"/>
    <w:rsid w:val="FF7F9D25"/>
    <w:rsid w:val="FF9547A6"/>
    <w:rsid w:val="FFA7491D"/>
    <w:rsid w:val="FFAE8C86"/>
    <w:rsid w:val="FFBAA9A9"/>
    <w:rsid w:val="FFBB5B17"/>
    <w:rsid w:val="FFBE389E"/>
    <w:rsid w:val="FFCCC329"/>
    <w:rsid w:val="FFCFBBAD"/>
    <w:rsid w:val="FFD3C1D0"/>
    <w:rsid w:val="FFDB6646"/>
    <w:rsid w:val="FFDB8C80"/>
    <w:rsid w:val="FFEB3290"/>
    <w:rsid w:val="FFED208E"/>
    <w:rsid w:val="FFEF3EC4"/>
    <w:rsid w:val="FFEF4A5E"/>
    <w:rsid w:val="FFEFDD17"/>
    <w:rsid w:val="FFF5FA12"/>
    <w:rsid w:val="FFF70989"/>
    <w:rsid w:val="FFF71BB0"/>
    <w:rsid w:val="FFF75BAB"/>
    <w:rsid w:val="FFF76B7E"/>
    <w:rsid w:val="FFF7D5E4"/>
    <w:rsid w:val="FFFD44C6"/>
    <w:rsid w:val="FFFD9346"/>
    <w:rsid w:val="FFFD9679"/>
    <w:rsid w:val="FFFE73E5"/>
    <w:rsid w:val="FFFEDC37"/>
    <w:rsid w:val="FFFF4E2C"/>
    <w:rsid w:val="FFFF8C11"/>
    <w:rsid w:val="FFFFA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rPr>
      <w:rFonts w:ascii="仿宋_GB2312" w:hAnsi="仿宋_GB231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99"/>
  </w:style>
  <w:style w:type="paragraph" w:customStyle="1" w:styleId="12">
    <w:name w:val="9金控 正文"/>
    <w:basedOn w:val="1"/>
    <w:qFormat/>
    <w:uiPriority w:val="0"/>
    <w:pPr>
      <w:spacing w:line="560" w:lineRule="exact"/>
      <w:ind w:firstLine="640" w:firstLineChars="200"/>
    </w:pPr>
    <w:rPr>
      <w:rFonts w:ascii="仿宋" w:hAnsi="仿宋" w:cs="Arial"/>
      <w:szCs w:val="32"/>
    </w:rPr>
  </w:style>
  <w:style w:type="paragraph" w:styleId="13">
    <w:name w:val="List Paragraph"/>
    <w:basedOn w:val="1"/>
    <w:qFormat/>
    <w:uiPriority w:val="99"/>
    <w:pPr>
      <w:ind w:firstLine="420" w:firstLineChars="200"/>
    </w:p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722</Words>
  <Characters>4118</Characters>
  <Lines>34</Lines>
  <Paragraphs>9</Paragraphs>
  <TotalTime>9</TotalTime>
  <ScaleCrop>false</ScaleCrop>
  <LinksUpToDate>false</LinksUpToDate>
  <CharactersWithSpaces>4831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2022-05-05T00:07:00Z</dcterms:created>
  <dc:creator>林瑗</dc:creator>
  <cp:lastModifiedBy>芮凯</cp:lastModifiedBy>
  <cp:lastPrinted>2022-05-21T06:13:00Z</cp:lastPrinted>
  <dcterms:modified xsi:type="dcterms:W3CDTF">2022-05-29T18:19:51Z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