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560" w:lineRule="exact"/>
        <w:rPr>
          <w:rFonts w:hint="eastAsia" w:ascii="黑体" w:hAnsi="黑体" w:eastAsia="黑体"/>
          <w:color w:val="000000"/>
          <w:sz w:val="32"/>
          <w:szCs w:val="32"/>
          <w:lang w:eastAsia="zh-CN"/>
        </w:rPr>
      </w:pPr>
      <w:r>
        <w:rPr>
          <w:rFonts w:hint="eastAsia" w:ascii="黑体" w:hAnsi="黑体" w:eastAsia="黑体"/>
          <w:color w:val="000000"/>
          <w:sz w:val="32"/>
          <w:szCs w:val="32"/>
        </w:rPr>
        <w:t>附件1</w:t>
      </w:r>
    </w:p>
    <w:p>
      <w:pPr>
        <w:pStyle w:val="11"/>
        <w:spacing w:before="0" w:beforeAutospacing="0" w:after="0" w:afterAutospacing="0" w:line="560" w:lineRule="exact"/>
        <w:jc w:val="center"/>
        <w:rPr>
          <w:rFonts w:hint="eastAsia" w:ascii="方正小标宋简体" w:hAnsi="仿宋" w:eastAsia="方正小标宋简体" w:cs="仿宋_GB2312"/>
          <w:sz w:val="44"/>
          <w:szCs w:val="32"/>
        </w:rPr>
      </w:pP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深圳市专业应急救援队伍管理办法</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CESI楷体-GB2312" w:hAnsi="CESI楷体-GB2312" w:eastAsia="CESI楷体-GB2312" w:cs="CESI楷体-GB2312"/>
          <w:b w:val="0"/>
          <w:bCs/>
          <w:color w:val="000000"/>
          <w:kern w:val="0"/>
          <w:sz w:val="32"/>
          <w:szCs w:val="32"/>
          <w:lang w:val="en-US" w:eastAsia="zh-CN" w:bidi="ar-SA"/>
        </w:rPr>
      </w:pPr>
      <w:r>
        <w:rPr>
          <w:rFonts w:hint="eastAsia" w:ascii="CESI楷体-GB2312" w:hAnsi="CESI楷体-GB2312" w:eastAsia="CESI楷体-GB2312" w:cs="CESI楷体-GB2312"/>
          <w:b w:val="0"/>
          <w:bCs/>
          <w:color w:val="000000"/>
          <w:kern w:val="0"/>
          <w:sz w:val="32"/>
          <w:szCs w:val="32"/>
          <w:lang w:val="en-US" w:eastAsia="zh-CN" w:bidi="ar-SA"/>
        </w:rPr>
        <w:t>（征求意见稿）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楷体-GB2312" w:hAnsi="CESI楷体-GB2312" w:eastAsia="CESI楷体-GB2312" w:cs="CESI楷体-GB2312"/>
          <w:b w:val="0"/>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color w:val="000000"/>
        </w:rPr>
      </w:pPr>
      <w:r>
        <w:rPr>
          <w:rFonts w:hint="eastAsia" w:ascii="黑体" w:hAnsi="黑体" w:eastAsia="黑体" w:cs="黑体"/>
          <w:color w:val="000000"/>
        </w:rPr>
        <w:t>第一章  总    则</w:t>
      </w:r>
    </w:p>
    <w:p>
      <w:pPr>
        <w:pStyle w:val="5"/>
        <w:keepNext w:val="0"/>
        <w:keepLines w:val="0"/>
        <w:pageBreakBefore w:val="0"/>
        <w:kinsoku/>
        <w:wordWrap/>
        <w:overflowPunct/>
        <w:topLinePunct w:val="0"/>
        <w:autoSpaceDE/>
        <w:autoSpaceDN/>
        <w:bidi w:val="0"/>
        <w:adjustRightInd/>
        <w:snapToGrid/>
        <w:spacing w:line="560" w:lineRule="exact"/>
        <w:ind w:firstLine="640"/>
        <w:textAlignment w:val="auto"/>
        <w:rPr>
          <w:color w:val="000000"/>
          <w:szCs w:val="32"/>
        </w:rPr>
      </w:pP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第一条【目的依据】</w:t>
      </w:r>
      <w:r>
        <w:rPr>
          <w:rFonts w:hint="eastAsia" w:ascii="仿宋_GB2312" w:hAnsi="仿宋_GB2312" w:cs="仿宋_GB2312"/>
          <w:bCs/>
          <w:color w:val="000000"/>
          <w:szCs w:val="32"/>
        </w:rPr>
        <w:t xml:space="preserve">  为规范和加强全市专业应急救援队伍建设和管理，提高应对各类突发事件的应急救援能力，依据《中华人民共和国突发事件应对法》《生产安全事故应急条例》《广东省突发事件应对条例》《广东省应急救援队伍“四个统一”建设工作指引》及有关法律法规和文件，制定本办法。</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第二条【适用范围】</w:t>
      </w:r>
      <w:r>
        <w:rPr>
          <w:rFonts w:hint="eastAsia" w:ascii="仿宋_GB2312" w:hAnsi="仿宋_GB2312" w:cs="仿宋_GB2312"/>
          <w:bCs/>
          <w:color w:val="000000"/>
          <w:szCs w:val="32"/>
        </w:rPr>
        <w:t xml:space="preserve">  本市专业应急救援队伍的建设、认定与考核、调度与救援、保障等工作，适用本办法。</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本办法所称专业应急救援队伍，是指市、区两级人民政府（含新区管委会、特别合作区管委会，下同）各有关部门、中直或省直驻深各单位（以下简称主管部门）依托有条件的企事业单位组建（以下简称组建单位），承担本行业、本领域突发事件以及跨灾种突发事件应急救援任务的应急救援队伍。</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第三条【管理原则】</w:t>
      </w:r>
      <w:r>
        <w:rPr>
          <w:rFonts w:hint="eastAsia" w:ascii="仿宋_GB2312" w:hAnsi="仿宋_GB2312" w:cs="仿宋_GB2312"/>
          <w:bCs/>
          <w:color w:val="000000"/>
          <w:szCs w:val="32"/>
        </w:rPr>
        <w:t xml:space="preserve">  专业应急救援队伍的管理遵循统一领导、分类负责，管理规范、保障有力，训练有素、反应灵敏，协调有序、处置高效的原则。</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第四条【职责分工】</w:t>
      </w:r>
      <w:r>
        <w:rPr>
          <w:rFonts w:hint="eastAsia" w:ascii="仿宋_GB2312" w:hAnsi="仿宋_GB2312" w:cs="仿宋_GB2312"/>
          <w:bCs/>
          <w:color w:val="000000"/>
          <w:szCs w:val="32"/>
        </w:rPr>
        <w:t xml:space="preserve">  市、区两级突发事件应急委员会办公室（以下简称应急委办）负责本级专业应急救援队伍的统筹管理工作。工业和信息化、生态环境、住房建设、交通运输、水务、应急管理、市场监管、通信、海事等相关部门按照各自应急职责负责本行业、本领域专业应急救援队伍的建设管理工作。</w:t>
      </w:r>
    </w:p>
    <w:p>
      <w:pPr>
        <w:pStyle w:val="5"/>
        <w:spacing w:line="560" w:lineRule="exact"/>
        <w:ind w:firstLine="640"/>
        <w:rPr>
          <w:color w:val="000000"/>
          <w:szCs w:val="32"/>
        </w:rPr>
      </w:pPr>
    </w:p>
    <w:p>
      <w:pPr>
        <w:jc w:val="center"/>
        <w:rPr>
          <w:rFonts w:ascii="黑体" w:hAnsi="黑体" w:eastAsia="黑体" w:cs="黑体"/>
          <w:color w:val="000000"/>
        </w:rPr>
      </w:pPr>
      <w:r>
        <w:rPr>
          <w:rFonts w:hint="eastAsia" w:ascii="黑体" w:hAnsi="黑体" w:eastAsia="黑体" w:cs="黑体"/>
          <w:color w:val="000000"/>
        </w:rPr>
        <w:t>第二章  队伍建设</w:t>
      </w:r>
    </w:p>
    <w:p>
      <w:pPr>
        <w:pStyle w:val="5"/>
        <w:spacing w:line="560" w:lineRule="exact"/>
        <w:ind w:firstLine="640"/>
        <w:rPr>
          <w:color w:val="000000"/>
          <w:szCs w:val="32"/>
        </w:rPr>
      </w:pP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第五条【队伍建设职责】</w:t>
      </w:r>
      <w:r>
        <w:rPr>
          <w:rFonts w:hint="eastAsia" w:ascii="仿宋_GB2312" w:hAnsi="仿宋_GB2312" w:cs="仿宋_GB2312"/>
          <w:bCs/>
          <w:color w:val="000000"/>
          <w:szCs w:val="32"/>
        </w:rPr>
        <w:t xml:space="preserve">  主管部门应根据突发事件应急工作需要，明确本行业、本领域专业应急救援队伍的建设目标、工作任务和能力要求，监督指导组建单位落实专业应急救援队伍的建设任务。</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第六条【队伍建设基本要求</w:t>
      </w:r>
      <w:r>
        <w:rPr>
          <w:rFonts w:hint="eastAsia" w:ascii="仿宋_GB2312" w:hAnsi="仿宋_GB2312" w:cs="仿宋_GB2312"/>
          <w:bCs/>
          <w:color w:val="000000"/>
          <w:szCs w:val="32"/>
        </w:rPr>
        <w:t>】  专业应急救援队伍应具备的基本条件：</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（一）具有统一的队伍标识、服装、队旗等。</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（二）配备必要的基础设施，满足日常办公、值守备勤和训练培训的需要。</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（三）建立健全生活作息、值班备勤、内务管理、学习训练、车辆装备管理、安全管理、奖惩规定等管理制度。</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（四）建立健全应急预案和行动方案，完善专业应急救援处置、安全防护技术、应急装备安全操作等规程。</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（五）队伍政治能力、指挥能力、作战能力、管理能力和科技能力达到标准要求。</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（六）市级专业应急救援队伍每队不少于20人，区级专业应急救援队伍每队不少于10人。</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（七）主要负责人及管理人员应具有相关专业本科及以上学历或工程师及以上职称，并至少具有3年相关行业领域专业技术和管理工作经历。</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（八）应急队员应熟练掌握相关专业知识和救援技能，具备良好的身体素质和心理素质。</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（九）按照本行业、本领域风险特征及实际应急工作需要，配备相应的应急救援装备和物资。</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第七条【队伍基本职责】</w:t>
      </w:r>
      <w:r>
        <w:rPr>
          <w:rFonts w:hint="eastAsia" w:ascii="仿宋_GB2312" w:hAnsi="仿宋_GB2312" w:cs="仿宋_GB2312"/>
          <w:bCs/>
          <w:color w:val="000000"/>
          <w:szCs w:val="32"/>
        </w:rPr>
        <w:t xml:space="preserve">  专业应急救援队伍的基本职责：</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（一）组织值班备勤、训练培训和应急演练。</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（二）参加突发事件应急救援与处置工作。</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（三）参与社会公众应急知识科普宣教活动。</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（四）完成主管部门安排的其他工作。</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第八条【队伍培训内容】  队伍培训分为共同科目和专业科目两大类。其中：</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共同科目包括思想政治教育、共同训练、体能训练3个部分，参照《广东省应急救援队伍教育训练大纲（试行)》（以下简称大纲）执行。</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专业科目可参考大纲并根据本行业、本领域应急救援需求确定。培训的主要内容应包括：</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（一）有关应急救援的法律、法规、规章和相关应急预案。</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（二）应急救援装备、器材的使用及个人自救互救知识。</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（三）与应急救援需求相适应的专业应急处置技能。</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（四）本行业、本领域内突发事件应急救援相关案例。</w:t>
      </w:r>
    </w:p>
    <w:p>
      <w:pPr>
        <w:pStyle w:val="5"/>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szCs w:val="32"/>
        </w:rPr>
        <w:t>（五）其他必要的应急知识。</w:t>
      </w:r>
    </w:p>
    <w:p>
      <w:pPr>
        <w:pStyle w:val="5"/>
        <w:spacing w:line="560" w:lineRule="exact"/>
        <w:ind w:firstLine="640" w:firstLineChars="200"/>
        <w:rPr>
          <w:rFonts w:ascii="仿宋_GB2312" w:hAnsi="仿宋_GB2312" w:cs="仿宋_GB2312"/>
          <w:bCs/>
          <w:color w:val="000000"/>
          <w:szCs w:val="32"/>
        </w:rPr>
      </w:pPr>
      <w:r>
        <w:rPr>
          <w:rStyle w:val="19"/>
          <w:rFonts w:hint="eastAsia" w:ascii="仿宋_GB2312" w:hAnsi="仿宋_GB2312" w:cs="仿宋_GB2312"/>
          <w:b w:val="0"/>
          <w:bCs/>
          <w:color w:val="000000"/>
          <w:szCs w:val="32"/>
        </w:rPr>
        <w:t>第九条【训练演练】</w:t>
      </w:r>
      <w:r>
        <w:rPr>
          <w:rFonts w:hint="eastAsia" w:ascii="仿宋_GB2312" w:hAnsi="仿宋_GB2312" w:cs="仿宋_GB2312"/>
          <w:bCs/>
          <w:color w:val="000000"/>
          <w:szCs w:val="32"/>
        </w:rPr>
        <w:t xml:space="preserve">  专业应急救援队伍应定期组织开展针对性训练，不断提升专业救援能力；结合队伍应急预案编制情况，每季度至少组织或参加1次实战演练，并对演练进行总结评估。</w:t>
      </w:r>
    </w:p>
    <w:p>
      <w:pPr>
        <w:pStyle w:val="5"/>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第十条【队伍备案】  组建单位应及时将专业应急救援队伍的建设（调整）情况报送主管部门。</w:t>
      </w:r>
    </w:p>
    <w:p>
      <w:pPr>
        <w:pStyle w:val="5"/>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主管部门应将队伍建设（调整）情况报送同级应急委办备案，并依法向社会公布。</w:t>
      </w:r>
    </w:p>
    <w:p>
      <w:pPr>
        <w:pStyle w:val="5"/>
        <w:spacing w:line="560" w:lineRule="exact"/>
        <w:ind w:firstLine="640"/>
        <w:rPr>
          <w:color w:val="000000"/>
          <w:szCs w:val="32"/>
        </w:rPr>
      </w:pPr>
    </w:p>
    <w:p>
      <w:pPr>
        <w:jc w:val="center"/>
        <w:rPr>
          <w:rFonts w:ascii="黑体" w:hAnsi="黑体" w:eastAsia="黑体" w:cs="黑体"/>
          <w:color w:val="000000"/>
        </w:rPr>
      </w:pPr>
      <w:r>
        <w:rPr>
          <w:rFonts w:hint="eastAsia" w:ascii="黑体" w:hAnsi="黑体" w:eastAsia="黑体" w:cs="黑体"/>
          <w:color w:val="000000"/>
        </w:rPr>
        <w:t>第三章  队伍认定与考核</w:t>
      </w:r>
    </w:p>
    <w:p>
      <w:pPr>
        <w:pStyle w:val="5"/>
        <w:spacing w:line="560" w:lineRule="exact"/>
        <w:rPr>
          <w:rStyle w:val="19"/>
          <w:color w:val="000000"/>
          <w:szCs w:val="32"/>
        </w:rPr>
      </w:pP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 xml:space="preserve">第十一条【队伍认定】  </w:t>
      </w:r>
      <w:r>
        <w:rPr>
          <w:rFonts w:hint="eastAsia" w:ascii="仿宋_GB2312" w:hAnsi="仿宋_GB2312" w:cs="仿宋_GB2312"/>
          <w:bCs/>
          <w:color w:val="000000"/>
          <w:szCs w:val="32"/>
        </w:rPr>
        <w:t>专业应急救援队伍实行评选认定制，通过评选认定的队伍纳入专业应急救援队伍体系管理。</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市、区两级应急委办统筹本级专业应急救援队伍认定工作，负责制定本级专业应急救援队伍认定标准和程序（附件1、附件2）。</w:t>
      </w:r>
    </w:p>
    <w:p>
      <w:pPr>
        <w:pStyle w:val="5"/>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主管部门负责组织开展本行业、本领域专业应急救援队伍评选认定工作，成立评定工作小组，选出本行业、本领域专业应急救援队伍，并按要求填写专业应急救援队伍备案表（附件3）向本级应急委办备案。</w:t>
      </w:r>
    </w:p>
    <w:p>
      <w:pPr>
        <w:pStyle w:val="5"/>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第十二条【年度考核】  主管部门应制定本行业、本领域专业应急救援队伍考核标准并组织年度综合考核，将考核结果报送本级应急委办。</w:t>
      </w:r>
    </w:p>
    <w:p>
      <w:pPr>
        <w:pStyle w:val="5"/>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第十三条【动态调整】 考核合格的队伍，继续保留专业应急救援队伍资格；考核不合格的队伍，主管部门责成其限期整改，逾期未整改完成或者整改后仍达不到标准的，取消专业应急救援队伍资格，并报本级应急委办备案。</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第十四条【考核结果运用】</w:t>
      </w:r>
      <w:r>
        <w:rPr>
          <w:rFonts w:hint="eastAsia" w:ascii="仿宋_GB2312" w:hAnsi="仿宋_GB2312" w:cs="仿宋_GB2312"/>
          <w:bCs/>
          <w:color w:val="000000"/>
          <w:szCs w:val="32"/>
        </w:rPr>
        <w:t xml:space="preserve">  对于考核合格且完成救援任务较好的队伍，主管部门可在相关行业领域的市场准入、政府采购等资格审核方面给予队伍组建单位政策倾斜。</w:t>
      </w:r>
    </w:p>
    <w:p>
      <w:pPr>
        <w:pStyle w:val="5"/>
        <w:spacing w:line="560" w:lineRule="exact"/>
        <w:ind w:firstLine="640"/>
        <w:rPr>
          <w:color w:val="000000"/>
          <w:szCs w:val="32"/>
        </w:rPr>
      </w:pPr>
    </w:p>
    <w:p>
      <w:pPr>
        <w:jc w:val="center"/>
        <w:rPr>
          <w:rFonts w:ascii="黑体" w:hAnsi="黑体" w:eastAsia="黑体" w:cs="黑体"/>
          <w:color w:val="000000"/>
        </w:rPr>
      </w:pPr>
      <w:r>
        <w:rPr>
          <w:rFonts w:hint="eastAsia" w:ascii="黑体" w:hAnsi="黑体" w:eastAsia="黑体" w:cs="黑体"/>
          <w:color w:val="000000"/>
        </w:rPr>
        <w:t>第四章  队伍调度与救援</w:t>
      </w:r>
    </w:p>
    <w:p>
      <w:pPr>
        <w:spacing w:line="560" w:lineRule="exact"/>
        <w:ind w:firstLine="640" w:firstLineChars="200"/>
        <w:rPr>
          <w:color w:val="000000"/>
        </w:rPr>
      </w:pPr>
    </w:p>
    <w:p>
      <w:pPr>
        <w:spacing w:line="560" w:lineRule="exact"/>
        <w:ind w:firstLine="640" w:firstLineChars="200"/>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第十五条【指挥平台】  市应急委办依托市应急管理监测预警指挥中心，建立全市专业应急救援队伍信息登记管理平台，完善应急救援队伍信息日常管理。主管部门依托本部门信息化平台，实现本行业、领域专业应急救援队伍的信息化管理，并与市应急管理监测预警指挥中心互联互通。</w:t>
      </w:r>
    </w:p>
    <w:p>
      <w:pPr>
        <w:spacing w:line="560" w:lineRule="exact"/>
        <w:ind w:firstLine="640" w:firstLineChars="200"/>
        <w:rPr>
          <w:rFonts w:hint="eastAsia" w:ascii="仿宋_GB2312" w:hAnsi="仿宋_GB2312" w:cs="仿宋_GB2312"/>
          <w:bCs/>
          <w:color w:val="000000"/>
          <w:lang w:val="en-US" w:eastAsia="zh-CN"/>
        </w:rPr>
      </w:pPr>
      <w:r>
        <w:rPr>
          <w:rStyle w:val="19"/>
          <w:rFonts w:hint="eastAsia" w:ascii="仿宋_GB2312" w:hAnsi="仿宋_GB2312" w:cs="仿宋_GB2312"/>
          <w:b w:val="0"/>
          <w:bCs/>
          <w:color w:val="000000"/>
          <w:szCs w:val="32"/>
        </w:rPr>
        <w:t>第十六条【指挥调度】</w:t>
      </w:r>
      <w:r>
        <w:rPr>
          <w:rFonts w:hint="eastAsia" w:ascii="仿宋_GB2312" w:hAnsi="仿宋_GB2312" w:cs="仿宋_GB2312"/>
          <w:bCs/>
          <w:color w:val="000000"/>
        </w:rPr>
        <w:t xml:space="preserve">  主管部门负责调度本行业、本领域的专业应急救援队伍参与突发事件应急救援与处置；必要时，市、区两级应急委办可直接调度。</w:t>
      </w:r>
      <w:r>
        <w:rPr>
          <w:rFonts w:hint="eastAsia" w:ascii="仿宋_GB2312" w:hAnsi="仿宋_GB2312" w:cs="仿宋_GB2312"/>
          <w:bCs/>
          <w:color w:val="000000"/>
          <w:lang w:val="en-US" w:eastAsia="zh-CN"/>
        </w:rPr>
        <w:t>专业应急救援队伍在履行基本职能的同时，要服从市、区两级应急委办调度，参加跨灾种、跨区域、跨行业、跨单位突发事件的应急处置。主管部门根据上级有关部门的要求，调度本行业、领域专业应急救援队伍参与外省（市、区）应急救援任务时，应当及时向本级应急委办报备。</w:t>
      </w:r>
    </w:p>
    <w:p>
      <w:pPr>
        <w:pStyle w:val="5"/>
        <w:spacing w:line="560" w:lineRule="exact"/>
        <w:rPr>
          <w:rStyle w:val="19"/>
          <w:rFonts w:ascii="仿宋_GB2312" w:hAnsi="仿宋_GB2312" w:cs="仿宋_GB2312"/>
          <w:b w:val="0"/>
          <w:bCs/>
          <w:color w:val="000000"/>
          <w:szCs w:val="32"/>
        </w:rPr>
      </w:pPr>
      <w:r>
        <w:rPr>
          <w:rStyle w:val="19"/>
          <w:rFonts w:hint="eastAsia" w:ascii="仿宋_GB2312" w:hAnsi="仿宋_GB2312" w:cs="仿宋_GB2312"/>
          <w:b w:val="0"/>
          <w:bCs/>
          <w:color w:val="000000"/>
          <w:szCs w:val="32"/>
        </w:rPr>
        <w:t>第十七条【预警待命】  专业应急救援队伍接到预警指令后，应立即进入待命状态，做好参加应急救援工作的准备，加强物资、装备的检查，确保其处于良好状态、随时可以投入正常使用。</w:t>
      </w:r>
    </w:p>
    <w:p>
      <w:pPr>
        <w:spacing w:line="560" w:lineRule="exact"/>
        <w:ind w:firstLine="640" w:firstLineChars="200"/>
        <w:rPr>
          <w:rFonts w:ascii="仿宋_GB2312" w:hAnsi="仿宋_GB2312" w:cs="仿宋_GB2312"/>
          <w:bCs/>
          <w:color w:val="000000"/>
        </w:rPr>
      </w:pPr>
      <w:r>
        <w:rPr>
          <w:rStyle w:val="19"/>
          <w:rFonts w:hint="eastAsia" w:ascii="仿宋_GB2312" w:hAnsi="仿宋_GB2312" w:cs="仿宋_GB2312"/>
          <w:b w:val="0"/>
          <w:bCs/>
          <w:color w:val="000000"/>
          <w:szCs w:val="32"/>
        </w:rPr>
        <w:t>第十八条【队伍响应】</w:t>
      </w:r>
      <w:r>
        <w:rPr>
          <w:rFonts w:hint="eastAsia" w:ascii="仿宋_GB2312" w:hAnsi="仿宋_GB2312" w:cs="仿宋_GB2312"/>
          <w:bCs/>
          <w:color w:val="000000"/>
        </w:rPr>
        <w:t xml:space="preserve">  专业应急救援队伍接到应急救援命令后，应迅速集结调动队伍和装备，第一时间赶赴指定位置。</w:t>
      </w:r>
    </w:p>
    <w:p>
      <w:pPr>
        <w:spacing w:line="560" w:lineRule="exact"/>
        <w:ind w:firstLine="640" w:firstLineChars="200"/>
        <w:rPr>
          <w:rFonts w:ascii="仿宋_GB2312" w:hAnsi="仿宋_GB2312" w:cs="仿宋_GB2312"/>
          <w:bCs/>
          <w:color w:val="000000"/>
        </w:rPr>
      </w:pPr>
      <w:r>
        <w:rPr>
          <w:rStyle w:val="19"/>
          <w:rFonts w:hint="eastAsia" w:ascii="仿宋_GB2312" w:hAnsi="仿宋_GB2312" w:cs="仿宋_GB2312"/>
          <w:b w:val="0"/>
          <w:bCs/>
          <w:color w:val="000000"/>
          <w:szCs w:val="32"/>
        </w:rPr>
        <w:t>第十九条【现场处置】</w:t>
      </w:r>
      <w:r>
        <w:rPr>
          <w:rFonts w:hint="eastAsia" w:ascii="仿宋_GB2312" w:hAnsi="仿宋_GB2312" w:cs="仿宋_GB2312"/>
          <w:bCs/>
          <w:color w:val="000000"/>
        </w:rPr>
        <w:t xml:space="preserve">  专业应急救援队伍抵达现场后，按照命令实施应急救援行动，确保救援人员安全，并及时报告应急救援情况。</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第二十条【救援中止及撤离】</w:t>
      </w:r>
      <w:r>
        <w:rPr>
          <w:rFonts w:hint="eastAsia" w:ascii="仿宋_GB2312" w:hAnsi="仿宋_GB2312" w:cs="仿宋_GB2312"/>
          <w:bCs/>
          <w:color w:val="000000"/>
          <w:szCs w:val="32"/>
        </w:rPr>
        <w:t xml:space="preserve">  专业应急救援队伍在应急救援过程中，应开展现场态势评估；当发现事态发展影响救援人员安全时，应立即中止救援行动，组织救援人员撤离现场或就近避险，并报告现场指挥部。</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第二十一条【救援信息保密】</w:t>
      </w:r>
      <w:r>
        <w:rPr>
          <w:rFonts w:hint="eastAsia" w:ascii="仿宋_GB2312" w:hAnsi="仿宋_GB2312" w:cs="仿宋_GB2312"/>
          <w:bCs/>
          <w:color w:val="000000"/>
          <w:szCs w:val="32"/>
        </w:rPr>
        <w:t xml:space="preserve">  专业应急救援队伍未经批准不得擅自对外发布事件原因、伤亡数字、责任追究等突发事件应急处置工作情况和事态发展信息。</w:t>
      </w: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第二十二条【救援终止与总结】</w:t>
      </w:r>
      <w:r>
        <w:rPr>
          <w:rFonts w:hint="eastAsia" w:ascii="仿宋_GB2312" w:hAnsi="仿宋_GB2312" w:cs="仿宋_GB2312"/>
          <w:bCs/>
          <w:color w:val="000000"/>
          <w:szCs w:val="32"/>
        </w:rPr>
        <w:t xml:space="preserve">  专业应急救援队伍在应急救援结束后，应及时清点人员、装备，经现场指挥部同意后有序撤离，并及时对应急救援工作进行总结评估，做好资料存档。</w:t>
      </w:r>
    </w:p>
    <w:p>
      <w:pPr>
        <w:pStyle w:val="5"/>
        <w:spacing w:line="560" w:lineRule="exact"/>
        <w:ind w:firstLine="640"/>
        <w:rPr>
          <w:rFonts w:ascii="仿宋_GB2312" w:hAnsi="仿宋_GB2312" w:cs="仿宋_GB2312"/>
          <w:bCs/>
          <w:color w:val="000000"/>
          <w:szCs w:val="32"/>
        </w:rPr>
      </w:pPr>
    </w:p>
    <w:p>
      <w:pPr>
        <w:jc w:val="center"/>
        <w:rPr>
          <w:rFonts w:ascii="黑体" w:hAnsi="黑体" w:eastAsia="黑体" w:cs="黑体"/>
          <w:color w:val="000000"/>
        </w:rPr>
      </w:pPr>
      <w:r>
        <w:rPr>
          <w:rFonts w:hint="eastAsia" w:ascii="黑体" w:hAnsi="黑体" w:eastAsia="黑体" w:cs="黑体"/>
          <w:color w:val="000000"/>
        </w:rPr>
        <w:t>第五章  队伍保障</w:t>
      </w:r>
    </w:p>
    <w:p>
      <w:pPr>
        <w:pStyle w:val="5"/>
        <w:spacing w:line="560" w:lineRule="exact"/>
        <w:rPr>
          <w:rStyle w:val="19"/>
          <w:color w:val="000000"/>
          <w:szCs w:val="32"/>
        </w:rPr>
      </w:pPr>
    </w:p>
    <w:p>
      <w:pPr>
        <w:spacing w:line="560" w:lineRule="exact"/>
        <w:ind w:firstLine="640" w:firstLineChars="200"/>
        <w:rPr>
          <w:rFonts w:ascii="仿宋_GB2312" w:hAnsi="仿宋_GB2312" w:cs="仿宋_GB2312"/>
          <w:color w:val="000000"/>
        </w:rPr>
      </w:pPr>
      <w:r>
        <w:rPr>
          <w:rStyle w:val="19"/>
          <w:rFonts w:hint="eastAsia" w:ascii="仿宋_GB2312" w:hAnsi="仿宋_GB2312" w:cs="仿宋_GB2312"/>
          <w:b w:val="0"/>
          <w:color w:val="000000"/>
          <w:szCs w:val="32"/>
        </w:rPr>
        <w:t xml:space="preserve">第二十三条【经费保障】 </w:t>
      </w:r>
      <w:r>
        <w:rPr>
          <w:rFonts w:hint="eastAsia" w:ascii="仿宋_GB2312" w:hAnsi="仿宋_GB2312" w:cs="仿宋_GB2312"/>
          <w:color w:val="000000"/>
        </w:rPr>
        <w:t xml:space="preserve"> </w:t>
      </w:r>
      <w:r>
        <w:rPr>
          <w:rFonts w:hint="eastAsia" w:ascii="仿宋_GB2312" w:hAnsi="仿宋_GB2312" w:cs="仿宋_GB2312"/>
          <w:color w:val="000000"/>
          <w:kern w:val="0"/>
        </w:rPr>
        <w:t>主管部门开展应急工作所需经费纳入同级财政部门预算中予以保障。</w:t>
      </w:r>
    </w:p>
    <w:p>
      <w:pPr>
        <w:spacing w:line="560" w:lineRule="exact"/>
        <w:ind w:firstLine="640" w:firstLineChars="200"/>
        <w:rPr>
          <w:rFonts w:ascii="仿宋_GB2312" w:hAnsi="仿宋_GB2312" w:cs="仿宋_GB2312"/>
          <w:color w:val="000000"/>
        </w:rPr>
      </w:pPr>
      <w:r>
        <w:rPr>
          <w:rStyle w:val="19"/>
          <w:rFonts w:hint="eastAsia" w:ascii="仿宋_GB2312" w:hAnsi="仿宋_GB2312" w:cs="仿宋_GB2312"/>
          <w:b w:val="0"/>
          <w:color w:val="000000"/>
          <w:szCs w:val="32"/>
        </w:rPr>
        <w:t>第二十四条【待遇保障】</w:t>
      </w:r>
      <w:r>
        <w:rPr>
          <w:rFonts w:hint="eastAsia" w:ascii="仿宋_GB2312" w:hAnsi="仿宋_GB2312" w:cs="仿宋_GB2312"/>
          <w:color w:val="000000"/>
        </w:rPr>
        <w:t xml:space="preserve">  组建单位应落实专业应急救援队伍队员的工资、福利、补助、保险等相关待遇，保证队员工资和福利水平不低于企业一线员工并享受相关保险。</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专业应急救援队伍队员在训练培训、应急演练以及执行应急救援任务中受伤、致残或者死亡的，应当按照国家有关规定给予工伤、医疗、抚恤待遇；符合烈士评定条件的，应当按照国家有关规定予以认定。</w:t>
      </w:r>
    </w:p>
    <w:p>
      <w:pPr>
        <w:spacing w:line="560" w:lineRule="exact"/>
        <w:ind w:firstLine="640" w:firstLineChars="200"/>
        <w:rPr>
          <w:rFonts w:ascii="仿宋_GB2312" w:hAnsi="仿宋_GB2312" w:cs="仿宋_GB2312"/>
          <w:color w:val="000000"/>
        </w:rPr>
      </w:pPr>
      <w:r>
        <w:rPr>
          <w:rStyle w:val="19"/>
          <w:rFonts w:hint="eastAsia" w:ascii="仿宋_GB2312" w:hAnsi="仿宋_GB2312" w:cs="仿宋_GB2312"/>
          <w:b w:val="0"/>
          <w:color w:val="000000"/>
          <w:szCs w:val="32"/>
        </w:rPr>
        <w:t>第二十五条【救援费用】</w:t>
      </w:r>
      <w:r>
        <w:rPr>
          <w:rFonts w:hint="eastAsia" w:ascii="仿宋_GB2312" w:hAnsi="仿宋_GB2312" w:cs="仿宋_GB2312"/>
          <w:color w:val="000000"/>
        </w:rPr>
        <w:t xml:space="preserve">  专业应急救援队伍参加突发事件应急救援产生的费用，按照“谁引发、谁负责”“谁使用、谁负责”的原则，存在责任主体的，由调用部门负责向责任主体追缴应付资金；不存在责任主体或无法追缴的，由调用部门在年度经费预算中列支或申请本级政府突发事件应急专项经费。</w:t>
      </w:r>
    </w:p>
    <w:p>
      <w:pPr>
        <w:spacing w:line="560" w:lineRule="exact"/>
        <w:ind w:firstLine="640" w:firstLineChars="200"/>
        <w:rPr>
          <w:rFonts w:ascii="仿宋_GB2312" w:hAnsi="仿宋_GB2312" w:cs="仿宋_GB2312"/>
          <w:color w:val="000000"/>
        </w:rPr>
      </w:pPr>
      <w:r>
        <w:rPr>
          <w:rStyle w:val="19"/>
          <w:rFonts w:hint="eastAsia" w:ascii="仿宋_GB2312" w:hAnsi="仿宋_GB2312" w:cs="仿宋_GB2312"/>
          <w:b w:val="0"/>
          <w:color w:val="000000"/>
          <w:szCs w:val="32"/>
        </w:rPr>
        <w:t xml:space="preserve">第二十六条【装备保障】  </w:t>
      </w:r>
      <w:r>
        <w:rPr>
          <w:rFonts w:hint="eastAsia" w:ascii="仿宋_GB2312" w:hAnsi="仿宋_GB2312" w:cs="仿宋_GB2312"/>
          <w:color w:val="000000"/>
        </w:rPr>
        <w:t>组建单位应根据遂行应急救援任务的需要，配备必要的应急救援装备器材。</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主管部门可根据本行业、本领域应急物资装备储备体系短板，采购先进适用的装备器材，委托专业应急救援队伍管理使用，提升现代化应急救援能力。</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第二十七条【通行保障】  市应急委办协调应急、公安、交通等有关部门建立应急救援车辆通行保障机制，依法落实应急救援车辆执行应急救援任务通行政策，做好相关车辆通行服务保障工作，专业应急救援队伍参加应急救援行动时，可提前向应急委办申报。</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第二十八条【协同机制】  市应急委办协调应急、公安、交通等有关部门建立健全抢险救灾现场管理协同机制，共同加强灾害事故现场及周边道路交通、生命通道和治安秩序保障。</w:t>
      </w:r>
    </w:p>
    <w:p>
      <w:pPr>
        <w:spacing w:line="560" w:lineRule="exact"/>
        <w:ind w:firstLine="640" w:firstLineChars="200"/>
        <w:rPr>
          <w:rFonts w:ascii="仿宋_GB2312" w:hAnsi="仿宋_GB2312" w:cs="仿宋_GB2312"/>
          <w:color w:val="000000"/>
        </w:rPr>
      </w:pPr>
      <w:r>
        <w:rPr>
          <w:rStyle w:val="19"/>
          <w:rFonts w:hint="eastAsia" w:ascii="仿宋_GB2312" w:hAnsi="仿宋_GB2312" w:cs="仿宋_GB2312"/>
          <w:b w:val="0"/>
          <w:color w:val="000000"/>
          <w:szCs w:val="32"/>
        </w:rPr>
        <w:t>第二十九条【奖励】</w:t>
      </w:r>
      <w:r>
        <w:rPr>
          <w:rFonts w:hint="eastAsia" w:ascii="仿宋_GB2312" w:hAnsi="仿宋_GB2312" w:cs="仿宋_GB2312"/>
          <w:color w:val="000000"/>
        </w:rPr>
        <w:t xml:space="preserve">  对在应急救援工作中表现突出、成绩显著的专业应急救援队伍及队员，按照国家、省表彰奖励有关规定给予表彰和奖励。</w:t>
      </w:r>
    </w:p>
    <w:p>
      <w:pPr>
        <w:spacing w:line="560" w:lineRule="exact"/>
        <w:ind w:firstLine="640" w:firstLineChars="200"/>
        <w:rPr>
          <w:rFonts w:hint="eastAsia" w:ascii="仿宋_GB2312" w:hAnsi="仿宋_GB2312" w:cs="仿宋_GB2312"/>
          <w:color w:val="000000"/>
        </w:rPr>
      </w:pPr>
      <w:r>
        <w:rPr>
          <w:rStyle w:val="19"/>
          <w:rFonts w:hint="eastAsia" w:ascii="仿宋_GB2312" w:hAnsi="仿宋_GB2312" w:cs="仿宋_GB2312"/>
          <w:b w:val="0"/>
          <w:color w:val="000000"/>
          <w:szCs w:val="32"/>
        </w:rPr>
        <w:t xml:space="preserve">第三十条【惩罚】 </w:t>
      </w:r>
      <w:r>
        <w:rPr>
          <w:rStyle w:val="19"/>
          <w:rFonts w:ascii="仿宋_GB2312" w:hAnsi="仿宋_GB2312" w:cs="仿宋_GB2312"/>
          <w:b w:val="0"/>
          <w:color w:val="000000"/>
          <w:szCs w:val="32"/>
        </w:rPr>
        <w:t xml:space="preserve"> </w:t>
      </w:r>
      <w:r>
        <w:rPr>
          <w:rFonts w:hint="eastAsia" w:ascii="仿宋_GB2312" w:hAnsi="仿宋_GB2312" w:cs="仿宋_GB2312"/>
          <w:color w:val="000000"/>
        </w:rPr>
        <w:t>有以下情形之一的，根据情节轻重对负有直接责任的主管部门、组建单位相关人员和其他直接责任人员依法依规给予处分：</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一）主管部门未按要求组建本地区、本行业、领域的专业应急救援队伍，或谎报、瞒报、拒报应急救援人员、装备、物资和救援情况，无法按照本级应急委办指令调度专业应急救援队伍或影响任务执行，造成严重后果的；</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（二）组建单位未做好专业应急救援队伍日常管理、未按规定建立执行值班值守制度、未落实应急物资装备保障，或未按要求进行训练演练，导致应急救援行动迟缓，造成严重后果的；</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（三）组建单位截留、挪用、侵占专业应急救援队伍建设经费、物资装备的；</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（四）专业应急救援队伍不服从主管部门或市、区两级应急委办指挥调动，不配合应急救援行动，或救援行动不积极，贻误救援时机，造成严重后果的；</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（五）专业应急救援队伍不按要求向主管部门、现场指挥机构报告信息，或未经允许擅自发布灾害或事故信息，造成严重后果的。</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除上述行为，违反《中华人民共和国突发事件应对法》和《广东省突发事件应对条例》及其他有关规定的，从其规定处理。</w:t>
      </w:r>
    </w:p>
    <w:p>
      <w:pPr>
        <w:spacing w:line="560" w:lineRule="exact"/>
        <w:ind w:firstLine="640" w:firstLineChars="200"/>
        <w:rPr>
          <w:rFonts w:ascii="仿宋_GB2312" w:hAnsi="仿宋_GB2312" w:cs="仿宋_GB2312"/>
          <w:color w:val="000000"/>
        </w:rPr>
      </w:pPr>
    </w:p>
    <w:p>
      <w:pPr>
        <w:jc w:val="center"/>
        <w:rPr>
          <w:rFonts w:ascii="黑体" w:hAnsi="黑体" w:eastAsia="黑体" w:cs="黑体"/>
          <w:color w:val="000000"/>
        </w:rPr>
      </w:pPr>
      <w:r>
        <w:rPr>
          <w:rFonts w:hint="eastAsia" w:ascii="黑体" w:hAnsi="黑体" w:eastAsia="黑体" w:cs="黑体"/>
          <w:color w:val="000000"/>
        </w:rPr>
        <w:t>第六章  附    则</w:t>
      </w:r>
    </w:p>
    <w:p>
      <w:pPr>
        <w:pStyle w:val="5"/>
        <w:spacing w:line="560" w:lineRule="exact"/>
        <w:ind w:firstLine="640"/>
        <w:rPr>
          <w:color w:val="000000"/>
          <w:szCs w:val="32"/>
        </w:rPr>
      </w:pPr>
    </w:p>
    <w:p>
      <w:pPr>
        <w:pStyle w:val="5"/>
        <w:spacing w:line="560" w:lineRule="exact"/>
        <w:rPr>
          <w:rFonts w:ascii="仿宋_GB2312" w:hAnsi="仿宋_GB2312" w:cs="仿宋_GB2312"/>
          <w:bCs/>
          <w:color w:val="000000"/>
          <w:szCs w:val="32"/>
        </w:rPr>
      </w:pPr>
      <w:r>
        <w:rPr>
          <w:rStyle w:val="19"/>
          <w:rFonts w:hint="eastAsia" w:ascii="仿宋_GB2312" w:hAnsi="仿宋_GB2312" w:cs="仿宋_GB2312"/>
          <w:b w:val="0"/>
          <w:bCs/>
          <w:color w:val="000000"/>
          <w:szCs w:val="32"/>
        </w:rPr>
        <w:t>第三十一条【办法解释】</w:t>
      </w:r>
      <w:r>
        <w:rPr>
          <w:rFonts w:hint="eastAsia" w:ascii="仿宋_GB2312" w:hAnsi="仿宋_GB2312" w:cs="仿宋_GB2312"/>
          <w:bCs/>
          <w:color w:val="000000"/>
          <w:szCs w:val="32"/>
        </w:rPr>
        <w:t xml:space="preserve">  本办法由市应急委办负责解释。</w:t>
      </w:r>
    </w:p>
    <w:p>
      <w:pPr>
        <w:pStyle w:val="5"/>
        <w:spacing w:line="560" w:lineRule="exact"/>
        <w:rPr>
          <w:rFonts w:hint="eastAsia" w:ascii="仿宋_GB2312" w:hAnsi="仿宋_GB2312" w:cs="仿宋_GB2312"/>
          <w:bCs/>
          <w:color w:val="000000"/>
          <w:szCs w:val="32"/>
        </w:rPr>
      </w:pPr>
      <w:r>
        <w:rPr>
          <w:rStyle w:val="19"/>
          <w:rFonts w:hint="eastAsia" w:ascii="仿宋_GB2312" w:hAnsi="仿宋_GB2312" w:cs="仿宋_GB2312"/>
          <w:b w:val="0"/>
          <w:bCs/>
          <w:color w:val="000000"/>
          <w:szCs w:val="32"/>
        </w:rPr>
        <w:t>第三十二条【实施日期】</w:t>
      </w:r>
      <w:r>
        <w:rPr>
          <w:rFonts w:hint="eastAsia" w:ascii="仿宋_GB2312" w:hAnsi="仿宋_GB2312" w:cs="仿宋_GB2312"/>
          <w:bCs/>
          <w:color w:val="000000"/>
          <w:szCs w:val="32"/>
        </w:rPr>
        <w:t xml:space="preserve">  本办法自发布之日起实施。</w:t>
      </w:r>
    </w:p>
    <w:p>
      <w:pPr>
        <w:pStyle w:val="5"/>
        <w:spacing w:line="560" w:lineRule="exact"/>
        <w:rPr>
          <w:rFonts w:ascii="仿宋_GB2312" w:hAnsi="仿宋_GB2312" w:cs="仿宋_GB2312"/>
          <w:bCs/>
          <w:color w:val="000000"/>
          <w:szCs w:val="32"/>
        </w:rPr>
        <w:sectPr>
          <w:footerReference r:id="rId3" w:type="default"/>
          <w:pgSz w:w="11906" w:h="16838"/>
          <w:pgMar w:top="2098" w:right="1474" w:bottom="1985" w:left="1588" w:header="851" w:footer="992" w:gutter="0"/>
          <w:pgNumType w:start="2"/>
          <w:cols w:space="720" w:num="1"/>
          <w:docGrid w:linePitch="312" w:charSpace="0"/>
        </w:sectPr>
      </w:pPr>
      <w:r>
        <w:rPr>
          <w:rStyle w:val="19"/>
          <w:rFonts w:hint="eastAsia" w:ascii="仿宋_GB2312" w:hAnsi="仿宋_GB2312" w:cs="仿宋_GB2312"/>
          <w:b w:val="0"/>
          <w:bCs/>
          <w:color w:val="000000"/>
          <w:szCs w:val="32"/>
        </w:rPr>
        <w:t>第三十三条【有效期限】</w:t>
      </w:r>
      <w:r>
        <w:rPr>
          <w:rFonts w:hint="eastAsia" w:ascii="仿宋_GB2312" w:hAnsi="仿宋_GB2312" w:cs="仿宋_GB2312"/>
          <w:bCs/>
          <w:color w:val="000000"/>
          <w:szCs w:val="32"/>
        </w:rPr>
        <w:t xml:space="preserve">  本办法实施有效期为5年。</w:t>
      </w:r>
    </w:p>
    <w:p>
      <w:pPr>
        <w:spacing w:line="520" w:lineRule="exact"/>
        <w:rPr>
          <w:rFonts w:ascii="黑体" w:hAnsi="黑体" w:eastAsia="黑体" w:cs="黑体"/>
          <w:color w:val="000000"/>
        </w:rPr>
      </w:pPr>
      <w:r>
        <w:rPr>
          <w:rFonts w:hint="eastAsia" w:ascii="黑体" w:hAnsi="黑体" w:eastAsia="黑体" w:cs="黑体"/>
          <w:color w:val="000000"/>
        </w:rPr>
        <w:t xml:space="preserve">附件1 </w:t>
      </w:r>
    </w:p>
    <w:p>
      <w:pPr>
        <w:pStyle w:val="2"/>
        <w:spacing w:after="0" w:line="520" w:lineRule="exact"/>
        <w:ind w:left="640" w:firstLine="640"/>
        <w:rPr>
          <w:color w:val="000000"/>
        </w:rPr>
      </w:pPr>
    </w:p>
    <w:p>
      <w:pPr>
        <w:pStyle w:val="20"/>
        <w:spacing w:before="120" w:beforeLines="50" w:after="120" w:afterLines="50" w:line="520" w:lineRule="exact"/>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专业应急救援队伍评选标准</w:t>
      </w:r>
    </w:p>
    <w:tbl>
      <w:tblPr>
        <w:tblStyle w:val="14"/>
        <w:tblW w:w="14175"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2552"/>
        <w:gridCol w:w="2409"/>
        <w:gridCol w:w="4946"/>
        <w:gridCol w:w="1678"/>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527"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黑体" w:hAnsi="黑体" w:eastAsia="黑体" w:cs="黑体"/>
                <w:bCs/>
                <w:sz w:val="24"/>
                <w:szCs w:val="24"/>
              </w:rPr>
              <w:t>项目</w:t>
            </w:r>
          </w:p>
        </w:tc>
        <w:tc>
          <w:tcPr>
            <w:tcW w:w="2552"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黑体" w:hAnsi="黑体" w:eastAsia="黑体" w:cs="黑体"/>
                <w:bCs/>
                <w:sz w:val="24"/>
                <w:szCs w:val="24"/>
              </w:rPr>
              <w:t>主要内容</w:t>
            </w:r>
          </w:p>
        </w:tc>
        <w:tc>
          <w:tcPr>
            <w:tcW w:w="2409"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黑体" w:hAnsi="黑体" w:eastAsia="黑体" w:cs="黑体"/>
                <w:bCs/>
                <w:sz w:val="24"/>
                <w:szCs w:val="24"/>
              </w:rPr>
              <w:t>评分标准</w:t>
            </w:r>
          </w:p>
        </w:tc>
        <w:tc>
          <w:tcPr>
            <w:tcW w:w="4946"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黑体" w:hAnsi="黑体" w:eastAsia="黑体" w:cs="黑体"/>
                <w:bCs/>
                <w:sz w:val="24"/>
                <w:szCs w:val="24"/>
              </w:rPr>
              <w:t>具体要求</w:t>
            </w:r>
          </w:p>
        </w:tc>
        <w:tc>
          <w:tcPr>
            <w:tcW w:w="1678"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黑体" w:hAnsi="黑体" w:eastAsia="黑体" w:cs="黑体"/>
                <w:bCs/>
                <w:sz w:val="24"/>
                <w:szCs w:val="24"/>
              </w:rPr>
              <w:t>评估办法</w:t>
            </w:r>
          </w:p>
        </w:tc>
        <w:tc>
          <w:tcPr>
            <w:tcW w:w="1063"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黑体" w:hAnsi="黑体" w:eastAsia="黑体" w:cs="黑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restart"/>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1.</w:t>
            </w:r>
            <w:r>
              <w:rPr>
                <w:rFonts w:hint="eastAsia" w:ascii="仿宋_GB2312" w:hAnsi="仿宋_GB2312" w:cs="仿宋_GB2312"/>
                <w:sz w:val="24"/>
              </w:rPr>
              <w:t>政治能力(</w:t>
            </w:r>
            <w:r>
              <w:rPr>
                <w:rFonts w:ascii="仿宋_GB2312" w:hAnsi="仿宋_GB2312" w:cs="仿宋_GB2312"/>
                <w:sz w:val="24"/>
              </w:rPr>
              <w:t>10</w:t>
            </w:r>
            <w:r>
              <w:rPr>
                <w:rFonts w:hint="eastAsia" w:ascii="仿宋_GB2312" w:hAnsi="仿宋_GB2312" w:cs="仿宋_GB2312"/>
                <w:sz w:val="24"/>
              </w:rPr>
              <w:t>分)</w:t>
            </w:r>
          </w:p>
        </w:tc>
        <w:tc>
          <w:tcPr>
            <w:tcW w:w="2552"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强化政治建设，加强政治学习，提升政治意识，抓党建、促队建，发挥党组织堡垒作用和党员先锋模范作用，形成浓厚的政治氛围，推动队伍管理和救援实战能力不断提升。</w:t>
            </w: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 xml:space="preserve">1 </w:t>
            </w:r>
            <w:r>
              <w:rPr>
                <w:rFonts w:hint="eastAsia" w:ascii="仿宋_GB2312" w:hAnsi="仿宋_GB2312" w:cs="仿宋_GB2312"/>
                <w:sz w:val="24"/>
              </w:rPr>
              <w:t>组织建设</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加强党组织建设，队伍成立党委（支部)，积极发挥党员先锋模范作用，增强党组织战斗力和凝聚力。设立政治主官，负责党的建设和政治思想教育。</w:t>
            </w:r>
          </w:p>
        </w:tc>
        <w:tc>
          <w:tcPr>
            <w:tcW w:w="1678" w:type="dxa"/>
            <w:vMerge w:val="restart"/>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通过实地查阅政治思想教育和党建台帐资料，组织个别谈话了解和民主评议,考察党组织活动和党建宣传氛围等综合评定。</w:t>
            </w:r>
          </w:p>
        </w:tc>
        <w:tc>
          <w:tcPr>
            <w:tcW w:w="1063"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等线" w:hAnsi="等线" w:eastAsia="等线"/>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jc w:val="center"/>
              <w:rPr>
                <w:rFonts w:ascii="黑体" w:hAnsi="黑体" w:eastAsia="黑体" w:cs="黑体"/>
                <w:bCs/>
                <w:sz w:val="24"/>
                <w:szCs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ascii="仿宋_GB2312" w:hAnsi="仿宋_GB2312" w:cs="仿宋_GB2312"/>
                <w:sz w:val="24"/>
              </w:rPr>
              <w:t>1.</w:t>
            </w:r>
            <w:r>
              <w:rPr>
                <w:rFonts w:hint="eastAsia" w:ascii="仿宋_GB2312" w:hAnsi="仿宋_GB2312" w:cs="仿宋_GB2312"/>
                <w:sz w:val="24"/>
              </w:rPr>
              <w:t>2</w:t>
            </w:r>
            <w:r>
              <w:rPr>
                <w:rFonts w:ascii="仿宋_GB2312" w:hAnsi="仿宋_GB2312" w:cs="仿宋_GB2312"/>
                <w:sz w:val="24"/>
              </w:rPr>
              <w:t xml:space="preserve"> </w:t>
            </w:r>
            <w:r>
              <w:rPr>
                <w:rFonts w:hint="eastAsia" w:ascii="仿宋_GB2312" w:hAnsi="仿宋_GB2312" w:cs="仿宋_GB2312"/>
                <w:sz w:val="24"/>
              </w:rPr>
              <w:t>制度建设</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定期召开党组织会议，开展党建活动，加强党员队伍建设和党内民主建设。</w:t>
            </w:r>
          </w:p>
        </w:tc>
        <w:tc>
          <w:tcPr>
            <w:tcW w:w="1678" w:type="dxa"/>
            <w:vMerge w:val="continue"/>
            <w:noWrap w:val="0"/>
            <w:vAlign w:val="center"/>
          </w:tcPr>
          <w:p>
            <w:pPr>
              <w:adjustRightInd w:val="0"/>
              <w:snapToGrid w:val="0"/>
              <w:spacing w:line="340" w:lineRule="exact"/>
              <w:jc w:val="center"/>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等线" w:hAnsi="等线" w:eastAsia="等线"/>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jc w:val="center"/>
              <w:rPr>
                <w:rFonts w:ascii="黑体" w:hAnsi="黑体" w:eastAsia="黑体" w:cs="黑体"/>
                <w:bCs/>
                <w:sz w:val="24"/>
                <w:szCs w:val="24"/>
              </w:rPr>
            </w:pPr>
          </w:p>
        </w:tc>
        <w:tc>
          <w:tcPr>
            <w:tcW w:w="2552" w:type="dxa"/>
            <w:vMerge w:val="continue"/>
            <w:noWrap w:val="0"/>
            <w:vAlign w:val="center"/>
          </w:tcPr>
          <w:p>
            <w:pPr>
              <w:adjustRightInd w:val="0"/>
              <w:snapToGrid w:val="0"/>
              <w:spacing w:line="340" w:lineRule="exact"/>
              <w:jc w:val="center"/>
              <w:rPr>
                <w:rFonts w:ascii="黑体" w:hAnsi="黑体" w:eastAsia="黑体" w:cs="黑体"/>
                <w:bCs/>
                <w:sz w:val="24"/>
                <w:szCs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ascii="仿宋_GB2312" w:hAnsi="仿宋_GB2312" w:cs="仿宋_GB2312"/>
                <w:sz w:val="24"/>
              </w:rPr>
              <w:t xml:space="preserve">1.3 </w:t>
            </w:r>
            <w:r>
              <w:rPr>
                <w:rFonts w:hint="eastAsia" w:ascii="仿宋_GB2312" w:hAnsi="仿宋_GB2312" w:cs="仿宋_GB2312"/>
                <w:sz w:val="24"/>
              </w:rPr>
              <w:t>政治教育</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加强队伍政治思想教育，加强党的宣传，强化政治引领，做到教育有课件，学习有记录，宣传有氛围。</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黑体" w:hAnsi="黑体" w:eastAsia="黑体" w:cs="黑体"/>
                <w:bCs/>
                <w:sz w:val="24"/>
                <w:szCs w:val="24"/>
              </w:rPr>
            </w:pPr>
            <w:r>
              <w:rPr>
                <w:rFonts w:hint="eastAsia" w:ascii="等线" w:hAnsi="等线" w:eastAsia="等线"/>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指挥能力</w:t>
            </w:r>
            <w:r>
              <w:rPr>
                <w:rFonts w:hint="eastAsia" w:ascii="仿宋_GB2312" w:hAnsi="仿宋_GB2312" w:cs="仿宋_GB2312"/>
                <w:sz w:val="24"/>
              </w:rPr>
              <w:t>（</w:t>
            </w:r>
            <w:r>
              <w:rPr>
                <w:rFonts w:ascii="仿宋_GB2312" w:hAnsi="仿宋_GB2312" w:cs="仿宋_GB2312"/>
                <w:sz w:val="24"/>
              </w:rPr>
              <w:t>20</w:t>
            </w:r>
            <w:r>
              <w:rPr>
                <w:rFonts w:hint="eastAsia" w:ascii="仿宋_GB2312" w:hAnsi="仿宋_GB2312" w:cs="仿宋_GB2312"/>
                <w:sz w:val="24"/>
              </w:rPr>
              <w:t>分）</w:t>
            </w:r>
          </w:p>
        </w:tc>
        <w:tc>
          <w:tcPr>
            <w:tcW w:w="2552" w:type="dxa"/>
            <w:vMerge w:val="restart"/>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指挥主体支撑应急救援作战指挥活动进行的能力总和，包括指挥体系建设、指挥通讯保障、指挥决策辅助设施、指挥员个人素质和能力等。</w:t>
            </w: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.1指挥体系</w:t>
            </w:r>
          </w:p>
        </w:tc>
        <w:tc>
          <w:tcPr>
            <w:tcW w:w="4946" w:type="dxa"/>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救援作战指挥和辅助人员分工明确、职责清晰，指挥机制完善、指挥程序规范。</w:t>
            </w:r>
          </w:p>
        </w:tc>
        <w:tc>
          <w:tcPr>
            <w:tcW w:w="1678"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通过查阅台账资料，点验物资设备，谈话了解民主测评，理论和答辨考核、实战演练考核、组织战评总结等方法综合评定。</w:t>
            </w: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jc w:val="center"/>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.2</w:t>
            </w:r>
            <w:r>
              <w:rPr>
                <w:rFonts w:hint="eastAsia" w:ascii="仿宋_GB2312" w:hAnsi="仿宋_GB2312" w:cs="仿宋_GB2312"/>
                <w:sz w:val="24"/>
              </w:rPr>
              <w:t>指挥通讯保障</w:t>
            </w:r>
          </w:p>
        </w:tc>
        <w:tc>
          <w:tcPr>
            <w:tcW w:w="4946" w:type="dxa"/>
            <w:noWrap w:val="0"/>
            <w:vAlign w:val="center"/>
          </w:tcPr>
          <w:p>
            <w:pPr>
              <w:rPr>
                <w:rFonts w:ascii="仿宋_GB2312" w:hAnsi="仿宋_GB2312" w:cs="仿宋_GB2312"/>
                <w:sz w:val="24"/>
              </w:rPr>
            </w:pPr>
            <w:r>
              <w:rPr>
                <w:rFonts w:hint="eastAsia" w:ascii="仿宋_GB2312" w:hAnsi="仿宋_GB2312" w:cs="仿宋_GB2312"/>
                <w:sz w:val="24"/>
              </w:rPr>
              <w:t>具备基本的通讯手段，可以在无地面常规信号的地区实现无线通讯，实现指挥员到作战小组的通讯保障。</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.3指挥辅助设备</w:t>
            </w:r>
          </w:p>
        </w:tc>
        <w:tc>
          <w:tcPr>
            <w:tcW w:w="4946" w:type="dxa"/>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配备指挥车辆、指挥帐篷、地形图、手提电脑等辅助指挥设施设备，保障作战指挥有序实施。</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jc w:val="center"/>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.4指挥员素养能力</w:t>
            </w:r>
          </w:p>
        </w:tc>
        <w:tc>
          <w:tcPr>
            <w:tcW w:w="4946" w:type="dxa"/>
            <w:noWrap w:val="0"/>
            <w:vAlign w:val="center"/>
          </w:tcPr>
          <w:p>
            <w:pPr>
              <w:rPr>
                <w:rFonts w:ascii="仿宋_GB2312" w:hAnsi="仿宋_GB2312" w:cs="仿宋_GB2312"/>
                <w:sz w:val="24"/>
              </w:rPr>
            </w:pPr>
            <w:r>
              <w:rPr>
                <w:rFonts w:ascii="仿宋_GB2312" w:hAnsi="仿宋_GB2312" w:cs="仿宋_GB2312"/>
                <w:sz w:val="24"/>
              </w:rPr>
              <w:t>指挥员具备坚定的理想信念，崇高的道德修养，顽强的战斗精神，掌握应急救援的专业知识和技战术具备丰富的救援实战经验。指挥过程中，指挥员善于利用多种</w:t>
            </w:r>
            <w:r>
              <w:rPr>
                <w:rFonts w:hint="eastAsia" w:ascii="仿宋_GB2312" w:hAnsi="仿宋_GB2312" w:cs="仿宋_GB2312"/>
                <w:sz w:val="24"/>
              </w:rPr>
              <w:t>手段，动员和激励全体队员统一思想，听从命令，服从指挥，执行指挥部的决策；</w:t>
            </w:r>
            <w:r>
              <w:rPr>
                <w:rFonts w:ascii="仿宋_GB2312" w:hAnsi="仿宋_GB2312" w:cs="仿宋_GB2312"/>
                <w:sz w:val="24"/>
              </w:rPr>
              <w:t>及时掌握和获取事故灾害信息，基于灾情险情</w:t>
            </w:r>
            <w:r>
              <w:rPr>
                <w:rFonts w:hint="eastAsia" w:ascii="仿宋_GB2312" w:hAnsi="仿宋_GB2312" w:cs="仿宋_GB2312"/>
                <w:sz w:val="24"/>
              </w:rPr>
              <w:t>态势发展作出综合判断，适时定下作战决心，及时调整救援行动有效把控队伍协同配合，</w:t>
            </w:r>
            <w:r>
              <w:rPr>
                <w:rFonts w:ascii="仿宋_GB2312" w:hAnsi="仿宋_GB2312" w:cs="仿宋_GB2312"/>
                <w:sz w:val="24"/>
              </w:rPr>
              <w:t>有序实施救援作战</w:t>
            </w:r>
            <w:r>
              <w:rPr>
                <w:rFonts w:hint="eastAsia" w:ascii="仿宋_GB2312" w:hAnsi="仿宋_GB2312" w:cs="仿宋_GB2312"/>
                <w:sz w:val="24"/>
              </w:rPr>
              <w:t>，</w:t>
            </w:r>
            <w:r>
              <w:rPr>
                <w:rFonts w:ascii="仿宋_GB2312" w:hAnsi="仿宋_GB2312" w:cs="仿宋_GB2312"/>
                <w:sz w:val="24"/>
              </w:rPr>
              <w:t>圆满完成救援任务</w:t>
            </w:r>
            <w:r>
              <w:rPr>
                <w:rFonts w:hint="eastAsia" w:ascii="仿宋_GB2312" w:hAnsi="仿宋_GB2312" w:cs="仿宋_GB2312"/>
                <w:sz w:val="24"/>
              </w:rPr>
              <w:t>。</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作战能力</w:t>
            </w:r>
            <w:r>
              <w:rPr>
                <w:rFonts w:hint="eastAsia" w:ascii="仿宋_GB2312" w:hAnsi="仿宋_GB2312" w:cs="仿宋_GB2312"/>
                <w:sz w:val="24"/>
              </w:rPr>
              <w:t>（</w:t>
            </w:r>
            <w:r>
              <w:rPr>
                <w:rFonts w:ascii="仿宋_GB2312" w:hAnsi="仿宋_GB2312" w:cs="仿宋_GB2312"/>
                <w:sz w:val="24"/>
              </w:rPr>
              <w:t>40</w:t>
            </w:r>
            <w:r>
              <w:rPr>
                <w:rFonts w:hint="eastAsia" w:ascii="仿宋_GB2312" w:hAnsi="仿宋_GB2312" w:cs="仿宋_GB2312"/>
                <w:sz w:val="24"/>
              </w:rPr>
              <w:t>分）</w:t>
            </w:r>
          </w:p>
        </w:tc>
        <w:tc>
          <w:tcPr>
            <w:tcW w:w="2552"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应急救援队伍人员和装备有效结合，综合运用各类资源和条件，因险施策、因害设防，采取针对性救援技战术和合理的力量编成组合，作战队伍有效协同配合，安全有效提升应急救援能力。主要体现在人员素质、装备物资、力量编成与组合、作战协同配合、救援预案制定等方面。</w:t>
            </w: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.1人员素质</w:t>
            </w:r>
          </w:p>
        </w:tc>
        <w:tc>
          <w:tcPr>
            <w:tcW w:w="4946" w:type="dxa"/>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队员体能、技能、组织纪律、战斗作风等方面</w:t>
            </w:r>
            <w:r>
              <w:rPr>
                <w:rFonts w:hint="eastAsia" w:ascii="仿宋_GB2312" w:hAnsi="仿宋_GB2312" w:cs="仿宋_GB2312"/>
                <w:sz w:val="24"/>
              </w:rPr>
              <w:t>组成。</w:t>
            </w:r>
          </w:p>
        </w:tc>
        <w:tc>
          <w:tcPr>
            <w:tcW w:w="1678" w:type="dxa"/>
            <w:noWrap w:val="0"/>
            <w:vAlign w:val="center"/>
          </w:tcPr>
          <w:p>
            <w:pPr>
              <w:rPr>
                <w:rFonts w:ascii="仿宋_GB2312" w:hAnsi="仿宋_GB2312" w:cs="仿宋_GB2312"/>
                <w:sz w:val="24"/>
              </w:rPr>
            </w:pPr>
            <w:r>
              <w:rPr>
                <w:rFonts w:ascii="仿宋_GB2312" w:hAnsi="仿宋_GB2312" w:cs="仿宋_GB2312"/>
                <w:sz w:val="24"/>
              </w:rPr>
              <w:t>通过考核队员业务理论、熟悉事故灾害风险点情况、体能训练、技能训练成绩和日常执勤训练表现来评定。</w:t>
            </w: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.2</w:t>
            </w:r>
            <w:r>
              <w:rPr>
                <w:rFonts w:hint="eastAsia" w:ascii="仿宋_GB2312" w:hAnsi="仿宋_GB2312" w:cs="仿宋_GB2312"/>
                <w:sz w:val="24"/>
              </w:rPr>
              <w:t>装备物资</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包括队伍设备和队员基本装备。队伍设备:由车辆、通讯指挥器材、野外生存用品和专业救援装备等组成。队员基本装备:由基本防护装备和基本生活用品等组成。</w:t>
            </w:r>
          </w:p>
        </w:tc>
        <w:tc>
          <w:tcPr>
            <w:tcW w:w="1678"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通过实地点验装备物资，对照专业救援队伍建设标准评定。</w:t>
            </w: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.3</w:t>
            </w:r>
            <w:r>
              <w:rPr>
                <w:rFonts w:hint="eastAsia" w:ascii="仿宋_GB2312" w:hAnsi="仿宋_GB2312" w:cs="仿宋_GB2312"/>
                <w:sz w:val="24"/>
              </w:rPr>
              <w:t>力量编成与组合</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根据不同救援作战需求，将队员和装备物资编成不同功能作战小组，不同作战小组有机组合形成救援作战力量。</w:t>
            </w:r>
          </w:p>
        </w:tc>
        <w:tc>
          <w:tcPr>
            <w:tcW w:w="1678"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查阅队伍力量编成档案资料，实地核查人员和装备配置是否达标。</w:t>
            </w: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.4</w:t>
            </w:r>
            <w:r>
              <w:rPr>
                <w:rFonts w:hint="eastAsia" w:ascii="仿宋_GB2312" w:hAnsi="仿宋_GB2312" w:cs="仿宋_GB2312"/>
                <w:sz w:val="24"/>
              </w:rPr>
              <w:t>作战协同配合</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考验队伍各作战小组，各组队员相互配合，协同救援作战的能力。</w:t>
            </w:r>
          </w:p>
        </w:tc>
        <w:tc>
          <w:tcPr>
            <w:tcW w:w="1678"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通过组织训练和演练考核，组织战评总结等综合评定。</w:t>
            </w: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.5</w:t>
            </w:r>
            <w:r>
              <w:rPr>
                <w:rFonts w:hint="eastAsia" w:ascii="仿宋_GB2312" w:hAnsi="仿宋_GB2312" w:cs="仿宋_GB2312"/>
                <w:sz w:val="24"/>
              </w:rPr>
              <w:t>救援预案制定</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根据不同灾情险情特点，制定针对性救援预案，做到因险施策、因害设防，安全高效组织救援。</w:t>
            </w:r>
          </w:p>
        </w:tc>
        <w:tc>
          <w:tcPr>
            <w:tcW w:w="1678"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调阅应急救援队伍制定的救援预案档案，结合实地考察综合评定。</w:t>
            </w: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等线" w:hAnsi="等线" w:eastAsia="等线"/>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管理能力</w:t>
            </w:r>
            <w:r>
              <w:rPr>
                <w:rFonts w:hint="eastAsia" w:ascii="仿宋_GB2312" w:hAnsi="仿宋_GB2312" w:cs="仿宋_GB2312"/>
                <w:sz w:val="24"/>
              </w:rPr>
              <w:t>（</w:t>
            </w:r>
            <w:r>
              <w:rPr>
                <w:rFonts w:ascii="仿宋_GB2312" w:hAnsi="仿宋_GB2312" w:cs="仿宋_GB2312"/>
                <w:sz w:val="24"/>
              </w:rPr>
              <w:t>15</w:t>
            </w:r>
            <w:r>
              <w:rPr>
                <w:rFonts w:hint="eastAsia" w:ascii="仿宋_GB2312" w:hAnsi="仿宋_GB2312" w:cs="仿宋_GB2312"/>
                <w:sz w:val="24"/>
              </w:rPr>
              <w:t>分）</w:t>
            </w:r>
          </w:p>
        </w:tc>
        <w:tc>
          <w:tcPr>
            <w:tcW w:w="2552"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指队伍组织机构，人员岗位职责，制度建设和规范管理等方面的建设能力。</w:t>
            </w: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ascii="仿宋_GB2312" w:hAnsi="仿宋_GB2312" w:cs="仿宋_GB2312"/>
                <w:sz w:val="24"/>
              </w:rPr>
              <w:t>4.1</w:t>
            </w:r>
            <w:r>
              <w:rPr>
                <w:rFonts w:hint="eastAsia" w:ascii="仿宋_GB2312" w:hAnsi="仿宋_GB2312" w:cs="仿宋_GB2312"/>
                <w:sz w:val="24"/>
              </w:rPr>
              <w:t>组织机构</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人员岗位分工明确，岗位职责清晰。</w:t>
            </w:r>
          </w:p>
        </w:tc>
        <w:tc>
          <w:tcPr>
            <w:tcW w:w="1678"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通过检查应急救援队伍组织机构、岗位职责、规章制度台账资料，查阅队伍日常登记记录和个别谈话了解、问卷调查或民主评议等方式综合评定。</w:t>
            </w: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.2</w:t>
            </w:r>
            <w:r>
              <w:rPr>
                <w:rFonts w:hint="eastAsia" w:ascii="仿宋_GB2312" w:hAnsi="仿宋_GB2312" w:cs="仿宋_GB2312"/>
                <w:sz w:val="24"/>
              </w:rPr>
              <w:t>规章制度</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一日生活作息，值班备勤、内务管理、学习训练、车辆装备管理、安全管理、奖惩规定等规章制度完善，日常学习训练、值班备勤和救援作战等记录和档案完整。</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ascii="仿宋_GB2312" w:hAnsi="仿宋_GB2312" w:cs="仿宋_GB2312"/>
                <w:sz w:val="24"/>
              </w:rPr>
              <w:t>4.3</w:t>
            </w:r>
            <w:r>
              <w:rPr>
                <w:rFonts w:hint="eastAsia" w:ascii="仿宋_GB2312" w:hAnsi="仿宋_GB2312" w:cs="仿宋_GB2312"/>
                <w:sz w:val="24"/>
              </w:rPr>
              <w:t>内部管理</w:t>
            </w:r>
          </w:p>
        </w:tc>
        <w:tc>
          <w:tcPr>
            <w:tcW w:w="4946" w:type="dxa"/>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实行严格的生活作息制度、值班备勤制度，按照年度、月、周训练计划开展学习训练，队伍日常运作有序，按照准军事化队伍规范管理，确保应急救援任务有效完成。</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restart"/>
            <w:noWrap w:val="0"/>
            <w:vAlign w:val="center"/>
          </w:tcPr>
          <w:p>
            <w:pPr>
              <w:adjustRightInd w:val="0"/>
              <w:snapToGrid w:val="0"/>
              <w:spacing w:line="340" w:lineRule="exact"/>
              <w:rPr>
                <w:rFonts w:ascii="仿宋_GB2312" w:hAnsi="仿宋_GB2312" w:cs="仿宋_GB2312"/>
                <w:sz w:val="24"/>
              </w:rPr>
            </w:pPr>
            <w:r>
              <w:rPr>
                <w:rFonts w:hint="eastAsia" w:ascii="仿宋_GB2312" w:hAnsi="仿宋_GB2312" w:cs="仿宋_GB2312"/>
                <w:sz w:val="24"/>
              </w:rPr>
              <w:t>5</w:t>
            </w:r>
            <w:r>
              <w:rPr>
                <w:rFonts w:ascii="仿宋_GB2312" w:hAnsi="仿宋_GB2312" w:cs="仿宋_GB2312"/>
                <w:sz w:val="24"/>
              </w:rPr>
              <w:t>科技能力</w:t>
            </w:r>
            <w:r>
              <w:rPr>
                <w:rFonts w:hint="eastAsia" w:ascii="仿宋_GB2312" w:hAnsi="仿宋_GB2312" w:cs="仿宋_GB2312"/>
                <w:sz w:val="24"/>
              </w:rPr>
              <w:t>（</w:t>
            </w:r>
            <w:r>
              <w:rPr>
                <w:rFonts w:ascii="仿宋_GB2312" w:hAnsi="仿宋_GB2312" w:cs="仿宋_GB2312"/>
                <w:sz w:val="24"/>
              </w:rPr>
              <w:t>15</w:t>
            </w:r>
            <w:r>
              <w:rPr>
                <w:rFonts w:hint="eastAsia" w:ascii="仿宋_GB2312" w:hAnsi="仿宋_GB2312" w:cs="仿宋_GB2312"/>
                <w:sz w:val="24"/>
              </w:rPr>
              <w:t>分）</w:t>
            </w:r>
          </w:p>
        </w:tc>
        <w:tc>
          <w:tcPr>
            <w:tcW w:w="2552" w:type="dxa"/>
            <w:vMerge w:val="restart"/>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在救援装备和救援作战中运用高技术装备和科技信息化手段的能力</w:t>
            </w:r>
            <w:r>
              <w:rPr>
                <w:rFonts w:hint="eastAsia" w:ascii="微软雅黑" w:hAnsi="微软雅黑" w:eastAsia="微软雅黑" w:cs="微软雅黑"/>
                <w:sz w:val="24"/>
              </w:rPr>
              <w:t>﹐</w:t>
            </w:r>
            <w:r>
              <w:rPr>
                <w:rFonts w:hint="eastAsia" w:ascii="仿宋_GB2312" w:hAnsi="仿宋_GB2312" w:cs="仿宋_GB2312"/>
                <w:sz w:val="24"/>
              </w:rPr>
              <w:t>主要包括事故灾害现场通信和人员定位技术方面，侦察和传输灾情险情信息方面，利用大数据辅助指挥决策等方面。</w:t>
            </w: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ascii="仿宋_GB2312" w:hAnsi="仿宋_GB2312" w:cs="仿宋_GB2312"/>
                <w:sz w:val="24"/>
              </w:rPr>
              <w:t>5.1</w:t>
            </w:r>
            <w:r>
              <w:rPr>
                <w:rFonts w:ascii="仿宋_GB2312" w:hAnsi="仿宋_GB2312" w:cs="仿宋_GB2312"/>
                <w:sz w:val="24"/>
              </w:rPr>
              <w:t>通讯保障</w:t>
            </w:r>
          </w:p>
        </w:tc>
        <w:tc>
          <w:tcPr>
            <w:tcW w:w="4946" w:type="dxa"/>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装备卫星电话或利用空中移动通信中继服务等实现无地面信号地区应急救援通讯。</w:t>
            </w:r>
          </w:p>
        </w:tc>
        <w:tc>
          <w:tcPr>
            <w:tcW w:w="1678" w:type="dxa"/>
            <w:vMerge w:val="restart"/>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实地点验队伍高科技装备配置，实操考核应用科技和信息化手段实现应急通讯、信息传输、辅助决策、装备运输、现场救援等情况。</w:t>
            </w: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jc w:val="center"/>
              <w:rPr>
                <w:rFonts w:ascii="仿宋_GB2312" w:hAnsi="仿宋_GB2312" w:cs="仿宋_GB2312"/>
                <w:sz w:val="24"/>
              </w:rPr>
            </w:pPr>
            <w:r>
              <w:rPr>
                <w:rFonts w:ascii="仿宋_GB2312" w:hAnsi="仿宋_GB2312" w:cs="仿宋_GB2312"/>
                <w:sz w:val="24"/>
              </w:rPr>
              <w:t>5.2</w:t>
            </w:r>
            <w:r>
              <w:rPr>
                <w:rFonts w:hint="eastAsia" w:ascii="仿宋_GB2312" w:hAnsi="仿宋_GB2312" w:cs="仿宋_GB2312"/>
                <w:sz w:val="24"/>
              </w:rPr>
              <w:t>灾情险情侦察</w:t>
            </w:r>
          </w:p>
        </w:tc>
        <w:tc>
          <w:tcPr>
            <w:tcW w:w="4946" w:type="dxa"/>
            <w:noWrap w:val="0"/>
            <w:vAlign w:val="center"/>
          </w:tcPr>
          <w:p>
            <w:pPr>
              <w:rPr>
                <w:rFonts w:ascii="仿宋_GB2312" w:hAnsi="仿宋_GB2312" w:cs="仿宋_GB2312"/>
                <w:sz w:val="24"/>
              </w:rPr>
            </w:pPr>
            <w:r>
              <w:rPr>
                <w:rFonts w:hint="eastAsia" w:ascii="仿宋_GB2312" w:hAnsi="仿宋_GB2312" w:cs="仿宋_GB2312"/>
                <w:sz w:val="24"/>
              </w:rPr>
              <w:t>利用卫星遥感影像、无人机侦察灾情险情，拍摄和传输事故灾害现场图像，绘制现场</w:t>
            </w:r>
            <w:r>
              <w:rPr>
                <w:rFonts w:ascii="仿宋_GB2312" w:hAnsi="仿宋_GB2312" w:cs="仿宋_GB2312"/>
                <w:sz w:val="24"/>
              </w:rPr>
              <w:t>3D态势图，供指挥人员及时掌握灾情险情发展态势。</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ascii="仿宋_GB2312" w:hAnsi="仿宋_GB2312" w:cs="仿宋_GB2312"/>
                <w:sz w:val="24"/>
              </w:rPr>
              <w:t>5.3决策辅助</w:t>
            </w:r>
          </w:p>
        </w:tc>
        <w:tc>
          <w:tcPr>
            <w:tcW w:w="4946" w:type="dxa"/>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利用气象、地形、人员、装备和物资情况等数据信息预判灾情险情发展趋势，为科学救援提供决策支持。</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ascii="仿宋_GB2312" w:hAnsi="仿宋_GB2312" w:cs="仿宋_GB2312"/>
                <w:sz w:val="24"/>
              </w:rPr>
              <w:t>5.4空中投送</w:t>
            </w:r>
          </w:p>
        </w:tc>
        <w:tc>
          <w:tcPr>
            <w:tcW w:w="4946" w:type="dxa"/>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利用无人机运输救援物资装备等。</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vMerge w:val="continue"/>
            <w:noWrap w:val="0"/>
            <w:vAlign w:val="center"/>
          </w:tcPr>
          <w:p>
            <w:pPr>
              <w:adjustRightInd w:val="0"/>
              <w:snapToGrid w:val="0"/>
              <w:spacing w:line="340" w:lineRule="exact"/>
              <w:rPr>
                <w:rFonts w:ascii="仿宋_GB2312" w:hAnsi="仿宋_GB2312" w:cs="仿宋_GB2312"/>
                <w:sz w:val="24"/>
              </w:rPr>
            </w:pPr>
          </w:p>
        </w:tc>
        <w:tc>
          <w:tcPr>
            <w:tcW w:w="2552" w:type="dxa"/>
            <w:vMerge w:val="continue"/>
            <w:noWrap w:val="0"/>
            <w:vAlign w:val="center"/>
          </w:tcPr>
          <w:p>
            <w:pPr>
              <w:adjustRightInd w:val="0"/>
              <w:snapToGrid w:val="0"/>
              <w:spacing w:line="340" w:lineRule="exact"/>
              <w:rPr>
                <w:rFonts w:ascii="仿宋_GB2312" w:hAnsi="仿宋_GB2312" w:cs="仿宋_GB2312"/>
                <w:sz w:val="24"/>
              </w:rPr>
            </w:pPr>
          </w:p>
        </w:tc>
        <w:tc>
          <w:tcPr>
            <w:tcW w:w="2409" w:type="dxa"/>
            <w:noWrap w:val="0"/>
            <w:vAlign w:val="center"/>
          </w:tcPr>
          <w:p>
            <w:pPr>
              <w:adjustRightInd w:val="0"/>
              <w:snapToGrid w:val="0"/>
              <w:spacing w:line="340" w:lineRule="exact"/>
              <w:jc w:val="center"/>
              <w:rPr>
                <w:rFonts w:ascii="仿宋_GB2312" w:hAnsi="仿宋_GB2312" w:cs="仿宋_GB2312"/>
                <w:sz w:val="24"/>
              </w:rPr>
            </w:pPr>
            <w:r>
              <w:rPr>
                <w:rFonts w:ascii="仿宋_GB2312" w:hAnsi="仿宋_GB2312" w:cs="仿宋_GB2312"/>
                <w:sz w:val="24"/>
              </w:rPr>
              <w:t>5.5现场清理</w:t>
            </w:r>
          </w:p>
        </w:tc>
        <w:tc>
          <w:tcPr>
            <w:tcW w:w="4946" w:type="dxa"/>
            <w:noWrap w:val="0"/>
            <w:vAlign w:val="center"/>
          </w:tcPr>
          <w:p>
            <w:pPr>
              <w:adjustRightInd w:val="0"/>
              <w:snapToGrid w:val="0"/>
              <w:spacing w:line="340" w:lineRule="exact"/>
              <w:rPr>
                <w:rFonts w:ascii="仿宋_GB2312" w:hAnsi="仿宋_GB2312" w:cs="仿宋_GB2312"/>
                <w:sz w:val="24"/>
              </w:rPr>
            </w:pPr>
            <w:r>
              <w:rPr>
                <w:rFonts w:ascii="仿宋_GB2312" w:hAnsi="仿宋_GB2312" w:cs="仿宋_GB2312"/>
                <w:sz w:val="24"/>
              </w:rPr>
              <w:t>利用机械化设备开设事故灾害现场的安全通道等。</w:t>
            </w:r>
          </w:p>
        </w:tc>
        <w:tc>
          <w:tcPr>
            <w:tcW w:w="1678" w:type="dxa"/>
            <w:vMerge w:val="continue"/>
            <w:noWrap w:val="0"/>
            <w:vAlign w:val="center"/>
          </w:tcPr>
          <w:p>
            <w:pPr>
              <w:adjustRightInd w:val="0"/>
              <w:snapToGrid w:val="0"/>
              <w:spacing w:line="340" w:lineRule="exact"/>
              <w:rPr>
                <w:rFonts w:ascii="仿宋_GB2312" w:hAnsi="仿宋_GB2312" w:cs="仿宋_GB2312"/>
                <w:sz w:val="24"/>
              </w:rPr>
            </w:pPr>
          </w:p>
        </w:tc>
        <w:tc>
          <w:tcPr>
            <w:tcW w:w="1063" w:type="dxa"/>
            <w:noWrap w:val="0"/>
            <w:vAlign w:val="center"/>
          </w:tcPr>
          <w:p>
            <w:pPr>
              <w:adjustRightInd w:val="0"/>
              <w:snapToGrid w:val="0"/>
              <w:spacing w:line="340" w:lineRule="exact"/>
              <w:jc w:val="center"/>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5" w:type="dxa"/>
            <w:gridSpan w:val="6"/>
            <w:noWrap w:val="0"/>
            <w:vAlign w:val="center"/>
          </w:tcPr>
          <w:p>
            <w:pPr>
              <w:adjustRightInd w:val="0"/>
              <w:snapToGrid w:val="0"/>
              <w:spacing w:line="340" w:lineRule="exact"/>
              <w:jc w:val="left"/>
              <w:rPr>
                <w:rFonts w:ascii="黑体" w:hAnsi="黑体" w:eastAsia="黑体" w:cs="黑体"/>
                <w:bCs/>
                <w:sz w:val="24"/>
                <w:szCs w:val="24"/>
              </w:rPr>
            </w:pPr>
            <w:r>
              <w:rPr>
                <w:rFonts w:hint="eastAsia" w:ascii="仿宋_GB2312" w:hAnsi="仿宋_GB2312" w:cs="仿宋_GB2312"/>
                <w:sz w:val="22"/>
                <w:szCs w:val="28"/>
              </w:rPr>
              <w:t>说明：本表参照《广东省应急救援队伍战斗力标准纲要》制定，作为专业应急救援队伍评选的参考标准，主管部门可根据本行业、本领域专业应急救援队伍的实际情况进行调整。</w:t>
            </w:r>
          </w:p>
        </w:tc>
      </w:tr>
    </w:tbl>
    <w:p>
      <w:pPr>
        <w:adjustRightInd w:val="0"/>
        <w:snapToGrid w:val="0"/>
        <w:spacing w:line="560" w:lineRule="exact"/>
        <w:jc w:val="left"/>
        <w:rPr>
          <w:rFonts w:ascii="仿宋_GB2312"/>
        </w:rPr>
        <w:sectPr>
          <w:footerReference r:id="rId5" w:type="first"/>
          <w:footerReference r:id="rId4" w:type="default"/>
          <w:pgSz w:w="16838" w:h="11906" w:orient="landscape"/>
          <w:pgMar w:top="1588" w:right="2098" w:bottom="1474" w:left="1985" w:header="851" w:footer="1531" w:gutter="0"/>
          <w:cols w:space="720" w:num="1"/>
          <w:titlePg/>
          <w:docGrid w:linePitch="435" w:charSpace="0"/>
        </w:sectPr>
      </w:pPr>
    </w:p>
    <w:p>
      <w:pPr>
        <w:spacing w:line="520" w:lineRule="exact"/>
        <w:rPr>
          <w:rFonts w:hint="eastAsia" w:ascii="黑体" w:hAnsi="黑体" w:eastAsia="黑体" w:cs="黑体"/>
          <w:lang w:eastAsia="zh-CN"/>
        </w:rPr>
      </w:pPr>
      <w:r>
        <w:rPr>
          <w:rFonts w:hint="eastAsia" w:ascii="黑体" w:hAnsi="黑体" w:eastAsia="黑体" w:cs="黑体"/>
        </w:rPr>
        <w:t xml:space="preserve">附件2 </w:t>
      </w:r>
    </w:p>
    <w:p>
      <w:pPr>
        <w:pStyle w:val="2"/>
        <w:spacing w:line="520" w:lineRule="exact"/>
        <w:ind w:left="640" w:firstLine="640"/>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专业应急救援队伍申报流程（认定程序）</w:t>
      </w:r>
    </w:p>
    <w:p>
      <w:r>
        <w:drawing>
          <wp:anchor distT="0" distB="0" distL="114300" distR="114300" simplePos="0" relativeHeight="251659264" behindDoc="0" locked="0" layoutInCell="1" allowOverlap="1">
            <wp:simplePos x="0" y="0"/>
            <wp:positionH relativeFrom="column">
              <wp:posOffset>-207010</wp:posOffset>
            </wp:positionH>
            <wp:positionV relativeFrom="paragraph">
              <wp:posOffset>320675</wp:posOffset>
            </wp:positionV>
            <wp:extent cx="8331200" cy="3921760"/>
            <wp:effectExtent l="0" t="0" r="12700" b="2540"/>
            <wp:wrapTopAndBottom/>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2"/>
                    <a:stretch>
                      <a:fillRect/>
                    </a:stretch>
                  </pic:blipFill>
                  <pic:spPr>
                    <a:xfrm>
                      <a:off x="0" y="0"/>
                      <a:ext cx="8331200" cy="3921760"/>
                    </a:xfrm>
                    <a:prstGeom prst="rect">
                      <a:avLst/>
                    </a:prstGeom>
                    <a:noFill/>
                    <a:ln>
                      <a:noFill/>
                    </a:ln>
                  </pic:spPr>
                </pic:pic>
              </a:graphicData>
            </a:graphic>
          </wp:anchor>
        </w:drawing>
      </w:r>
    </w:p>
    <w:p>
      <w:pPr>
        <w:sectPr>
          <w:footerReference r:id="rId7" w:type="first"/>
          <w:footerReference r:id="rId6" w:type="default"/>
          <w:pgSz w:w="16838" w:h="11906" w:orient="landscape"/>
          <w:pgMar w:top="1588" w:right="2098" w:bottom="1474" w:left="1985" w:header="851" w:footer="1531" w:gutter="0"/>
          <w:cols w:space="720" w:num="1"/>
          <w:titlePg/>
          <w:docGrid w:linePitch="435" w:charSpace="0"/>
        </w:sectPr>
      </w:pPr>
    </w:p>
    <w:p>
      <w:pPr>
        <w:rPr>
          <w:rFonts w:hint="eastAsia" w:ascii="黑体" w:hAnsi="黑体" w:eastAsia="黑体" w:cs="黑体"/>
          <w:lang w:eastAsia="zh-CN"/>
        </w:rPr>
      </w:pPr>
      <w:r>
        <w:rPr>
          <w:rFonts w:hint="eastAsia" w:ascii="黑体" w:hAnsi="黑体" w:eastAsia="黑体" w:cs="黑体"/>
        </w:rPr>
        <w:t xml:space="preserve">附件3 </w:t>
      </w:r>
    </w:p>
    <w:p>
      <w:pPr>
        <w:pStyle w:val="5"/>
        <w:spacing w:line="520" w:lineRule="exact"/>
        <w:ind w:firstLine="0"/>
        <w:jc w:val="center"/>
      </w:pPr>
    </w:p>
    <w:p>
      <w:pPr>
        <w:pStyle w:val="5"/>
        <w:spacing w:line="52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深圳市专业应急救援队伍备案表</w:t>
      </w:r>
    </w:p>
    <w:p>
      <w:pPr>
        <w:pStyle w:val="5"/>
        <w:ind w:firstLine="0"/>
        <w:rPr>
          <w:sz w:val="24"/>
        </w:rPr>
      </w:pPr>
      <w:r>
        <w:rPr>
          <w:rFonts w:hint="eastAsia"/>
          <w:sz w:val="24"/>
        </w:rPr>
        <w:t xml:space="preserve">报送单位（盖章）： </w:t>
      </w:r>
      <w:r>
        <w:rPr>
          <w:sz w:val="24"/>
        </w:rPr>
        <w:t xml:space="preserve">         </w:t>
      </w:r>
      <w:r>
        <w:rPr>
          <w:rFonts w:hint="eastAsia"/>
          <w:sz w:val="24"/>
        </w:rPr>
        <w:t xml:space="preserve">审核人及联系方式： </w:t>
      </w:r>
      <w:r>
        <w:rPr>
          <w:sz w:val="24"/>
        </w:rPr>
        <w:t xml:space="preserve">     </w:t>
      </w:r>
      <w:r>
        <w:rPr>
          <w:rFonts w:hint="eastAsia"/>
          <w:sz w:val="24"/>
        </w:rPr>
        <w:t xml:space="preserve">备案时间：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934"/>
        <w:gridCol w:w="897"/>
        <w:gridCol w:w="1251"/>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0" w:type="dxa"/>
            <w:noWrap w:val="0"/>
            <w:vAlign w:val="center"/>
          </w:tcPr>
          <w:p>
            <w:pPr>
              <w:pStyle w:val="5"/>
              <w:ind w:firstLine="0"/>
              <w:jc w:val="center"/>
              <w:rPr>
                <w:sz w:val="24"/>
              </w:rPr>
            </w:pPr>
            <w:r>
              <w:rPr>
                <w:rFonts w:hint="eastAsia"/>
                <w:sz w:val="24"/>
              </w:rPr>
              <w:t>队伍名称</w:t>
            </w:r>
          </w:p>
        </w:tc>
        <w:tc>
          <w:tcPr>
            <w:tcW w:w="6202" w:type="dxa"/>
            <w:gridSpan w:val="4"/>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0" w:type="dxa"/>
            <w:noWrap w:val="0"/>
            <w:vAlign w:val="center"/>
          </w:tcPr>
          <w:p>
            <w:pPr>
              <w:pStyle w:val="5"/>
              <w:ind w:firstLine="0"/>
              <w:jc w:val="center"/>
              <w:rPr>
                <w:sz w:val="24"/>
              </w:rPr>
            </w:pPr>
            <w:r>
              <w:rPr>
                <w:rFonts w:hint="eastAsia"/>
                <w:sz w:val="24"/>
              </w:rPr>
              <w:t>队伍驻地</w:t>
            </w:r>
          </w:p>
        </w:tc>
        <w:tc>
          <w:tcPr>
            <w:tcW w:w="6202" w:type="dxa"/>
            <w:gridSpan w:val="4"/>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0" w:type="dxa"/>
            <w:noWrap w:val="0"/>
            <w:vAlign w:val="center"/>
          </w:tcPr>
          <w:p>
            <w:pPr>
              <w:pStyle w:val="5"/>
              <w:ind w:firstLine="0"/>
              <w:jc w:val="center"/>
              <w:rPr>
                <w:sz w:val="24"/>
              </w:rPr>
            </w:pPr>
            <w:r>
              <w:rPr>
                <w:rFonts w:hint="eastAsia"/>
                <w:sz w:val="24"/>
              </w:rPr>
              <w:t>组建单位</w:t>
            </w:r>
          </w:p>
        </w:tc>
        <w:tc>
          <w:tcPr>
            <w:tcW w:w="1934" w:type="dxa"/>
            <w:noWrap w:val="0"/>
            <w:vAlign w:val="center"/>
          </w:tcPr>
          <w:p>
            <w:pPr>
              <w:pStyle w:val="5"/>
              <w:ind w:firstLine="0"/>
              <w:jc w:val="center"/>
              <w:rPr>
                <w:sz w:val="24"/>
              </w:rPr>
            </w:pPr>
          </w:p>
        </w:tc>
        <w:tc>
          <w:tcPr>
            <w:tcW w:w="2148" w:type="dxa"/>
            <w:gridSpan w:val="2"/>
            <w:noWrap w:val="0"/>
            <w:vAlign w:val="center"/>
          </w:tcPr>
          <w:p>
            <w:pPr>
              <w:pStyle w:val="5"/>
              <w:ind w:firstLine="0"/>
              <w:jc w:val="center"/>
              <w:rPr>
                <w:sz w:val="24"/>
              </w:rPr>
            </w:pPr>
            <w:r>
              <w:rPr>
                <w:rFonts w:hint="eastAsia"/>
                <w:sz w:val="24"/>
              </w:rPr>
              <w:t>联络人及电话</w:t>
            </w:r>
          </w:p>
        </w:tc>
        <w:tc>
          <w:tcPr>
            <w:tcW w:w="2120" w:type="dxa"/>
            <w:noWrap w:val="0"/>
            <w:vAlign w:val="center"/>
          </w:tcPr>
          <w:p>
            <w:pPr>
              <w:pStyle w:val="5"/>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0" w:type="dxa"/>
            <w:noWrap w:val="0"/>
            <w:vAlign w:val="center"/>
          </w:tcPr>
          <w:p>
            <w:pPr>
              <w:pStyle w:val="5"/>
              <w:ind w:firstLine="0"/>
              <w:jc w:val="center"/>
              <w:rPr>
                <w:sz w:val="24"/>
              </w:rPr>
            </w:pPr>
            <w:r>
              <w:rPr>
                <w:rFonts w:hint="eastAsia"/>
                <w:sz w:val="24"/>
              </w:rPr>
              <w:t>队伍主管部门</w:t>
            </w:r>
          </w:p>
        </w:tc>
        <w:tc>
          <w:tcPr>
            <w:tcW w:w="1934" w:type="dxa"/>
            <w:tcBorders>
              <w:bottom w:val="single" w:color="auto" w:sz="4" w:space="0"/>
            </w:tcBorders>
            <w:noWrap w:val="0"/>
            <w:vAlign w:val="center"/>
          </w:tcPr>
          <w:p>
            <w:pPr>
              <w:pStyle w:val="5"/>
              <w:ind w:firstLine="0"/>
              <w:jc w:val="center"/>
              <w:rPr>
                <w:sz w:val="24"/>
              </w:rPr>
            </w:pPr>
          </w:p>
        </w:tc>
        <w:tc>
          <w:tcPr>
            <w:tcW w:w="2148" w:type="dxa"/>
            <w:gridSpan w:val="2"/>
            <w:tcBorders>
              <w:bottom w:val="single" w:color="auto" w:sz="4" w:space="0"/>
            </w:tcBorders>
            <w:noWrap w:val="0"/>
            <w:vAlign w:val="center"/>
          </w:tcPr>
          <w:p>
            <w:pPr>
              <w:pStyle w:val="5"/>
              <w:ind w:firstLine="0"/>
              <w:jc w:val="center"/>
              <w:rPr>
                <w:sz w:val="24"/>
              </w:rPr>
            </w:pPr>
            <w:r>
              <w:rPr>
                <w:rFonts w:hint="eastAsia"/>
                <w:sz w:val="24"/>
              </w:rPr>
              <w:t>联络人及电话</w:t>
            </w:r>
          </w:p>
        </w:tc>
        <w:tc>
          <w:tcPr>
            <w:tcW w:w="2120" w:type="dxa"/>
            <w:tcBorders>
              <w:bottom w:val="single" w:color="auto" w:sz="4" w:space="0"/>
            </w:tcBorders>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restart"/>
            <w:noWrap w:val="0"/>
            <w:vAlign w:val="center"/>
          </w:tcPr>
          <w:p>
            <w:pPr>
              <w:pStyle w:val="5"/>
              <w:ind w:firstLine="0"/>
              <w:jc w:val="center"/>
              <w:rPr>
                <w:sz w:val="24"/>
              </w:rPr>
            </w:pPr>
            <w:r>
              <w:rPr>
                <w:rFonts w:hint="eastAsia"/>
                <w:sz w:val="24"/>
              </w:rPr>
              <w:t>队伍类型：</w:t>
            </w:r>
          </w:p>
        </w:tc>
        <w:tc>
          <w:tcPr>
            <w:tcW w:w="2831" w:type="dxa"/>
            <w:gridSpan w:val="2"/>
            <w:tcBorders>
              <w:bottom w:val="single" w:color="auto" w:sz="4" w:space="0"/>
              <w:right w:val="nil"/>
            </w:tcBorders>
            <w:noWrap w:val="0"/>
            <w:vAlign w:val="center"/>
          </w:tcPr>
          <w:p>
            <w:pPr>
              <w:pStyle w:val="5"/>
              <w:ind w:firstLine="0"/>
              <w:jc w:val="left"/>
              <w:rPr>
                <w:sz w:val="24"/>
              </w:rPr>
            </w:pPr>
            <w:r>
              <w:rPr>
                <w:rFonts w:hint="eastAsia" w:ascii="仿宋_GB2312"/>
                <w:sz w:val="24"/>
              </w:rPr>
              <w:t>□</w:t>
            </w:r>
            <w:r>
              <w:rPr>
                <w:rFonts w:hint="eastAsia"/>
                <w:sz w:val="24"/>
              </w:rPr>
              <w:t>防汛抢险应急救援</w:t>
            </w:r>
          </w:p>
          <w:p>
            <w:pPr>
              <w:pStyle w:val="5"/>
              <w:ind w:firstLine="0"/>
              <w:jc w:val="left"/>
              <w:rPr>
                <w:sz w:val="24"/>
              </w:rPr>
            </w:pPr>
            <w:r>
              <w:rPr>
                <w:rFonts w:hint="eastAsia" w:ascii="仿宋_GB2312"/>
                <w:sz w:val="24"/>
              </w:rPr>
              <w:t>□</w:t>
            </w:r>
            <w:r>
              <w:rPr>
                <w:rFonts w:hint="eastAsia"/>
                <w:sz w:val="24"/>
              </w:rPr>
              <w:t>危险化学品应急救援</w:t>
            </w:r>
          </w:p>
          <w:p>
            <w:pPr>
              <w:pStyle w:val="5"/>
              <w:ind w:firstLine="0"/>
              <w:jc w:val="left"/>
              <w:rPr>
                <w:sz w:val="24"/>
              </w:rPr>
            </w:pPr>
            <w:r>
              <w:rPr>
                <w:rFonts w:hint="eastAsia" w:ascii="仿宋_GB2312"/>
                <w:sz w:val="24"/>
              </w:rPr>
              <w:t>□</w:t>
            </w:r>
            <w:r>
              <w:rPr>
                <w:rFonts w:hint="eastAsia"/>
                <w:sz w:val="24"/>
              </w:rPr>
              <w:t>道路养护应急救援</w:t>
            </w:r>
          </w:p>
          <w:p>
            <w:pPr>
              <w:pStyle w:val="5"/>
              <w:ind w:firstLine="0"/>
              <w:jc w:val="left"/>
              <w:rPr>
                <w:sz w:val="24"/>
              </w:rPr>
            </w:pPr>
            <w:r>
              <w:rPr>
                <w:rFonts w:hint="eastAsia" w:ascii="仿宋_GB2312"/>
                <w:sz w:val="24"/>
              </w:rPr>
              <w:t>□</w:t>
            </w:r>
            <w:r>
              <w:rPr>
                <w:rFonts w:hint="eastAsia"/>
                <w:sz w:val="24"/>
              </w:rPr>
              <w:t>建设工程应急救援</w:t>
            </w:r>
          </w:p>
          <w:p>
            <w:pPr>
              <w:pStyle w:val="5"/>
              <w:ind w:firstLine="0"/>
              <w:jc w:val="left"/>
              <w:rPr>
                <w:sz w:val="24"/>
              </w:rPr>
            </w:pPr>
            <w:r>
              <w:rPr>
                <w:rFonts w:hint="eastAsia" w:ascii="仿宋_GB2312"/>
                <w:sz w:val="24"/>
              </w:rPr>
              <w:t>□环境保护应急</w:t>
            </w:r>
            <w:r>
              <w:rPr>
                <w:rFonts w:hint="eastAsia"/>
                <w:sz w:val="24"/>
              </w:rPr>
              <w:t>救援</w:t>
            </w:r>
          </w:p>
          <w:p>
            <w:pPr>
              <w:pStyle w:val="5"/>
              <w:ind w:firstLine="0"/>
              <w:jc w:val="left"/>
              <w:rPr>
                <w:sz w:val="24"/>
                <w:u w:val="single"/>
              </w:rPr>
            </w:pPr>
            <w:r>
              <w:rPr>
                <w:rFonts w:hint="eastAsia" w:ascii="仿宋_GB2312"/>
                <w:sz w:val="24"/>
              </w:rPr>
              <w:t>□</w:t>
            </w:r>
            <w:r>
              <w:rPr>
                <w:rFonts w:hint="eastAsia"/>
                <w:sz w:val="24"/>
              </w:rPr>
              <w:t>电力抢险</w:t>
            </w:r>
          </w:p>
        </w:tc>
        <w:tc>
          <w:tcPr>
            <w:tcW w:w="3371" w:type="dxa"/>
            <w:gridSpan w:val="2"/>
            <w:tcBorders>
              <w:left w:val="nil"/>
              <w:bottom w:val="single" w:color="auto" w:sz="4" w:space="0"/>
            </w:tcBorders>
            <w:noWrap w:val="0"/>
            <w:vAlign w:val="center"/>
          </w:tcPr>
          <w:p>
            <w:pPr>
              <w:pStyle w:val="5"/>
              <w:ind w:firstLine="0"/>
              <w:jc w:val="left"/>
              <w:rPr>
                <w:sz w:val="24"/>
              </w:rPr>
            </w:pPr>
            <w:r>
              <w:rPr>
                <w:rFonts w:hint="eastAsia" w:ascii="仿宋_GB2312"/>
                <w:sz w:val="24"/>
              </w:rPr>
              <w:t>□森林消防救援</w:t>
            </w:r>
          </w:p>
          <w:p>
            <w:pPr>
              <w:pStyle w:val="5"/>
              <w:ind w:firstLine="0"/>
              <w:jc w:val="left"/>
              <w:rPr>
                <w:sz w:val="24"/>
              </w:rPr>
            </w:pPr>
            <w:r>
              <w:rPr>
                <w:rFonts w:hint="eastAsia" w:ascii="仿宋_GB2312"/>
                <w:sz w:val="24"/>
              </w:rPr>
              <w:t>□轨道交通运营应急</w:t>
            </w:r>
            <w:r>
              <w:rPr>
                <w:rFonts w:hint="eastAsia"/>
                <w:sz w:val="24"/>
              </w:rPr>
              <w:t>救援</w:t>
            </w:r>
          </w:p>
          <w:p>
            <w:pPr>
              <w:pStyle w:val="5"/>
              <w:ind w:firstLine="0"/>
              <w:jc w:val="left"/>
              <w:rPr>
                <w:sz w:val="24"/>
              </w:rPr>
            </w:pPr>
            <w:r>
              <w:rPr>
                <w:rFonts w:hint="eastAsia" w:ascii="仿宋_GB2312"/>
                <w:sz w:val="24"/>
              </w:rPr>
              <w:t>□</w:t>
            </w:r>
            <w:r>
              <w:rPr>
                <w:rFonts w:hint="eastAsia"/>
                <w:sz w:val="24"/>
              </w:rPr>
              <w:t>危货运输应急救援</w:t>
            </w:r>
          </w:p>
          <w:p>
            <w:pPr>
              <w:pStyle w:val="5"/>
              <w:ind w:firstLine="0"/>
              <w:jc w:val="left"/>
              <w:rPr>
                <w:sz w:val="24"/>
              </w:rPr>
            </w:pPr>
            <w:r>
              <w:rPr>
                <w:rFonts w:hint="eastAsia" w:ascii="仿宋_GB2312"/>
                <w:sz w:val="24"/>
              </w:rPr>
              <w:t>□</w:t>
            </w:r>
            <w:r>
              <w:rPr>
                <w:rFonts w:hint="eastAsia"/>
                <w:sz w:val="24"/>
              </w:rPr>
              <w:t>海上搜救应急救援</w:t>
            </w:r>
          </w:p>
          <w:p>
            <w:pPr>
              <w:pStyle w:val="5"/>
              <w:ind w:firstLine="0"/>
              <w:jc w:val="left"/>
              <w:rPr>
                <w:sz w:val="24"/>
              </w:rPr>
            </w:pPr>
            <w:r>
              <w:rPr>
                <w:rFonts w:hint="eastAsia" w:ascii="仿宋_GB2312"/>
                <w:sz w:val="24"/>
              </w:rPr>
              <w:t>□</w:t>
            </w:r>
            <w:r>
              <w:rPr>
                <w:rFonts w:hint="eastAsia"/>
                <w:sz w:val="24"/>
              </w:rPr>
              <w:t>燃气抢险</w:t>
            </w:r>
          </w:p>
          <w:p>
            <w:pPr>
              <w:pStyle w:val="5"/>
              <w:ind w:firstLine="0"/>
              <w:jc w:val="left"/>
              <w:rPr>
                <w:sz w:val="24"/>
                <w:u w:val="single"/>
              </w:rPr>
            </w:pPr>
            <w:bookmarkStart w:id="0" w:name="OLE_LINK2"/>
            <w:bookmarkStart w:id="1" w:name="OLE_LINK1"/>
            <w:r>
              <w:rPr>
                <w:rFonts w:hint="eastAsia" w:ascii="仿宋_GB2312"/>
                <w:sz w:val="24"/>
              </w:rPr>
              <w:t>□特种设备应急救援</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continue"/>
            <w:noWrap w:val="0"/>
            <w:vAlign w:val="center"/>
          </w:tcPr>
          <w:p>
            <w:pPr>
              <w:pStyle w:val="5"/>
              <w:ind w:firstLine="0"/>
              <w:jc w:val="center"/>
              <w:rPr>
                <w:sz w:val="24"/>
              </w:rPr>
            </w:pPr>
          </w:p>
        </w:tc>
        <w:tc>
          <w:tcPr>
            <w:tcW w:w="6202" w:type="dxa"/>
            <w:gridSpan w:val="4"/>
            <w:tcBorders>
              <w:bottom w:val="single" w:color="auto" w:sz="4" w:space="0"/>
            </w:tcBorders>
            <w:noWrap w:val="0"/>
            <w:vAlign w:val="center"/>
          </w:tcPr>
          <w:p>
            <w:pPr>
              <w:pStyle w:val="5"/>
              <w:spacing w:before="289" w:beforeLines="50"/>
              <w:ind w:firstLine="0"/>
              <w:jc w:val="left"/>
              <w:rPr>
                <w:rFonts w:ascii="仿宋_GB2312"/>
                <w:sz w:val="24"/>
              </w:rPr>
            </w:pPr>
            <w:r>
              <w:rPr>
                <w:rFonts w:hint="eastAsia" w:ascii="仿宋_GB2312"/>
                <w:sz w:val="24"/>
              </w:rPr>
              <w:t>其他类型：</w:t>
            </w:r>
            <w:r>
              <w:rPr>
                <w:rFonts w:hint="eastAsia" w:ascii="仿宋_GB2312"/>
                <w:sz w:val="24"/>
                <w:u w:val="single"/>
              </w:rPr>
              <w:t xml:space="preserve"> </w:t>
            </w:r>
            <w:r>
              <w:rPr>
                <w:rFonts w:ascii="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5"/>
            <w:noWrap w:val="0"/>
            <w:vAlign w:val="center"/>
          </w:tcPr>
          <w:p>
            <w:pPr>
              <w:pStyle w:val="5"/>
              <w:ind w:firstLine="0"/>
              <w:jc w:val="center"/>
              <w:rPr>
                <w:b/>
                <w:sz w:val="24"/>
              </w:rPr>
            </w:pPr>
            <w:r>
              <w:rPr>
                <w:rFonts w:hint="eastAsia"/>
                <w:b/>
                <w:sz w:val="24"/>
              </w:rPr>
              <w:t>队伍基本信息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pPr>
              <w:pStyle w:val="5"/>
              <w:ind w:firstLine="0"/>
              <w:jc w:val="center"/>
              <w:rPr>
                <w:sz w:val="24"/>
              </w:rPr>
            </w:pPr>
            <w:r>
              <w:rPr>
                <w:rFonts w:hint="eastAsia"/>
                <w:sz w:val="24"/>
              </w:rPr>
              <w:t>队伍负责人</w:t>
            </w:r>
          </w:p>
        </w:tc>
        <w:tc>
          <w:tcPr>
            <w:tcW w:w="1934" w:type="dxa"/>
            <w:noWrap w:val="0"/>
            <w:vAlign w:val="center"/>
          </w:tcPr>
          <w:p>
            <w:pPr>
              <w:pStyle w:val="5"/>
              <w:ind w:firstLine="0"/>
              <w:jc w:val="center"/>
              <w:rPr>
                <w:sz w:val="24"/>
              </w:rPr>
            </w:pPr>
          </w:p>
        </w:tc>
        <w:tc>
          <w:tcPr>
            <w:tcW w:w="2148" w:type="dxa"/>
            <w:gridSpan w:val="2"/>
            <w:noWrap w:val="0"/>
            <w:vAlign w:val="center"/>
          </w:tcPr>
          <w:p>
            <w:pPr>
              <w:pStyle w:val="5"/>
              <w:ind w:firstLine="0"/>
              <w:jc w:val="center"/>
              <w:rPr>
                <w:sz w:val="24"/>
              </w:rPr>
            </w:pPr>
            <w:r>
              <w:rPr>
                <w:rFonts w:hint="eastAsia"/>
                <w:sz w:val="24"/>
              </w:rPr>
              <w:t>联系电话</w:t>
            </w:r>
          </w:p>
        </w:tc>
        <w:tc>
          <w:tcPr>
            <w:tcW w:w="2120" w:type="dxa"/>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pPr>
              <w:pStyle w:val="5"/>
              <w:ind w:firstLine="0"/>
              <w:jc w:val="center"/>
              <w:rPr>
                <w:sz w:val="24"/>
              </w:rPr>
            </w:pPr>
            <w:r>
              <w:rPr>
                <w:rFonts w:hint="eastAsia"/>
                <w:sz w:val="24"/>
              </w:rPr>
              <w:t>应急联系人</w:t>
            </w:r>
          </w:p>
        </w:tc>
        <w:tc>
          <w:tcPr>
            <w:tcW w:w="1934" w:type="dxa"/>
            <w:noWrap w:val="0"/>
            <w:vAlign w:val="center"/>
          </w:tcPr>
          <w:p>
            <w:pPr>
              <w:pStyle w:val="5"/>
              <w:ind w:firstLine="0"/>
              <w:jc w:val="center"/>
              <w:rPr>
                <w:sz w:val="24"/>
              </w:rPr>
            </w:pPr>
          </w:p>
        </w:tc>
        <w:tc>
          <w:tcPr>
            <w:tcW w:w="2148" w:type="dxa"/>
            <w:gridSpan w:val="2"/>
            <w:noWrap w:val="0"/>
            <w:vAlign w:val="center"/>
          </w:tcPr>
          <w:p>
            <w:pPr>
              <w:pStyle w:val="5"/>
              <w:ind w:firstLine="0"/>
              <w:jc w:val="center"/>
              <w:rPr>
                <w:sz w:val="24"/>
              </w:rPr>
            </w:pPr>
            <w:r>
              <w:rPr>
                <w:rFonts w:hint="eastAsia"/>
                <w:sz w:val="24"/>
              </w:rPr>
              <w:t>联系电话</w:t>
            </w:r>
          </w:p>
        </w:tc>
        <w:tc>
          <w:tcPr>
            <w:tcW w:w="2120" w:type="dxa"/>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pPr>
              <w:pStyle w:val="5"/>
              <w:ind w:firstLine="0"/>
              <w:jc w:val="center"/>
              <w:rPr>
                <w:sz w:val="24"/>
              </w:rPr>
            </w:pPr>
            <w:r>
              <w:rPr>
                <w:rFonts w:hint="eastAsia"/>
                <w:sz w:val="24"/>
              </w:rPr>
              <w:t>专职人数</w:t>
            </w:r>
          </w:p>
        </w:tc>
        <w:tc>
          <w:tcPr>
            <w:tcW w:w="1934" w:type="dxa"/>
            <w:noWrap w:val="0"/>
            <w:vAlign w:val="center"/>
          </w:tcPr>
          <w:p>
            <w:pPr>
              <w:pStyle w:val="5"/>
              <w:ind w:firstLine="0"/>
              <w:jc w:val="center"/>
              <w:rPr>
                <w:sz w:val="24"/>
              </w:rPr>
            </w:pPr>
          </w:p>
        </w:tc>
        <w:tc>
          <w:tcPr>
            <w:tcW w:w="2148" w:type="dxa"/>
            <w:gridSpan w:val="2"/>
            <w:noWrap w:val="0"/>
            <w:vAlign w:val="center"/>
          </w:tcPr>
          <w:p>
            <w:pPr>
              <w:pStyle w:val="5"/>
              <w:ind w:firstLine="0"/>
              <w:jc w:val="center"/>
              <w:rPr>
                <w:sz w:val="24"/>
              </w:rPr>
            </w:pPr>
            <w:r>
              <w:rPr>
                <w:rFonts w:hint="eastAsia"/>
                <w:sz w:val="24"/>
              </w:rPr>
              <w:t>队员人数</w:t>
            </w:r>
          </w:p>
        </w:tc>
        <w:tc>
          <w:tcPr>
            <w:tcW w:w="2120" w:type="dxa"/>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pPr>
              <w:pStyle w:val="5"/>
              <w:ind w:firstLine="0"/>
              <w:jc w:val="center"/>
              <w:rPr>
                <w:sz w:val="24"/>
              </w:rPr>
            </w:pPr>
            <w:r>
              <w:rPr>
                <w:rFonts w:hint="eastAsia"/>
                <w:sz w:val="24"/>
              </w:rPr>
              <w:t>参保险种</w:t>
            </w:r>
          </w:p>
        </w:tc>
        <w:tc>
          <w:tcPr>
            <w:tcW w:w="1934" w:type="dxa"/>
            <w:noWrap w:val="0"/>
            <w:vAlign w:val="center"/>
          </w:tcPr>
          <w:p>
            <w:pPr>
              <w:pStyle w:val="5"/>
              <w:ind w:firstLine="0"/>
              <w:jc w:val="center"/>
              <w:rPr>
                <w:sz w:val="24"/>
              </w:rPr>
            </w:pPr>
          </w:p>
        </w:tc>
        <w:tc>
          <w:tcPr>
            <w:tcW w:w="2148" w:type="dxa"/>
            <w:gridSpan w:val="2"/>
            <w:noWrap w:val="0"/>
            <w:vAlign w:val="center"/>
          </w:tcPr>
          <w:p>
            <w:pPr>
              <w:pStyle w:val="5"/>
              <w:ind w:firstLine="0"/>
              <w:jc w:val="center"/>
              <w:rPr>
                <w:sz w:val="24"/>
              </w:rPr>
            </w:pPr>
            <w:r>
              <w:rPr>
                <w:rFonts w:hint="eastAsia"/>
                <w:sz w:val="24"/>
              </w:rPr>
              <w:t>参保人数</w:t>
            </w:r>
          </w:p>
        </w:tc>
        <w:tc>
          <w:tcPr>
            <w:tcW w:w="2120" w:type="dxa"/>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pPr>
              <w:pStyle w:val="5"/>
              <w:ind w:firstLine="0"/>
              <w:jc w:val="center"/>
              <w:rPr>
                <w:sz w:val="24"/>
              </w:rPr>
            </w:pPr>
            <w:r>
              <w:rPr>
                <w:rFonts w:hint="eastAsia"/>
                <w:sz w:val="24"/>
              </w:rPr>
              <w:t>累计参与救援次数</w:t>
            </w:r>
          </w:p>
        </w:tc>
        <w:tc>
          <w:tcPr>
            <w:tcW w:w="1934" w:type="dxa"/>
            <w:noWrap w:val="0"/>
            <w:vAlign w:val="center"/>
          </w:tcPr>
          <w:p>
            <w:pPr>
              <w:pStyle w:val="5"/>
              <w:ind w:firstLine="0"/>
              <w:jc w:val="center"/>
              <w:rPr>
                <w:sz w:val="24"/>
              </w:rPr>
            </w:pPr>
          </w:p>
        </w:tc>
        <w:tc>
          <w:tcPr>
            <w:tcW w:w="2148" w:type="dxa"/>
            <w:gridSpan w:val="2"/>
            <w:noWrap w:val="0"/>
            <w:vAlign w:val="center"/>
          </w:tcPr>
          <w:p>
            <w:pPr>
              <w:pStyle w:val="5"/>
              <w:ind w:firstLine="0"/>
              <w:jc w:val="center"/>
              <w:rPr>
                <w:sz w:val="24"/>
              </w:rPr>
            </w:pPr>
            <w:r>
              <w:rPr>
                <w:rFonts w:hint="eastAsia"/>
                <w:sz w:val="24"/>
              </w:rPr>
              <w:t>重要救援行动</w:t>
            </w:r>
          </w:p>
          <w:p>
            <w:pPr>
              <w:pStyle w:val="5"/>
              <w:ind w:firstLine="0"/>
              <w:jc w:val="center"/>
              <w:rPr>
                <w:sz w:val="24"/>
              </w:rPr>
            </w:pPr>
            <w:r>
              <w:rPr>
                <w:rFonts w:hint="eastAsia"/>
                <w:sz w:val="24"/>
              </w:rPr>
              <w:t>总结报告例数</w:t>
            </w:r>
          </w:p>
        </w:tc>
        <w:tc>
          <w:tcPr>
            <w:tcW w:w="2120" w:type="dxa"/>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5"/>
            <w:noWrap w:val="0"/>
            <w:vAlign w:val="center"/>
          </w:tcPr>
          <w:p>
            <w:pPr>
              <w:pStyle w:val="5"/>
              <w:ind w:firstLine="0"/>
              <w:jc w:val="center"/>
              <w:rPr>
                <w:b/>
                <w:sz w:val="24"/>
              </w:rPr>
            </w:pPr>
            <w:r>
              <w:rPr>
                <w:rFonts w:hint="eastAsia"/>
                <w:b/>
                <w:sz w:val="24"/>
              </w:rPr>
              <w:t>核心救援能力抽样信息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noWrap w:val="0"/>
            <w:vAlign w:val="center"/>
          </w:tcPr>
          <w:p>
            <w:pPr>
              <w:pStyle w:val="5"/>
              <w:ind w:firstLine="0"/>
              <w:jc w:val="center"/>
              <w:rPr>
                <w:sz w:val="24"/>
              </w:rPr>
            </w:pPr>
            <w:r>
              <w:rPr>
                <w:rFonts w:hint="eastAsia"/>
                <w:sz w:val="24"/>
              </w:rPr>
              <w:t>队员年平均培训</w:t>
            </w:r>
          </w:p>
          <w:p>
            <w:pPr>
              <w:pStyle w:val="5"/>
              <w:ind w:firstLine="0"/>
              <w:jc w:val="center"/>
              <w:rPr>
                <w:sz w:val="24"/>
              </w:rPr>
            </w:pPr>
            <w:r>
              <w:rPr>
                <w:rFonts w:hint="eastAsia"/>
                <w:sz w:val="24"/>
              </w:rPr>
              <w:t>时长（小时）</w:t>
            </w:r>
          </w:p>
        </w:tc>
        <w:tc>
          <w:tcPr>
            <w:tcW w:w="1934" w:type="dxa"/>
            <w:noWrap w:val="0"/>
            <w:vAlign w:val="center"/>
          </w:tcPr>
          <w:p>
            <w:pPr>
              <w:pStyle w:val="5"/>
              <w:ind w:firstLine="0"/>
              <w:jc w:val="center"/>
              <w:rPr>
                <w:sz w:val="24"/>
              </w:rPr>
            </w:pPr>
          </w:p>
        </w:tc>
        <w:tc>
          <w:tcPr>
            <w:tcW w:w="2148" w:type="dxa"/>
            <w:gridSpan w:val="2"/>
            <w:noWrap w:val="0"/>
            <w:vAlign w:val="center"/>
          </w:tcPr>
          <w:p>
            <w:pPr>
              <w:pStyle w:val="5"/>
              <w:ind w:firstLine="0"/>
              <w:jc w:val="center"/>
              <w:rPr>
                <w:sz w:val="24"/>
              </w:rPr>
            </w:pPr>
            <w:r>
              <w:rPr>
                <w:rFonts w:hint="eastAsia"/>
                <w:sz w:val="24"/>
              </w:rPr>
              <w:t>可72小时连续出勤最大人数（人）</w:t>
            </w:r>
          </w:p>
        </w:tc>
        <w:tc>
          <w:tcPr>
            <w:tcW w:w="2120" w:type="dxa"/>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20" w:type="dxa"/>
            <w:noWrap w:val="0"/>
            <w:vAlign w:val="center"/>
          </w:tcPr>
          <w:p>
            <w:pPr>
              <w:pStyle w:val="5"/>
              <w:ind w:firstLine="0"/>
              <w:jc w:val="center"/>
              <w:rPr>
                <w:sz w:val="24"/>
              </w:rPr>
            </w:pPr>
            <w:r>
              <w:rPr>
                <w:rFonts w:hint="eastAsia"/>
                <w:sz w:val="24"/>
              </w:rPr>
              <w:t>队伍特长</w:t>
            </w:r>
          </w:p>
          <w:p>
            <w:pPr>
              <w:pStyle w:val="5"/>
              <w:ind w:firstLine="0"/>
              <w:jc w:val="center"/>
              <w:rPr>
                <w:sz w:val="24"/>
              </w:rPr>
            </w:pPr>
            <w:r>
              <w:rPr>
                <w:rFonts w:hint="eastAsia"/>
                <w:sz w:val="24"/>
              </w:rPr>
              <w:t>（救援范围）</w:t>
            </w:r>
          </w:p>
        </w:tc>
        <w:tc>
          <w:tcPr>
            <w:tcW w:w="6202" w:type="dxa"/>
            <w:gridSpan w:val="4"/>
            <w:noWrap w:val="0"/>
            <w:vAlign w:val="center"/>
          </w:tcPr>
          <w:p>
            <w:pPr>
              <w:pStyle w:val="5"/>
              <w:ind w:firstLine="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20" w:type="dxa"/>
            <w:noWrap w:val="0"/>
            <w:vAlign w:val="center"/>
          </w:tcPr>
          <w:p>
            <w:pPr>
              <w:pStyle w:val="5"/>
              <w:ind w:firstLine="0"/>
              <w:jc w:val="center"/>
              <w:rPr>
                <w:sz w:val="24"/>
              </w:rPr>
            </w:pPr>
            <w:r>
              <w:rPr>
                <w:rFonts w:hint="eastAsia"/>
                <w:sz w:val="24"/>
              </w:rPr>
              <w:t>核心应急装备</w:t>
            </w:r>
          </w:p>
        </w:tc>
        <w:tc>
          <w:tcPr>
            <w:tcW w:w="6202" w:type="dxa"/>
            <w:gridSpan w:val="4"/>
            <w:noWrap w:val="0"/>
            <w:vAlign w:val="center"/>
          </w:tcPr>
          <w:p>
            <w:pPr>
              <w:pStyle w:val="5"/>
              <w:ind w:firstLine="0"/>
              <w:jc w:val="center"/>
              <w:rPr>
                <w:sz w:val="24"/>
              </w:rPr>
            </w:pPr>
          </w:p>
        </w:tc>
      </w:tr>
    </w:tbl>
    <w:p>
      <w:pPr>
        <w:pStyle w:val="5"/>
        <w:ind w:firstLine="0"/>
        <w:rPr>
          <w:rFonts w:ascii="仿宋_GB2312"/>
          <w:sz w:val="24"/>
        </w:rPr>
      </w:pPr>
      <w:r>
        <w:rPr>
          <w:rFonts w:hint="eastAsia" w:ascii="仿宋_GB2312"/>
          <w:sz w:val="24"/>
        </w:rPr>
        <w:t>填报须知：本表需加盖主管部门公章，并附专业应急救援队伍评审小组认定意见及专家名单。</w:t>
      </w:r>
    </w:p>
    <w:p>
      <w:pPr>
        <w:spacing w:line="560" w:lineRule="exact"/>
        <w:ind w:firstLine="640"/>
        <w:jc w:val="left"/>
        <w:rPr>
          <w:rFonts w:ascii="仿宋_GB2312" w:hAnsi="仿宋_GB2312" w:cs="仿宋_GB2312"/>
        </w:rPr>
      </w:pPr>
    </w:p>
    <w:p/>
    <w:p/>
    <w:p>
      <w:pPr>
        <w:spacing w:line="520" w:lineRule="exact"/>
        <w:ind w:firstLine="1308" w:firstLineChars="300"/>
        <w:rPr>
          <w:rFonts w:ascii="方正小标宋简体" w:hAnsi="方正小标宋简体" w:eastAsia="方正小标宋简体" w:cs="方正小标宋简体"/>
          <w:bCs/>
          <w:sz w:val="44"/>
          <w:szCs w:val="44"/>
        </w:rPr>
      </w:pPr>
    </w:p>
    <w:p/>
    <w:p>
      <w:pPr>
        <w:pStyle w:val="11"/>
        <w:shd w:val="clear" w:color="auto" w:fill="FFFFFF"/>
        <w:spacing w:beforeAutospacing="0" w:afterAutospacing="0" w:line="600" w:lineRule="exact"/>
        <w:rPr>
          <w:rFonts w:hint="eastAsia" w:ascii="仿宋_GB2312" w:hAnsi="仿宋_GB2312" w:eastAsia="仿宋_GB2312" w:cs="仿宋_GB2312"/>
          <w:color w:val="000000"/>
          <w:sz w:val="28"/>
          <w:szCs w:val="28"/>
        </w:rPr>
      </w:pPr>
    </w:p>
    <w:p>
      <w:pPr>
        <w:pStyle w:val="11"/>
        <w:shd w:val="clear" w:color="auto" w:fill="FFFFFF"/>
        <w:spacing w:beforeAutospacing="0" w:afterAutospacing="0" w:line="600" w:lineRule="exact"/>
        <w:rPr>
          <w:rFonts w:hint="eastAsia" w:ascii="仿宋_GB2312" w:hAnsi="仿宋_GB2312" w:eastAsia="仿宋_GB2312" w:cs="仿宋_GB2312"/>
          <w:color w:val="000000"/>
          <w:sz w:val="28"/>
          <w:szCs w:val="28"/>
        </w:rPr>
      </w:pPr>
    </w:p>
    <w:p>
      <w:pPr>
        <w:pStyle w:val="11"/>
        <w:shd w:val="clear" w:color="auto" w:fill="FFFFFF"/>
        <w:spacing w:beforeAutospacing="0" w:afterAutospacing="0" w:line="600" w:lineRule="exact"/>
        <w:rPr>
          <w:rFonts w:hint="eastAsia" w:ascii="仿宋_GB2312" w:hAnsi="仿宋_GB2312" w:eastAsia="仿宋_GB2312" w:cs="仿宋_GB2312"/>
          <w:color w:val="000000"/>
          <w:sz w:val="28"/>
          <w:szCs w:val="28"/>
        </w:rPr>
      </w:pPr>
    </w:p>
    <w:p>
      <w:pPr>
        <w:pStyle w:val="11"/>
        <w:shd w:val="clear" w:color="auto" w:fill="FFFFFF"/>
        <w:spacing w:beforeAutospacing="0" w:afterAutospacing="0" w:line="600" w:lineRule="exact"/>
        <w:rPr>
          <w:rFonts w:hint="eastAsia" w:ascii="仿宋_GB2312" w:hAnsi="仿宋_GB2312" w:eastAsia="仿宋_GB2312" w:cs="仿宋_GB2312"/>
          <w:color w:val="000000"/>
          <w:sz w:val="28"/>
          <w:szCs w:val="28"/>
        </w:rPr>
      </w:pPr>
    </w:p>
    <w:p>
      <w:pPr>
        <w:pStyle w:val="5"/>
        <w:pageBreakBefore w:val="0"/>
        <w:widowControl w:val="0"/>
        <w:kinsoku/>
        <w:wordWrap/>
        <w:overflowPunct/>
        <w:topLinePunct w:val="0"/>
        <w:autoSpaceDE/>
        <w:autoSpaceDN/>
        <w:bidi w:val="0"/>
        <w:spacing w:line="560" w:lineRule="exact"/>
        <w:ind w:firstLine="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仿宋_GB2312"/>
        </w:rPr>
      </w:pPr>
    </w:p>
    <w:p>
      <w:pPr>
        <w:spacing w:line="14" w:lineRule="exact"/>
      </w:pPr>
      <w:bookmarkStart w:id="2" w:name="_GoBack"/>
      <w:bookmarkEnd w:id="2"/>
    </w:p>
    <w:sectPr>
      <w:headerReference r:id="rId8" w:type="first"/>
      <w:footerReference r:id="rId9" w:type="default"/>
      <w:footerReference r:id="rId10" w:type="even"/>
      <w:pgSz w:w="11906" w:h="16838"/>
      <w:pgMar w:top="2098" w:right="1474" w:bottom="1985" w:left="1588"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55E4B4-D04D-4A0E-80C7-BCC96AE4A7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126DA61A-E75A-43B1-8BB9-71216930EBBF}"/>
  </w:font>
  <w:font w:name="仿宋">
    <w:panose1 w:val="02010609060101010101"/>
    <w:charset w:val="86"/>
    <w:family w:val="auto"/>
    <w:pitch w:val="default"/>
    <w:sig w:usb0="800002BF" w:usb1="38CF7CFA" w:usb2="00000016" w:usb3="00000000" w:csb0="00040001" w:csb1="00000000"/>
    <w:embedRegular r:id="rId3" w:fontKey="{B6E99699-348C-4A1B-9405-E8D6C586F2CD}"/>
  </w:font>
  <w:font w:name="方正小标宋简体">
    <w:panose1 w:val="02000000000000000000"/>
    <w:charset w:val="86"/>
    <w:family w:val="script"/>
    <w:pitch w:val="default"/>
    <w:sig w:usb0="00000001" w:usb1="08000000" w:usb2="00000000" w:usb3="00000000" w:csb0="00040000" w:csb1="00000000"/>
    <w:embedRegular r:id="rId4" w:fontKey="{2165C33F-2137-4012-A11B-F3843311ED5B}"/>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SI楷体-GB2312">
    <w:altName w:val="宋体"/>
    <w:panose1 w:val="02000500000000000000"/>
    <w:charset w:val="86"/>
    <w:family w:val="auto"/>
    <w:pitch w:val="default"/>
    <w:sig w:usb0="00000000" w:usb1="00000000" w:usb2="00000012" w:usb3="00000000" w:csb0="0004000F" w:csb1="00000000"/>
    <w:embedRegular r:id="rId5" w:fontKey="{04936441-6F24-448F-B76B-DF93B4477636}"/>
  </w:font>
  <w:font w:name="等线">
    <w:panose1 w:val="02010600030101010101"/>
    <w:charset w:val="86"/>
    <w:family w:val="auto"/>
    <w:pitch w:val="default"/>
    <w:sig w:usb0="A00002BF" w:usb1="38CF7CFA" w:usb2="00000016" w:usb3="00000000" w:csb0="0004000F" w:csb1="00000000"/>
    <w:embedRegular r:id="rId6" w:fontKey="{0F929567-4293-4D72-A240-5FC808B070DE}"/>
  </w:font>
  <w:font w:name="微软雅黑">
    <w:panose1 w:val="020B0503020204020204"/>
    <w:charset w:val="86"/>
    <w:family w:val="swiss"/>
    <w:pitch w:val="default"/>
    <w:sig w:usb0="80000287" w:usb1="2ACF3C50" w:usb2="00000016" w:usb3="00000000" w:csb0="0004001F" w:csb1="00000000"/>
    <w:embedRegular r:id="rId7" w:fontKey="{6BB53EEA-A97E-4A74-80E4-FF0E17592F57}"/>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8890</wp:posOffset>
              </wp:positionV>
              <wp:extent cx="791210" cy="3003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91210" cy="300355"/>
                      </a:xfrm>
                      <a:prstGeom prst="rect">
                        <a:avLst/>
                      </a:prstGeom>
                      <a:noFill/>
                      <a:ln>
                        <a:noFill/>
                      </a:ln>
                      <a:effectLst/>
                    </wps:spPr>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0.7pt;height:23.65pt;width:62.3pt;mso-position-horizontal:outside;mso-position-horizontal-relative:margin;z-index:251663360;mso-width-relative:page;mso-height-relative:page;" filled="f" stroked="f" coordsize="21600,21600" o:gfxdata="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DHEsdQAAAAFAQAADwAAAAAAAAABACAAAAAiAAAAZHJzL2Rvd25yZXYueG1sUEsBAhQAFAAAAAgA&#10;h07iQONfcd63AQAAdQMAAA4AAAAAAAAAAQAgAAAAIwEAAGRycy9lMm9Eb2MueG1sUEsFBgAAAAAG&#10;AAYAWQEAAEwFAAAAAA==&#10;">
              <v:fill on="f" focussize="0,0"/>
              <v:stroke on="f"/>
              <v:imagedata o:title=""/>
              <o:lock v:ext="edit" aspectratio="f"/>
              <v:textbox inset="0mm,0mm,0mm,0mm">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hint="eastAsia" w:ascii="宋体" w:hAnsi="宋体" w:eastAsia="宋体"/>
        <w:sz w:val="28"/>
        <w:szCs w:val="28"/>
      </w:rPr>
    </w:pPr>
    <w:r>
      <w:rPr>
        <w:rStyle w:val="16"/>
        <w:rFonts w:hint="eastAsia" w:ascii="宋体" w:hAnsi="宋体" w:eastAsia="宋体"/>
        <w:sz w:val="28"/>
        <w:szCs w:val="28"/>
      </w:rPr>
      <w:t xml:space="preserve">— </w:t>
    </w:r>
    <w:r>
      <w:rPr>
        <w:rFonts w:ascii="宋体" w:hAnsi="宋体" w:eastAsia="宋体"/>
        <w:sz w:val="28"/>
        <w:szCs w:val="28"/>
      </w:rPr>
      <w:fldChar w:fldCharType="begin"/>
    </w:r>
    <w:r>
      <w:rPr>
        <w:rStyle w:val="16"/>
        <w:rFonts w:ascii="宋体" w:hAnsi="宋体" w:eastAsia="宋体"/>
        <w:sz w:val="28"/>
        <w:szCs w:val="28"/>
      </w:rPr>
      <w:instrText xml:space="preserve">PAGE  </w:instrText>
    </w:r>
    <w:r>
      <w:rPr>
        <w:rFonts w:ascii="宋体" w:hAnsi="宋体" w:eastAsia="宋体"/>
        <w:sz w:val="28"/>
        <w:szCs w:val="28"/>
      </w:rPr>
      <w:fldChar w:fldCharType="separate"/>
    </w:r>
    <w:r>
      <w:rPr>
        <w:rStyle w:val="16"/>
        <w:rFonts w:ascii="宋体" w:hAnsi="宋体" w:eastAsia="宋体"/>
        <w:sz w:val="28"/>
        <w:szCs w:val="28"/>
      </w:rPr>
      <w:t>4</w:t>
    </w:r>
    <w:r>
      <w:rPr>
        <w:rFonts w:ascii="宋体" w:hAnsi="宋体" w:eastAsia="宋体"/>
        <w:sz w:val="28"/>
        <w:szCs w:val="28"/>
      </w:rPr>
      <w:fldChar w:fldCharType="end"/>
    </w:r>
    <w:r>
      <w:rPr>
        <w:rStyle w:val="16"/>
        <w:rFonts w:hint="eastAsia" w:ascii="宋体" w:hAnsi="宋体" w:eastAsia="宋体"/>
        <w:sz w:val="28"/>
        <w:szCs w:val="28"/>
      </w:rPr>
      <w:t xml:space="preserve"> —</w:t>
    </w:r>
  </w:p>
  <w:p>
    <w:pPr>
      <w:pStyle w:val="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 w:name="KGWebUrl" w:val="http://szfile.sz.gov.cn//file/download?md5Path=c0cdb25640f342af960b661dfb94fea6@92750&amp;webOffice=1&amp;identityId=F9EF0FEADE434626A7E8A7DCF0C4467F&amp;token=0a56751e077140bbb6133336a035e1cc&amp;identityId=F9EF0FEADE434626A7E8A7DCF0C4467F&amp;wjbh=B202210496&amp;hddyid=LCA010001_HD_04&amp;fileSrcName=2022_06_30_14_46_39_6b412691e0f64029b7aa70d1a330221b.docx"/>
  </w:docVars>
  <w:rsids>
    <w:rsidRoot w:val="FFBFCA5D"/>
    <w:rsid w:val="03456A03"/>
    <w:rsid w:val="07F3150B"/>
    <w:rsid w:val="1A083DFF"/>
    <w:rsid w:val="2E377F28"/>
    <w:rsid w:val="30C8275A"/>
    <w:rsid w:val="31C770F1"/>
    <w:rsid w:val="42A63D9E"/>
    <w:rsid w:val="42E47A22"/>
    <w:rsid w:val="45E9D499"/>
    <w:rsid w:val="4C06262C"/>
    <w:rsid w:val="565355DD"/>
    <w:rsid w:val="5DBF2FA4"/>
    <w:rsid w:val="5F143194"/>
    <w:rsid w:val="5FEF9344"/>
    <w:rsid w:val="6B8D36A6"/>
    <w:rsid w:val="7094501C"/>
    <w:rsid w:val="7A354F53"/>
    <w:rsid w:val="AE7706C7"/>
    <w:rsid w:val="DF9699FF"/>
    <w:rsid w:val="F5CB5706"/>
    <w:rsid w:val="FFBF4474"/>
    <w:rsid w:val="FFBFC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4">
    <w:name w:val="heading 1"/>
    <w:basedOn w:val="1"/>
    <w:next w:val="5"/>
    <w:qFormat/>
    <w:uiPriority w:val="0"/>
    <w:pPr>
      <w:keepNext/>
      <w:keepLines/>
      <w:adjustRightInd w:val="0"/>
      <w:snapToGrid w:val="0"/>
      <w:spacing w:line="560" w:lineRule="exact"/>
      <w:jc w:val="center"/>
      <w:outlineLvl w:val="0"/>
    </w:pPr>
    <w:rPr>
      <w:rFonts w:eastAsia="方正小标宋简体"/>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7">
    <w:name w:val="heading 3"/>
    <w:basedOn w:val="8"/>
    <w:next w:val="5"/>
    <w:unhideWhenUsed/>
    <w:qFormat/>
    <w:uiPriority w:val="9"/>
    <w:pPr>
      <w:ind w:firstLine="643"/>
      <w:outlineLvl w:val="2"/>
    </w:p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qFormat/>
    <w:uiPriority w:val="0"/>
    <w:pPr>
      <w:ind w:firstLine="630"/>
    </w:pPr>
    <w:rPr>
      <w:rFonts w:ascii="Times New Roman" w:hAnsi="Times New Roman"/>
      <w:kern w:val="0"/>
      <w:szCs w:val="20"/>
    </w:rPr>
  </w:style>
  <w:style w:type="paragraph" w:customStyle="1" w:styleId="8">
    <w:name w:val="正文加粗"/>
    <w:basedOn w:val="1"/>
    <w:next w:val="5"/>
    <w:link w:val="19"/>
    <w:qFormat/>
    <w:uiPriority w:val="0"/>
    <w:pPr>
      <w:ind w:firstLine="200" w:firstLineChars="200"/>
      <w:outlineLvl w:val="4"/>
    </w:pPr>
    <w:rPr>
      <w:b/>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5"/>
    <w:qFormat/>
    <w:uiPriority w:val="0"/>
    <w:pPr>
      <w:widowControl/>
      <w:jc w:val="center"/>
      <w:outlineLvl w:val="1"/>
    </w:pPr>
    <w:rPr>
      <w:rFonts w:ascii="方正小标宋简体" w:hAnsi="Calibri Light" w:eastAsia="方正小标宋简体"/>
      <w:bCs/>
      <w:kern w:val="44"/>
      <w:sz w:val="44"/>
    </w:rPr>
  </w:style>
  <w:style w:type="table" w:styleId="14">
    <w:name w:val="Table Grid"/>
    <w:basedOn w:val="1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character" w:styleId="17">
    <w:name w:val="Hyperlink"/>
    <w:basedOn w:val="15"/>
    <w:qFormat/>
    <w:uiPriority w:val="0"/>
    <w:rPr>
      <w:rFonts w:ascii="Verdana" w:hAnsi="Verdana" w:eastAsia="仿宋_GB2312"/>
      <w:color w:val="000000"/>
      <w:kern w:val="0"/>
      <w:sz w:val="24"/>
      <w:szCs w:val="20"/>
      <w:u w:val="none"/>
      <w:lang w:eastAsia="en-US"/>
    </w:rPr>
  </w:style>
  <w:style w:type="paragraph" w:customStyle="1" w:styleId="18">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19">
    <w:name w:val="正文加粗 Char"/>
    <w:basedOn w:val="15"/>
    <w:link w:val="8"/>
    <w:qFormat/>
    <w:uiPriority w:val="0"/>
    <w:rPr>
      <w:b/>
      <w:szCs w:val="20"/>
    </w:rPr>
  </w:style>
  <w:style w:type="paragraph" w:customStyle="1" w:styleId="20">
    <w:name w:val="图表标题"/>
    <w:basedOn w:val="1"/>
    <w:next w:val="5"/>
    <w:qFormat/>
    <w:uiPriority w:val="0"/>
    <w:pPr>
      <w:spacing w:beforeLines="25" w:afterLines="25" w:line="440" w:lineRule="atLeast"/>
      <w:jc w:val="center"/>
      <w:outlineLvl w:val="4"/>
    </w:pPr>
    <w:rPr>
      <w:b/>
      <w:kern w:val="28"/>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10826</Words>
  <Characters>11014</Characters>
  <Lines>0</Lines>
  <Paragraphs>0</Paragraphs>
  <TotalTime>8</TotalTime>
  <ScaleCrop>false</ScaleCrop>
  <LinksUpToDate>false</LinksUpToDate>
  <CharactersWithSpaces>11297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2022-06-18T14:32:00Z</dcterms:created>
  <dc:creator>kylin</dc:creator>
  <cp:lastModifiedBy>阿营</cp:lastModifiedBy>
  <dcterms:modified xsi:type="dcterms:W3CDTF">2022-07-04T01:41:48Z</dcterms:modified>
  <dc:title>市应急管理局关于提请发布规范性文件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F051076A045448CDA60C50178F45F800</vt:lpwstr>
  </property>
</Properties>
</file>