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宋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宋体" w:eastAsia="黑体"/>
          <w:sz w:val="32"/>
          <w:szCs w:val="32"/>
        </w:rPr>
        <w:t>2</w:t>
      </w:r>
    </w:p>
    <w:p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 xml:space="preserve"> </w:t>
      </w:r>
    </w:p>
    <w:p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《深圳市关于加快培育鸿蒙欧拉生态的若干措施（征求意见稿）》编制说明</w:t>
      </w:r>
    </w:p>
    <w:p>
      <w:pPr>
        <w:spacing w:line="56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>
      <w:pPr>
        <w:adjustRightInd w:val="0"/>
        <w:snapToGrid w:val="0"/>
        <w:spacing w:line="54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为把握鸿蒙、欧拉操作系统发展的战略性机遇，支持鸿蒙、欧拉生态建设，推动我市数字经济产业高质量发展，打造全球“鸿蒙欧拉之城”。根据《深圳市培育发展软件与信息服务产业集群行动计划（2022-2025年）》部署，我局研究起草了《深圳市关于加快培育鸿蒙欧拉生态的若干措施（征求意见稿）》（以下简称《若干措施》）。有关情况如下：</w:t>
      </w:r>
    </w:p>
    <w:p>
      <w:pPr>
        <w:numPr>
          <w:ilvl w:val="0"/>
          <w:numId w:val="1"/>
        </w:numPr>
        <w:adjustRightInd w:val="0"/>
        <w:snapToGrid w:val="0"/>
        <w:spacing w:line="540" w:lineRule="exact"/>
        <w:ind w:firstLine="640" w:firstLineChars="200"/>
        <w:jc w:val="left"/>
        <w:rPr>
          <w:rFonts w:hint="eastAsia" w:ascii="黑体" w:hAnsi="宋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编制背景</w:t>
      </w:r>
    </w:p>
    <w:p>
      <w:pPr>
        <w:pStyle w:val="2"/>
        <w:spacing w:line="540" w:lineRule="exact"/>
        <w:rPr>
          <w:rFonts w:hint="eastAsia"/>
        </w:rPr>
      </w:pPr>
      <w:r>
        <w:rPr>
          <w:rFonts w:hint="eastAsia"/>
        </w:rPr>
        <w:t>（一）我市培育鸿蒙欧拉产业基础。</w:t>
      </w:r>
    </w:p>
    <w:p>
      <w:pPr>
        <w:adjustRightInd w:val="0"/>
        <w:snapToGrid w:val="0"/>
        <w:spacing w:line="54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2021年我市电子信息制造业增加值5259.9亿元，增长2.3%，占全市GDP的17.2%，信息传输、软件和信息技术服务业增加值3511.6亿元，增长10.7%，占全市GDP的比重为11.5%。产业规模均位于全国前列。我市21家企业入选2021年中国电子信息竞争力百强企业，总量位居全国大中城市第一位，10家企业入选2021年度软件和信息技术服务竞争力百强企业，总量位居全国大中城市第二位。</w:t>
      </w:r>
      <w:r>
        <w:rPr>
          <w:rFonts w:hint="eastAsia" w:ascii="仿宋_GB2312" w:eastAsia="仿宋_GB2312"/>
          <w:b/>
          <w:bCs/>
          <w:sz w:val="32"/>
          <w:szCs w:val="32"/>
        </w:rPr>
        <w:t>在软硬件领域，我市拥有大批潜在的鸿蒙、欧拉生态合作伙伴。</w:t>
      </w:r>
    </w:p>
    <w:p>
      <w:pPr>
        <w:pStyle w:val="2"/>
        <w:spacing w:line="540" w:lineRule="exact"/>
        <w:rPr>
          <w:rFonts w:hint="eastAsia"/>
        </w:rPr>
      </w:pPr>
      <w:r>
        <w:rPr>
          <w:rFonts w:hint="eastAsia"/>
        </w:rPr>
        <w:t>（二）我市培育鸿蒙欧拉产业的重要意义。</w:t>
      </w:r>
    </w:p>
    <w:p>
      <w:pPr>
        <w:adjustRightInd w:val="0"/>
        <w:snapToGrid w:val="0"/>
        <w:spacing w:line="54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一是推动关键核心技术高水平自立自强。</w:t>
      </w:r>
      <w:r>
        <w:rPr>
          <w:rFonts w:hint="eastAsia" w:ascii="仿宋_GB2312" w:eastAsia="仿宋_GB2312"/>
          <w:sz w:val="32"/>
          <w:szCs w:val="32"/>
        </w:rPr>
        <w:t>操作系统是数字基础设施的底座，我国操作系统技术体系面临对外依赖性强、供应连续性风险等问题，要想实现高水平自立自强，具备根技术的操作系统及其生态突破是必须攻克的关键一环。</w:t>
      </w:r>
    </w:p>
    <w:p>
      <w:pPr>
        <w:adjustRightInd w:val="0"/>
        <w:snapToGrid w:val="0"/>
        <w:spacing w:line="54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二是主动把握万物互联时代新技术与产业升级机遇。</w:t>
      </w:r>
      <w:r>
        <w:rPr>
          <w:rFonts w:hint="eastAsia" w:ascii="仿宋_GB2312" w:eastAsia="仿宋_GB2312"/>
          <w:sz w:val="32"/>
          <w:szCs w:val="32"/>
        </w:rPr>
        <w:t>万物互联的时代正在到来，新的芯片、新的操作系统、新的工具/语言/编程框架、新的智能化应用将迎来新的发展机遇。通过培育鸿蒙欧拉操作系统生态发展，主动迎接新的技术与产业升级机遇，有助于我市加快构建现代产业体系。</w:t>
      </w:r>
    </w:p>
    <w:p>
      <w:pPr>
        <w:numPr>
          <w:ilvl w:val="0"/>
          <w:numId w:val="1"/>
        </w:numPr>
        <w:adjustRightInd w:val="0"/>
        <w:snapToGrid w:val="0"/>
        <w:spacing w:line="540" w:lineRule="exact"/>
        <w:ind w:firstLine="640" w:firstLineChars="200"/>
        <w:jc w:val="left"/>
        <w:rPr>
          <w:rFonts w:hint="eastAsia"/>
          <w:szCs w:val="21"/>
        </w:rPr>
      </w:pPr>
      <w:r>
        <w:rPr>
          <w:rFonts w:hint="eastAsia" w:ascii="黑体" w:hAnsi="黑体" w:eastAsia="黑体"/>
          <w:sz w:val="32"/>
          <w:szCs w:val="32"/>
        </w:rPr>
        <w:t>编制过程</w:t>
      </w:r>
    </w:p>
    <w:p>
      <w:pPr>
        <w:adjustRightInd w:val="0"/>
        <w:snapToGrid w:val="0"/>
        <w:spacing w:line="54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习近平总书记在2021年10月18日在中央政治局第三十四次集体学习时提出“要全面推进产业化、规模化应用，重点突破关键软件，推动软件产业做大做强，提升关键软件技术创新和供给能力”。根据《“十四五”软件和信息技术服务业发展规划》等有关文件精神，我局开始研究起草加快培育鸿蒙欧拉产业的若干措施。主要制定过程如下：</w:t>
      </w:r>
    </w:p>
    <w:p>
      <w:pPr>
        <w:adjustRightInd w:val="0"/>
        <w:snapToGrid w:val="0"/>
        <w:spacing w:line="54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一是</w:t>
      </w:r>
      <w:r>
        <w:rPr>
          <w:rFonts w:hint="eastAsia" w:ascii="仿宋_GB2312" w:eastAsia="仿宋_GB2312"/>
          <w:sz w:val="32"/>
          <w:szCs w:val="32"/>
        </w:rPr>
        <w:t>广泛开展调研，梳理政策诉求。分别调研我市生态主导型企业、开源服务机构、开源鸿蒙、开源欧拉发行版公司、应用软件企业、设备企业及重点行业解决方案提供商等企业或机构，了解培育鸿蒙欧拉生态发展存在的痛点、堵点及政策诉求。</w:t>
      </w:r>
    </w:p>
    <w:p>
      <w:pPr>
        <w:adjustRightInd w:val="0"/>
        <w:snapToGrid w:val="0"/>
        <w:spacing w:line="54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二是</w:t>
      </w:r>
      <w:r>
        <w:rPr>
          <w:rFonts w:hint="eastAsia" w:ascii="仿宋_GB2312" w:eastAsia="仿宋_GB2312"/>
          <w:sz w:val="32"/>
          <w:szCs w:val="32"/>
        </w:rPr>
        <w:t>学习借鉴国际先进经验做法。收集整理国际典型操作系统成长路径，结合我市发展数字经济产业过程中形成的一系列好的经验做法，起草形成《若干措施》。</w:t>
      </w:r>
    </w:p>
    <w:p>
      <w:pPr>
        <w:numPr>
          <w:ilvl w:val="0"/>
          <w:numId w:val="1"/>
        </w:numPr>
        <w:adjustRightInd w:val="0"/>
        <w:snapToGrid w:val="0"/>
        <w:spacing w:line="540" w:lineRule="exact"/>
        <w:ind w:firstLine="640" w:firstLineChars="200"/>
        <w:jc w:val="left"/>
        <w:rPr>
          <w:rFonts w:hint="eastAsia" w:ascii="黑体" w:hAnsi="宋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编制思路和主要内容</w:t>
      </w:r>
    </w:p>
    <w:p>
      <w:pPr>
        <w:pStyle w:val="2"/>
        <w:spacing w:line="540" w:lineRule="exact"/>
        <w:rPr>
          <w:rFonts w:hint="eastAsia"/>
        </w:rPr>
      </w:pPr>
      <w:r>
        <w:rPr>
          <w:rFonts w:hint="eastAsia"/>
        </w:rPr>
        <w:t>（一）编制思路。</w:t>
      </w:r>
    </w:p>
    <w:p>
      <w:pPr>
        <w:adjustRightInd w:val="0"/>
        <w:snapToGrid w:val="0"/>
        <w:spacing w:line="54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围绕鸿蒙欧拉的关键发展要素：供给侧、需求侧、生态三大组成部分，以问题为导向，针对鸿蒙欧拉生态培育和产业发展的痛点难点问题，制定有针对性的解决措施。</w:t>
      </w:r>
      <w:r>
        <w:rPr>
          <w:rFonts w:hint="eastAsia" w:ascii="仿宋_GB2312" w:eastAsia="仿宋_GB2312"/>
          <w:b/>
          <w:bCs/>
          <w:sz w:val="32"/>
          <w:szCs w:val="32"/>
        </w:rPr>
        <w:t>一是培育产业主体。</w:t>
      </w:r>
      <w:r>
        <w:rPr>
          <w:rFonts w:hint="eastAsia" w:ascii="仿宋_GB2312" w:eastAsia="仿宋_GB2312"/>
          <w:sz w:val="32"/>
          <w:szCs w:val="32"/>
        </w:rPr>
        <w:t>鼓励开源开发，推动发行版企业、设备开发企业、应用开发企业等市场主体，积极开发基于鸿蒙欧拉的产品和应用。</w:t>
      </w:r>
      <w:r>
        <w:rPr>
          <w:rFonts w:hint="eastAsia" w:ascii="仿宋_GB2312" w:eastAsia="仿宋_GB2312"/>
          <w:b/>
          <w:bCs/>
          <w:sz w:val="32"/>
          <w:szCs w:val="32"/>
        </w:rPr>
        <w:t>二是深化应用牵引。</w:t>
      </w:r>
      <w:r>
        <w:rPr>
          <w:rFonts w:hint="eastAsia" w:ascii="仿宋_GB2312" w:eastAsia="仿宋_GB2312"/>
          <w:sz w:val="32"/>
          <w:szCs w:val="32"/>
        </w:rPr>
        <w:t>推动政府及国有企事业单位开放应用场景，加大采购力度，促进鸿蒙欧拉产品的行业及个人消费。</w:t>
      </w:r>
      <w:r>
        <w:rPr>
          <w:rFonts w:hint="eastAsia" w:ascii="仿宋_GB2312" w:eastAsia="仿宋_GB2312"/>
          <w:b/>
          <w:bCs/>
          <w:sz w:val="32"/>
          <w:szCs w:val="32"/>
        </w:rPr>
        <w:t>三是打造生态建设核心平台。</w:t>
      </w:r>
      <w:r>
        <w:rPr>
          <w:rFonts w:hint="eastAsia" w:ascii="仿宋_GB2312" w:eastAsia="仿宋_GB2312"/>
          <w:sz w:val="32"/>
          <w:szCs w:val="32"/>
        </w:rPr>
        <w:t>为生态伙伴提供适配迁移、测试认证、人才培养等公共服务。</w:t>
      </w:r>
    </w:p>
    <w:p>
      <w:pPr>
        <w:adjustRightInd w:val="0"/>
        <w:snapToGrid w:val="0"/>
        <w:spacing w:line="54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措施旨在培育和吸引更多企业、更多人才、产业组织集聚我市发展：推动更多的发行版公司开发鸿蒙欧拉商业版本，更多的设备厂商开发鸿蒙欧拉产品，更多的应用开发企业开发鸿蒙欧拉应用，更多的企业和个人消费者使用鸿蒙欧拉产品，在全国率先打造“鸿蒙欧拉之城”。</w:t>
      </w:r>
    </w:p>
    <w:p>
      <w:pPr>
        <w:pStyle w:val="2"/>
        <w:spacing w:line="540" w:lineRule="exact"/>
        <w:rPr>
          <w:rFonts w:hint="eastAsia"/>
        </w:rPr>
      </w:pPr>
      <w:r>
        <w:rPr>
          <w:rFonts w:hint="eastAsia"/>
        </w:rPr>
        <w:t>（二）主要内容。</w:t>
      </w:r>
    </w:p>
    <w:p>
      <w:pPr>
        <w:adjustRightInd w:val="0"/>
        <w:snapToGrid w:val="0"/>
        <w:spacing w:line="54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《若干措施》提出了产业主体培育、应用牵引、生态建设等三个方面十二条措施（三个方面关系如图所示），具体如下：</w:t>
      </w:r>
    </w:p>
    <w:tbl>
      <w:tblPr>
        <w:tblStyle w:val="6"/>
        <w:tblW w:w="0" w:type="auto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5"/>
        <w:gridCol w:w="730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eastAsia="楷体"/>
              </w:rPr>
              <w:t xml:space="preserve"> </w:t>
            </w:r>
          </w:p>
        </w:tc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"C:\\Users\\Lenovo\\AppData\\Local\\Microsoft\\Windows\\Microsoft\\Microsoft\\Microsoft\\Microsoft\\Windows\\ksohtml46400\\wps6.png" \* MERGEFORMAT </w:instrText>
            </w:r>
            <w:r>
              <w:fldChar w:fldCharType="separate"/>
            </w:r>
            <w:r>
              <w:rPr>
                <w:rFonts w:ascii="宋体" w:hAnsi="宋体"/>
                <w:kern w:val="0"/>
                <w:sz w:val="24"/>
                <w:szCs w:val="24"/>
              </w:rPr>
              <w:drawing>
                <wp:inline distT="0" distB="0" distL="114300" distR="114300">
                  <wp:extent cx="4638675" cy="2851785"/>
                  <wp:effectExtent l="0" t="0" r="9525" b="13335"/>
                  <wp:docPr id="1" name="图片 1" descr="../../ksohtml46400/wp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../../ksohtml46400/wps6.png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285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>
      <w:pPr>
        <w:adjustRightInd w:val="0"/>
        <w:snapToGrid w:val="0"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color w:val="000000"/>
          <w:sz w:val="32"/>
          <w:szCs w:val="32"/>
        </w:rPr>
        <w:t>1.培育产业主体</w:t>
      </w:r>
      <w:r>
        <w:rPr>
          <w:rFonts w:hint="eastAsia" w:ascii="仿宋_GB2312" w:eastAsia="仿宋_GB2312"/>
          <w:sz w:val="32"/>
          <w:szCs w:val="32"/>
        </w:rPr>
        <w:t>。当前，我国的操作系统技术的对外依赖性强，没有建立开源根社区，市场竞争力较弱。《若干措施》提出需要发展开源社区，培育具备竞争力的根技术路线，推动更多软件企业、设备企业及解决方案供应商开发鸿蒙欧拉操作系统发行版、鸿蒙欧拉产品及应用并投入商用，构建繁荣的产业体系。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highlight w:val="yellow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2</w:t>
      </w:r>
      <w:r>
        <w:rPr>
          <w:rFonts w:hint="eastAsia" w:ascii="仿宋_GB2312" w:eastAsia="仿宋_GB2312"/>
          <w:b/>
          <w:bCs/>
          <w:color w:val="000000"/>
          <w:sz w:val="32"/>
          <w:szCs w:val="32"/>
        </w:rPr>
        <w:t>.深化应用牵引。</w:t>
      </w:r>
      <w:r>
        <w:rPr>
          <w:rFonts w:hint="eastAsia" w:ascii="仿宋_GB2312" w:eastAsia="仿宋_GB2312"/>
          <w:sz w:val="32"/>
          <w:szCs w:val="32"/>
        </w:rPr>
        <w:t>用户从原操作系统迁移至鸿蒙或欧拉操作系需要人员学习和适应、适配原有软件应用及购买新软硬件，产生一定成本；创新的应用场景还不够多，效益不够明显。《若干措施》提出政府及国有企事业单位开放应用场景，加大应用示范力度，促进全行业鸿蒙欧拉产品的使用。以期增加用户量，促进企业不断投入，技术不断更新迭代，提升解决方案的竞争力，带动产业进入正循环。</w:t>
      </w:r>
    </w:p>
    <w:p>
      <w:pPr>
        <w:pStyle w:val="8"/>
        <w:ind w:firstLine="643"/>
        <w:rPr>
          <w:rFonts w:hint="eastAsia"/>
        </w:rPr>
      </w:pPr>
      <w:r>
        <w:rPr>
          <w:rFonts w:hint="eastAsia"/>
          <w:b/>
          <w:bCs/>
        </w:rPr>
        <w:t>3.建设生态中心。</w:t>
      </w:r>
      <w:r>
        <w:rPr>
          <w:rFonts w:hint="eastAsia"/>
        </w:rPr>
        <w:t>用户的新场景新需求找不到合适的解决方案，需要有平台组织供需对接、推动联合创新。软硬件企业开发鸿蒙欧拉产品及解决方案时，需要与生态伙伴联合开发。《若干措施》提出建设生态中心，为生态伙伴提供适配迁移、联合营销、人才培养、测试认证等公共服务，有效促进产业供需协同和上下游协同。</w:t>
      </w:r>
    </w:p>
    <w:p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701" w:right="1418" w:bottom="1701" w:left="1418" w:header="851" w:footer="1134" w:gutter="0"/>
      <w:pgNumType w:fmt="numberInDash"/>
      <w:cols w:space="720" w:num="1"/>
      <w:titlePg/>
      <w:docGrid w:type="linesAndChar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0E4D1BF-6A29-45BD-8D62-755845697CA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9F6BB61B-7F3D-426E-8B59-5DF2532C246E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1E01BA60-DB32-448D-8D78-BF21C2DB3020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4B068E98-F8F3-428B-8B6A-AAF25F596132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3B64EA80-B5FC-4A4E-B6B2-8D0881A6CE3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宋体" w:hAnsi="宋体"/>
        <w:sz w:val="24"/>
        <w:szCs w:val="24"/>
      </w:rPr>
    </w:pPr>
    <w:r>
      <w:rPr>
        <w:rFonts w:ascii="宋体" w:hAnsi="宋体"/>
        <w:sz w:val="24"/>
        <w:szCs w:val="24"/>
      </w:rPr>
      <w:fldChar w:fldCharType="begin"/>
    </w:r>
    <w:r>
      <w:rPr>
        <w:rFonts w:ascii="宋体" w:hAnsi="宋体"/>
        <w:sz w:val="24"/>
        <w:szCs w:val="24"/>
      </w:rPr>
      <w:instrText xml:space="preserve"> PAGE   \* MERGEFORMAT </w:instrText>
    </w:r>
    <w:r>
      <w:rPr>
        <w:rFonts w:ascii="宋体" w:hAnsi="宋体"/>
        <w:sz w:val="24"/>
        <w:szCs w:val="24"/>
      </w:rPr>
      <w:fldChar w:fldCharType="separate"/>
    </w:r>
    <w:r>
      <w:rPr>
        <w:rFonts w:ascii="宋体" w:hAnsi="宋体"/>
        <w:sz w:val="24"/>
        <w:szCs w:val="24"/>
        <w:lang w:val="zh-CN"/>
      </w:rPr>
      <w:t>-</w:t>
    </w:r>
    <w:r>
      <w:rPr>
        <w:rFonts w:ascii="宋体" w:hAnsi="宋体"/>
        <w:sz w:val="24"/>
        <w:szCs w:val="24"/>
      </w:rPr>
      <w:t xml:space="preserve"> 11 -</w:t>
    </w:r>
    <w:r>
      <w:rPr>
        <w:rFonts w:ascii="宋体" w:hAnsi="宋体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宋体" w:hAnsi="宋体"/>
        <w:sz w:val="24"/>
        <w:szCs w:val="24"/>
      </w:rPr>
    </w:pPr>
    <w:r>
      <w:rPr>
        <w:rFonts w:ascii="宋体" w:hAnsi="宋体"/>
        <w:sz w:val="24"/>
        <w:szCs w:val="24"/>
      </w:rPr>
      <w:fldChar w:fldCharType="begin"/>
    </w:r>
    <w:r>
      <w:rPr>
        <w:rFonts w:ascii="宋体" w:hAnsi="宋体"/>
        <w:sz w:val="24"/>
        <w:szCs w:val="24"/>
      </w:rPr>
      <w:instrText xml:space="preserve"> PAGE   \* MERGEFORMAT </w:instrText>
    </w:r>
    <w:r>
      <w:rPr>
        <w:rFonts w:ascii="宋体" w:hAnsi="宋体"/>
        <w:sz w:val="24"/>
        <w:szCs w:val="24"/>
      </w:rPr>
      <w:fldChar w:fldCharType="separate"/>
    </w:r>
    <w:r>
      <w:rPr>
        <w:rFonts w:ascii="宋体" w:hAnsi="宋体"/>
        <w:sz w:val="24"/>
        <w:szCs w:val="24"/>
        <w:lang w:val="zh-CN"/>
      </w:rPr>
      <w:t>-</w:t>
    </w:r>
    <w:r>
      <w:rPr>
        <w:rFonts w:ascii="宋体" w:hAnsi="宋体"/>
        <w:sz w:val="24"/>
        <w:szCs w:val="24"/>
      </w:rPr>
      <w:t xml:space="preserve"> 2 -</w:t>
    </w:r>
    <w:r>
      <w:rPr>
        <w:rFonts w:ascii="宋体" w:hAnsi="宋体"/>
        <w:sz w:val="24"/>
        <w:szCs w:val="24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9428B7"/>
    <w:multiLevelType w:val="multilevel"/>
    <w:tmpl w:val="619428B7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黑体" w:hAnsi="宋体" w:eastAsia="黑体"/>
        <w:sz w:val="32"/>
        <w:szCs w:val="32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hint="default" w:ascii="Times New Roman" w:hAnsi="Times New Roman"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zYmVmMjI1MmU0NDA5MWVkYTJkN2NiNzM1NjE0NmEifQ=="/>
  </w:docVars>
  <w:rsids>
    <w:rsidRoot w:val="19B33D62"/>
    <w:rsid w:val="19B3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3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3"/>
    <w:qFormat/>
    <w:uiPriority w:val="3"/>
    <w:pPr>
      <w:widowControl/>
      <w:adjustRightInd w:val="0"/>
      <w:snapToGrid w:val="0"/>
      <w:spacing w:line="560" w:lineRule="exact"/>
      <w:ind w:firstLine="643" w:firstLineChars="200"/>
      <w:jc w:val="left"/>
      <w:outlineLvl w:val="1"/>
    </w:pPr>
    <w:rPr>
      <w:rFonts w:ascii="楷体_GB2312" w:hAnsi="仿宋_GB2312" w:eastAsia="楷体_GB2312" w:cs="仿宋_GB2312"/>
      <w:b/>
      <w:bCs/>
      <w:sz w:val="32"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ind w:firstLine="420" w:firstLineChars="200"/>
    </w:p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="Cambria" w:hAnsi="Cambria" w:eastAsia="宋体" w:cs="Times New Roman"/>
      <w:b/>
      <w:bCs/>
      <w:kern w:val="28"/>
      <w:sz w:val="32"/>
      <w:szCs w:val="32"/>
    </w:rPr>
  </w:style>
  <w:style w:type="paragraph" w:customStyle="1" w:styleId="8">
    <w:name w:val="文件正文"/>
    <w:basedOn w:val="5"/>
    <w:qFormat/>
    <w:uiPriority w:val="0"/>
    <w:pPr>
      <w:spacing w:before="0" w:after="0" w:line="560" w:lineRule="exact"/>
      <w:ind w:firstLine="622" w:firstLineChars="200"/>
      <w:jc w:val="both"/>
      <w:outlineLvl w:val="9"/>
    </w:pPr>
    <w:rPr>
      <w:rFonts w:ascii="仿宋_GB2312" w:hAnsi="仿宋_GB2312" w:eastAsia="仿宋_GB2312" w:cs="仿宋_GB2312"/>
      <w:b w:val="0"/>
      <w:bCs w:val="0"/>
      <w:kern w:val="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../../../Microsoft/Microsoft/Microsoft/Microsoft/Windows/ksohtml46400/wps6.png" TargetMode="Externa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2022-07-14T09:36:00Z</dcterms:created>
  <dc:creator>阿营</dc:creator>
  <cp:lastModifiedBy>阿营</cp:lastModifiedBy>
  <dcterms:modified xsi:type="dcterms:W3CDTF">2022-07-14T09:37:01Z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F60FC86E3BC44B2CB14B7707CE855CD5</vt:lpwstr>
  </property>
</Properties>
</file>