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043" w:hanging="1043" w:hangingChars="326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</w:t>
      </w:r>
    </w:p>
    <w:p>
      <w:pPr>
        <w:ind w:left="1043" w:hanging="1043" w:hangingChars="326"/>
        <w:rPr>
          <w:rFonts w:hint="eastAsia" w:ascii="黑体" w:hAnsi="黑体" w:eastAsia="黑体"/>
          <w:szCs w:val="32"/>
        </w:rPr>
      </w:pPr>
    </w:p>
    <w:p>
      <w:pPr>
        <w:spacing w:line="560" w:lineRule="exact"/>
        <w:ind w:firstLine="0" w:firstLineChars="0"/>
        <w:jc w:val="center"/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编制说明</w:t>
      </w:r>
    </w:p>
    <w:p>
      <w:pPr>
        <w:spacing w:line="560" w:lineRule="exact"/>
        <w:ind w:firstLine="880"/>
        <w:jc w:val="center"/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 xml:space="preserve"> </w:t>
      </w:r>
    </w:p>
    <w:p>
      <w:pPr>
        <w:spacing w:line="560" w:lineRule="exact"/>
        <w:ind w:firstLine="640"/>
        <w:rPr>
          <w:rFonts w:hint="eastAsia" w:ascii="黑体" w:hAnsi="黑体" w:eastAsia="黑体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一、编制背景</w:t>
      </w:r>
    </w:p>
    <w:p>
      <w:pPr>
        <w:spacing w:line="560" w:lineRule="exact"/>
        <w:ind w:firstLine="640"/>
        <w:rPr>
          <w:rFonts w:hint="eastAsia" w:ascii="Arial" w:hAnsi="Arial" w:cs="Arial"/>
          <w:color w:val="191919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szCs w:val="32"/>
        </w:rPr>
        <w:t>经过多年发展，我市信息基础设施建设取得了积极的成效，为数字经济发展提供了有力支撑。国家发展改革委批复同意，深圳获批成为全国首个基础设施高质量发展试点，这充分体现了国家对深圳基础设施建设的高度重视、充分肯定，同时也是国家赋予深圳新的一项光荣使命。</w:t>
      </w:r>
      <w:r>
        <w:rPr>
          <w:rFonts w:ascii="仿宋_GB2312" w:hAnsi="Arial" w:cs="Arial"/>
          <w:color w:val="191919"/>
          <w:szCs w:val="32"/>
          <w:shd w:val="clear" w:color="auto" w:fill="FFFFFF"/>
        </w:rPr>
        <w:t>在取得成绩的同时，也要清醒地认识到，我市信息基础设施与国内外标杆城市相比还有一定差距</w:t>
      </w:r>
      <w:r>
        <w:rPr>
          <w:rFonts w:hint="eastAsia" w:ascii="仿宋_GB2312" w:cs="仿宋_GB2312"/>
          <w:spacing w:val="15"/>
          <w:szCs w:val="32"/>
        </w:rPr>
        <w:t>。为全力提升我市信息基础设施水平，市政府于</w:t>
      </w:r>
      <w:r>
        <w:rPr>
          <w:rFonts w:hint="eastAsia" w:ascii="仿宋_GB2312" w:hAnsi="仿宋_GB2312" w:cs="仿宋_GB2312"/>
          <w:szCs w:val="32"/>
        </w:rPr>
        <w:t>2月份出台了《深圳市推进新型信息基础设施建设行动计划（2022—2025年）》（以下简称《行动计划》），提出“到2025年底，基本建成泛在先进、高速智能、天地一体、绿色低碳、安全高效的新型信息基础设施供给体系，网络建设规模和服务水平全球领先，成为世界先进、模式创新的新型信息基础设施标杆城市”。为贯彻落实《行动计划》，市工信局牵头起草了《深圳市关于支持新型信息基础设施建设的若干措施》（以下简称《若干措施》），鼓励和引导多元主体加快推动新型信息基础设施建设，推动数字经济高质量发展，打通经济社会发展的信息“大动脉”。</w:t>
      </w:r>
    </w:p>
    <w:p>
      <w:pPr>
        <w:spacing w:line="578" w:lineRule="exact"/>
        <w:ind w:firstLine="640" w:firstLineChars="0"/>
        <w:rPr>
          <w:rFonts w:ascii="仿宋_GB2312" w:hAnsi="Calibri"/>
          <w:szCs w:val="32"/>
        </w:rPr>
      </w:pPr>
      <w:r>
        <w:rPr>
          <w:rFonts w:hint="eastAsia" w:ascii="黑体" w:hAnsi="黑体" w:eastAsia="黑体"/>
          <w:szCs w:val="32"/>
        </w:rPr>
        <w:t>二、主要内容</w:t>
      </w:r>
    </w:p>
    <w:p>
      <w:pPr>
        <w:ind w:firstLine="640"/>
        <w:rPr>
          <w:rFonts w:hint="eastAsia" w:ascii="仿宋_GB2312" w:cs="仿宋_GB2312"/>
          <w:szCs w:val="32"/>
        </w:rPr>
      </w:pPr>
      <w:r>
        <w:rPr>
          <w:rFonts w:hint="eastAsia" w:ascii="仿宋_GB2312" w:cs="仿宋_GB2312"/>
          <w:szCs w:val="32"/>
        </w:rPr>
        <w:t>《若干措施》结合市委市政府的要求和我市信息基础设施发展实际，从6方面</w:t>
      </w:r>
      <w:r>
        <w:rPr>
          <w:rFonts w:hint="eastAsia" w:ascii="仿宋_GB2312" w:hAnsi="仿宋_GB2312" w:cs="仿宋_GB2312"/>
          <w:szCs w:val="32"/>
        </w:rPr>
        <w:t>提出了</w:t>
      </w:r>
      <w:r>
        <w:rPr>
          <w:rFonts w:hint="eastAsia" w:ascii="仿宋_GB2312" w:cs="仿宋_GB2312"/>
          <w:szCs w:val="32"/>
        </w:rPr>
        <w:t>15条具体措施。</w:t>
      </w:r>
    </w:p>
    <w:p>
      <w:pPr>
        <w:ind w:firstLine="640"/>
        <w:rPr>
          <w:rFonts w:hint="eastAsia" w:ascii="仿宋_GB2312" w:hAnsi="Calibri" w:cs="仿宋_GB2312"/>
          <w:szCs w:val="32"/>
        </w:rPr>
      </w:pPr>
      <w:r>
        <w:rPr>
          <w:rFonts w:hint="eastAsia" w:ascii="仿宋_GB2312" w:cs="仿宋_GB2312"/>
          <w:szCs w:val="32"/>
        </w:rPr>
        <w:t>第一部分围绕提升网络接入设施服务能力</w:t>
      </w:r>
      <w:r>
        <w:rPr>
          <w:rFonts w:hint="eastAsia" w:ascii="仿宋_GB2312" w:hAnsi="仿宋_GB2312" w:cs="仿宋_GB2312"/>
          <w:szCs w:val="32"/>
        </w:rPr>
        <w:t>，提出推进千兆光网建设、实施百万用户宽带提速升级、支持广电网络升级改造、推广实施光纤到房间（FTTR）、推动人员密集区域无线局域网全覆盖等5条具体措施。</w:t>
      </w:r>
    </w:p>
    <w:p>
      <w:pPr>
        <w:ind w:firstLine="640"/>
        <w:rPr>
          <w:rFonts w:hint="eastAsia" w:ascii="仿宋_GB2312" w:cs="仿宋_GB2312"/>
          <w:szCs w:val="32"/>
        </w:rPr>
      </w:pPr>
      <w:r>
        <w:rPr>
          <w:rFonts w:hint="eastAsia" w:ascii="仿宋_GB2312" w:cs="仿宋_GB2312"/>
          <w:szCs w:val="32"/>
        </w:rPr>
        <w:t>第二部分围绕打造信息通信枢纽，提出推进IPv6网络规模部署和应用、</w:t>
      </w:r>
      <w:r>
        <w:rPr>
          <w:rFonts w:hint="eastAsia" w:ascii="仿宋_GB2312" w:hAnsi="仿宋_GB2312" w:cs="仿宋_GB2312"/>
          <w:szCs w:val="32"/>
        </w:rPr>
        <w:t>支持国家级通信设施建设、支持新型互联网交换中心建设等</w:t>
      </w:r>
      <w:r>
        <w:rPr>
          <w:rFonts w:hint="eastAsia" w:ascii="仿宋_GB2312" w:cs="仿宋_GB2312"/>
          <w:szCs w:val="32"/>
        </w:rPr>
        <w:t>3条具体措施。</w:t>
      </w:r>
    </w:p>
    <w:p>
      <w:pPr>
        <w:ind w:firstLine="640"/>
        <w:rPr>
          <w:rFonts w:hint="eastAsia" w:ascii="仿宋_GB2312" w:hAnsi="Calibri" w:cs="仿宋_GB2312"/>
          <w:szCs w:val="32"/>
        </w:rPr>
      </w:pPr>
      <w:r>
        <w:rPr>
          <w:rFonts w:hint="eastAsia" w:ascii="仿宋_GB2312" w:cs="仿宋_GB2312"/>
          <w:szCs w:val="32"/>
        </w:rPr>
        <w:t>第三部分围绕提升城市智慧生活品质</w:t>
      </w:r>
      <w:r>
        <w:rPr>
          <w:rFonts w:hint="eastAsia" w:ascii="仿宋_GB2312" w:hAnsi="仿宋_GB2312" w:cs="仿宋_GB2312"/>
          <w:szCs w:val="32"/>
        </w:rPr>
        <w:t>，提出推进智能表计规模部署具体措施。</w:t>
      </w:r>
    </w:p>
    <w:p>
      <w:pPr>
        <w:ind w:firstLine="64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第四部分围绕提高我市在信息通信领域的影响力，提出支持相关领域高端活动具体措施。</w:t>
      </w:r>
    </w:p>
    <w:p>
      <w:pPr>
        <w:ind w:firstLine="640"/>
        <w:rPr>
          <w:rFonts w:hint="eastAsia" w:ascii="仿宋_GB2312" w:hAnsi="Calibri"/>
          <w:b/>
          <w:bCs/>
          <w:szCs w:val="32"/>
        </w:rPr>
      </w:pPr>
      <w:r>
        <w:rPr>
          <w:rFonts w:hint="eastAsia" w:ascii="仿宋_GB2312"/>
          <w:szCs w:val="32"/>
        </w:rPr>
        <w:t>第五部分从加强监测评估、强化协同部署、优化审批流程、优化运行环境、健全工作机制等5方面，提出了营造信息基础设施良好发展环境的具体举措。</w:t>
      </w:r>
    </w:p>
    <w:p>
      <w:pPr>
        <w:ind w:firstLine="640"/>
        <w:rPr>
          <w:rFonts w:hint="eastAsia" w:ascii="仿宋_GB2312" w:hAnsi="仿宋_GB2312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三、资金测算</w:t>
      </w:r>
    </w:p>
    <w:p>
      <w:pPr>
        <w:ind w:firstLine="616"/>
        <w:rPr>
          <w:rFonts w:hint="eastAsia" w:ascii="仿宋_GB2312" w:hAnsi="仿宋_GB2312" w:cs="仿宋_GB2312"/>
          <w:spacing w:val="-6"/>
          <w:szCs w:val="32"/>
        </w:rPr>
      </w:pPr>
      <w:r>
        <w:rPr>
          <w:rFonts w:hint="eastAsia" w:ascii="仿宋_GB2312" w:hAnsi="仿宋_GB2312" w:cs="仿宋_GB2312"/>
          <w:spacing w:val="-6"/>
          <w:szCs w:val="32"/>
        </w:rPr>
        <w:t>《若干措施》</w:t>
      </w:r>
      <w:r>
        <w:rPr>
          <w:rFonts w:hint="eastAsia" w:ascii="仿宋_GB2312" w:hAnsi="仿宋_GB2312" w:cs="Calibri"/>
          <w:spacing w:val="-6"/>
          <w:szCs w:val="32"/>
        </w:rPr>
        <w:t>15</w:t>
      </w:r>
      <w:r>
        <w:rPr>
          <w:rFonts w:hint="eastAsia" w:ascii="仿宋_GB2312" w:hAnsi="仿宋_GB2312" w:cs="仿宋_GB2312"/>
          <w:spacing w:val="-6"/>
          <w:szCs w:val="32"/>
        </w:rPr>
        <w:t>条举措中，涉及资金支出的共有</w:t>
      </w:r>
      <w:r>
        <w:rPr>
          <w:rFonts w:hint="eastAsia" w:ascii="仿宋_GB2312" w:hAnsi="仿宋_GB2312" w:cs="Calibri"/>
          <w:spacing w:val="-6"/>
          <w:szCs w:val="32"/>
        </w:rPr>
        <w:t>10</w:t>
      </w:r>
      <w:r>
        <w:rPr>
          <w:rFonts w:hint="eastAsia" w:ascii="仿宋_GB2312" w:hAnsi="仿宋_GB2312" w:cs="仿宋_GB2312"/>
          <w:spacing w:val="-6"/>
          <w:szCs w:val="32"/>
        </w:rPr>
        <w:t>条，所需总资金为</w:t>
      </w:r>
      <w:r>
        <w:rPr>
          <w:rFonts w:hint="eastAsia" w:ascii="仿宋_GB2312" w:hAnsi="仿宋_GB2312" w:cs="Calibri"/>
          <w:spacing w:val="-6"/>
          <w:szCs w:val="32"/>
        </w:rPr>
        <w:t>18.91</w:t>
      </w:r>
      <w:r>
        <w:rPr>
          <w:rFonts w:hint="eastAsia" w:ascii="仿宋_GB2312" w:hAnsi="仿宋_GB2312" w:cs="仿宋_GB2312"/>
          <w:spacing w:val="-6"/>
          <w:szCs w:val="32"/>
        </w:rPr>
        <w:t>亿元。其中，推进千兆光网建设包括对</w:t>
      </w:r>
      <w:r>
        <w:rPr>
          <w:rFonts w:hint="eastAsia" w:ascii="仿宋_GB2312" w:hAnsi="仿宋_GB2312" w:cs="Calibri"/>
          <w:spacing w:val="-6"/>
          <w:szCs w:val="32"/>
        </w:rPr>
        <w:t>10G-PON</w:t>
      </w:r>
      <w:r>
        <w:rPr>
          <w:rFonts w:hint="eastAsia" w:ascii="仿宋_GB2312" w:hAnsi="仿宋_GB2312" w:cs="仿宋_GB2312"/>
          <w:spacing w:val="-6"/>
          <w:szCs w:val="32"/>
        </w:rPr>
        <w:t>端口部署、重点工业园区全光改造进行资助，涉及资金</w:t>
      </w:r>
      <w:r>
        <w:rPr>
          <w:rFonts w:ascii="仿宋_GB2312" w:hAnsi="仿宋_GB2312" w:cs="仿宋_GB2312"/>
          <w:spacing w:val="-6"/>
          <w:szCs w:val="32"/>
        </w:rPr>
        <w:t>7</w:t>
      </w:r>
      <w:r>
        <w:rPr>
          <w:rFonts w:hint="eastAsia" w:ascii="仿宋_GB2312" w:hAnsi="仿宋_GB2312" w:cs="仿宋_GB2312"/>
          <w:spacing w:val="-6"/>
          <w:szCs w:val="32"/>
        </w:rPr>
        <w:t>亿元；实施百万用户宽带提速升级涉及资金</w:t>
      </w:r>
      <w:r>
        <w:rPr>
          <w:rFonts w:hint="eastAsia" w:ascii="仿宋_GB2312" w:hAnsi="仿宋_GB2312" w:cs="Calibri"/>
          <w:spacing w:val="-6"/>
          <w:szCs w:val="32"/>
        </w:rPr>
        <w:t>2.3</w:t>
      </w:r>
      <w:r>
        <w:rPr>
          <w:rFonts w:hint="eastAsia" w:ascii="仿宋_GB2312" w:hAnsi="仿宋_GB2312" w:cs="仿宋_GB2312"/>
          <w:spacing w:val="-6"/>
          <w:szCs w:val="32"/>
        </w:rPr>
        <w:t>亿元；支持广电网络升级改造涉及资金</w:t>
      </w:r>
      <w:r>
        <w:rPr>
          <w:rFonts w:hint="eastAsia" w:ascii="仿宋_GB2312" w:hAnsi="仿宋_GB2312" w:cs="Calibri"/>
          <w:spacing w:val="-6"/>
          <w:szCs w:val="32"/>
        </w:rPr>
        <w:t>1</w:t>
      </w:r>
      <w:r>
        <w:rPr>
          <w:rFonts w:hint="eastAsia" w:ascii="仿宋_GB2312" w:hAnsi="仿宋_GB2312" w:cs="仿宋_GB2312"/>
          <w:spacing w:val="-6"/>
          <w:szCs w:val="32"/>
        </w:rPr>
        <w:t>亿元；推广实施光纤到房间（FTTR）0.72亿元；推动人员密集区域无线局域网全覆盖涉及资金</w:t>
      </w:r>
      <w:r>
        <w:rPr>
          <w:rFonts w:ascii="仿宋_GB2312" w:hAnsi="仿宋_GB2312" w:cs="仿宋_GB2312"/>
          <w:spacing w:val="-6"/>
          <w:szCs w:val="32"/>
        </w:rPr>
        <w:t>1.2</w:t>
      </w:r>
      <w:r>
        <w:rPr>
          <w:rFonts w:hint="eastAsia" w:ascii="仿宋_GB2312" w:hAnsi="仿宋_GB2312" w:cs="仿宋_GB2312"/>
          <w:spacing w:val="-6"/>
          <w:szCs w:val="32"/>
        </w:rPr>
        <w:t>亿元；支持</w:t>
      </w:r>
      <w:r>
        <w:rPr>
          <w:rFonts w:hint="eastAsia" w:ascii="仿宋_GB2312" w:hAnsi="仿宋_GB2312" w:cs="Calibri"/>
          <w:spacing w:val="-6"/>
          <w:szCs w:val="32"/>
        </w:rPr>
        <w:t>IPv6</w:t>
      </w:r>
      <w:r>
        <w:rPr>
          <w:rFonts w:hint="eastAsia" w:ascii="仿宋_GB2312" w:hAnsi="仿宋_GB2312" w:cs="仿宋_GB2312"/>
          <w:spacing w:val="-6"/>
          <w:szCs w:val="32"/>
        </w:rPr>
        <w:t>网络规模部署和应用涉及资金</w:t>
      </w:r>
      <w:r>
        <w:rPr>
          <w:rFonts w:hint="eastAsia" w:ascii="仿宋_GB2312" w:hAnsi="仿宋_GB2312" w:cs="Calibri"/>
          <w:spacing w:val="-6"/>
          <w:szCs w:val="32"/>
        </w:rPr>
        <w:t>0.1</w:t>
      </w:r>
      <w:r>
        <w:rPr>
          <w:rFonts w:hint="eastAsia" w:ascii="仿宋_GB2312" w:hAnsi="仿宋_GB2312" w:cs="仿宋_GB2312"/>
          <w:spacing w:val="-6"/>
          <w:szCs w:val="32"/>
        </w:rPr>
        <w:t>亿元；支持新型互联网交换中心建设涉及资金</w:t>
      </w:r>
      <w:r>
        <w:rPr>
          <w:rFonts w:hint="eastAsia" w:ascii="仿宋_GB2312" w:hAnsi="仿宋_GB2312" w:cs="Calibri"/>
          <w:spacing w:val="-6"/>
          <w:szCs w:val="32"/>
        </w:rPr>
        <w:t>1</w:t>
      </w:r>
      <w:r>
        <w:rPr>
          <w:rFonts w:ascii="仿宋_GB2312" w:hAnsi="仿宋_GB2312" w:cs="仿宋_GB2312"/>
          <w:spacing w:val="-6"/>
          <w:szCs w:val="32"/>
        </w:rPr>
        <w:t>.</w:t>
      </w:r>
      <w:r>
        <w:rPr>
          <w:rFonts w:hint="eastAsia" w:ascii="仿宋_GB2312" w:hAnsi="仿宋_GB2312" w:cs="Calibri"/>
          <w:spacing w:val="-6"/>
          <w:szCs w:val="32"/>
        </w:rPr>
        <w:t>6</w:t>
      </w:r>
      <w:r>
        <w:rPr>
          <w:rFonts w:hint="eastAsia" w:ascii="仿宋_GB2312" w:hAnsi="仿宋_GB2312" w:cs="仿宋_GB2312"/>
          <w:spacing w:val="-6"/>
          <w:szCs w:val="32"/>
        </w:rPr>
        <w:t>亿元；推进智能表计规模部署涉及资金</w:t>
      </w:r>
      <w:r>
        <w:rPr>
          <w:rFonts w:hint="eastAsia" w:ascii="仿宋_GB2312" w:hAnsi="仿宋_GB2312" w:cs="Calibri"/>
          <w:spacing w:val="-6"/>
          <w:szCs w:val="32"/>
        </w:rPr>
        <w:t>4.5</w:t>
      </w:r>
      <w:r>
        <w:rPr>
          <w:rFonts w:hint="eastAsia" w:ascii="仿宋_GB2312" w:hAnsi="仿宋_GB2312" w:cs="仿宋_GB2312"/>
          <w:spacing w:val="-6"/>
          <w:szCs w:val="32"/>
        </w:rPr>
        <w:t>亿元；支持相关领域高端活动涉及资金</w:t>
      </w:r>
      <w:r>
        <w:rPr>
          <w:rFonts w:ascii="仿宋_GB2312" w:hAnsi="仿宋_GB2312" w:cs="仿宋_GB2312"/>
          <w:spacing w:val="-6"/>
          <w:szCs w:val="32"/>
        </w:rPr>
        <w:t>0.24</w:t>
      </w:r>
      <w:r>
        <w:rPr>
          <w:rFonts w:hint="eastAsia" w:ascii="仿宋_GB2312" w:hAnsi="仿宋_GB2312" w:cs="仿宋_GB2312"/>
          <w:spacing w:val="-6"/>
          <w:szCs w:val="32"/>
        </w:rPr>
        <w:t>亿元；加强监测评估，建设相关监测管理平台涉及资金</w:t>
      </w:r>
      <w:r>
        <w:rPr>
          <w:rFonts w:hint="eastAsia" w:ascii="仿宋_GB2312" w:hAnsi="仿宋_GB2312" w:cs="Calibri"/>
          <w:spacing w:val="-6"/>
          <w:szCs w:val="32"/>
        </w:rPr>
        <w:t>0.25</w:t>
      </w:r>
      <w:r>
        <w:rPr>
          <w:rFonts w:hint="eastAsia" w:ascii="仿宋_GB2312" w:hAnsi="仿宋_GB2312" w:cs="仿宋_GB2312"/>
          <w:spacing w:val="-6"/>
          <w:szCs w:val="32"/>
        </w:rPr>
        <w:t>亿元。</w:t>
      </w:r>
    </w:p>
    <w:p>
      <w:pPr>
        <w:spacing w:line="560" w:lineRule="exact"/>
        <w:ind w:firstLine="640"/>
        <w:rPr>
          <w:rFonts w:hint="eastAsia" w:ascii="仿宋_GB2312" w:hAnsi="仿宋_GB2312" w:cs="仿宋_GB2312"/>
          <w:szCs w:val="32"/>
        </w:rPr>
      </w:pPr>
    </w:p>
    <w:p>
      <w:pPr>
        <w:spacing w:line="240" w:lineRule="auto"/>
        <w:ind w:firstLine="0" w:firstLineChars="0"/>
        <w:rPr>
          <w:rFonts w:eastAsia="宋体"/>
          <w:sz w:val="21"/>
          <w:szCs w:val="22"/>
        </w:rPr>
      </w:pPr>
    </w:p>
    <w:p>
      <w:pPr>
        <w:pStyle w:val="7"/>
        <w:autoSpaceDE w:val="0"/>
        <w:snapToGrid w:val="0"/>
        <w:spacing w:line="560" w:lineRule="exact"/>
        <w:ind w:left="0" w:firstLine="0" w:firstLineChars="0"/>
        <w:rPr>
          <w:rFonts w:hint="eastAsia"/>
        </w:rPr>
      </w:pPr>
    </w:p>
    <w:p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85" w:right="1418" w:bottom="1418" w:left="141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23A61F4-2BB5-4F68-9943-65D040FB3A4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D69E31B-EA33-4640-92D0-9D6AAD2DF7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45B92F46-86D7-4C2A-8718-65E32FE7164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0AD11686-BD19-4173-ACF8-3DF5287A8F7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D190C580-8D8C-48F0-B236-E0B6B7996BC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8C5D6194-2697-4391-A407-9B4D7C4382C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6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9 -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0" w:firstLineChars="0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- 8 -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0" w:firstLineChars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  <w:p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YmVmMjI1MmU0NDA5MWVkYTJkN2NiNzM1NjE0NmEifQ=="/>
  </w:docVars>
  <w:rsids>
    <w:rsidRoot w:val="17B63973"/>
    <w:rsid w:val="17B6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622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附件"/>
    <w:basedOn w:val="1"/>
    <w:qFormat/>
    <w:uiPriority w:val="3"/>
    <w:pPr>
      <w:ind w:left="1014" w:hanging="1014" w:hangingChars="326"/>
    </w:pPr>
    <w:rPr>
      <w:rFonts w:ascii="黑体" w:hAnsi="黑体" w:eastAsia="黑体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2022-07-17T13:39:00Z</dcterms:created>
  <dc:creator>阿营</dc:creator>
  <cp:lastModifiedBy>阿营</cp:lastModifiedBy>
  <dcterms:modified xsi:type="dcterms:W3CDTF">2022-07-17T13:40:26Z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5B9C4C5B83FE4CC0A543C517072D74C2</vt:lpwstr>
  </property>
</Properties>
</file>