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Calibri"/>
          <w:sz w:val="32"/>
          <w:szCs w:val="32"/>
        </w:rPr>
      </w:pPr>
      <w:r>
        <w:rPr>
          <w:rFonts w:hint="eastAsia" w:ascii="黑体" w:hAnsi="黑体" w:eastAsia="黑体" w:cs="Calibri"/>
          <w:sz w:val="32"/>
          <w:szCs w:val="32"/>
        </w:rPr>
        <w:t>附件1</w:t>
      </w:r>
    </w:p>
    <w:p>
      <w:pPr>
        <w:spacing w:line="560" w:lineRule="exact"/>
        <w:rPr>
          <w:rFonts w:hint="default" w:cs="Times New Roman"/>
          <w:bCs/>
          <w:shd w:val="clear" w:color="auto" w:fill="auto"/>
          <w:lang w:val="en-US" w:eastAsia="zh-CN"/>
        </w:rPr>
      </w:pPr>
      <w:r>
        <w:rPr>
          <w:rFonts w:hint="eastAsia" w:ascii="黑体" w:hAnsi="黑体" w:eastAsia="黑体" w:cs="Calibri"/>
          <w:sz w:val="32"/>
          <w:szCs w:val="32"/>
        </w:rPr>
        <w:t xml:space="preserve"> </w:t>
      </w:r>
    </w:p>
    <w:p>
      <w:pPr>
        <w:pStyle w:val="2"/>
        <w:rPr>
          <w:rFonts w:hint="eastAsia" w:cs="Times New Roman"/>
          <w:bCs/>
          <w:shd w:val="clear" w:color="auto" w:fill="auto"/>
        </w:rPr>
      </w:pPr>
      <w:r>
        <w:rPr>
          <w:rFonts w:hint="eastAsia" w:cs="Times New Roman"/>
          <w:bCs/>
          <w:shd w:val="clear" w:color="auto" w:fill="auto"/>
        </w:rPr>
        <w:t>深圳市提升工业软件</w:t>
      </w:r>
      <w:r>
        <w:rPr>
          <w:rFonts w:hint="eastAsia" w:cs="Times New Roman"/>
          <w:bCs/>
          <w:shd w:val="clear" w:color="auto" w:fill="auto"/>
          <w:lang w:eastAsia="zh-CN"/>
        </w:rPr>
        <w:t>创新</w:t>
      </w:r>
      <w:r>
        <w:rPr>
          <w:rFonts w:hint="eastAsia" w:cs="Times New Roman"/>
          <w:bCs/>
          <w:shd w:val="clear" w:color="auto" w:fill="auto"/>
        </w:rPr>
        <w:t>能力</w:t>
      </w:r>
    </w:p>
    <w:p>
      <w:pPr>
        <w:pStyle w:val="2"/>
        <w:rPr>
          <w:rFonts w:hint="eastAsia" w:cs="Times New Roman"/>
          <w:bCs/>
          <w:shd w:val="clear" w:color="auto" w:fill="auto"/>
        </w:rPr>
      </w:pPr>
      <w:r>
        <w:rPr>
          <w:rFonts w:hint="eastAsia" w:cs="Times New Roman"/>
          <w:bCs/>
          <w:shd w:val="clear" w:color="auto" w:fill="auto"/>
        </w:rPr>
        <w:t>实施细则</w:t>
      </w:r>
    </w:p>
    <w:p>
      <w:pPr>
        <w:spacing w:line="560" w:lineRule="exact"/>
        <w:jc w:val="center"/>
        <w:rPr>
          <w:rFonts w:hint="eastAsia" w:ascii="楷体" w:hAnsi="楷体" w:eastAsia="楷体" w:cs="Calibri"/>
          <w:sz w:val="32"/>
          <w:szCs w:val="32"/>
          <w:shd w:val="clear" w:color="auto" w:fill="auto"/>
        </w:rPr>
      </w:pPr>
      <w:r>
        <w:rPr>
          <w:rFonts w:hint="eastAsia" w:ascii="楷体" w:hAnsi="楷体" w:eastAsia="楷体" w:cs="Calibri"/>
          <w:sz w:val="32"/>
          <w:szCs w:val="32"/>
          <w:shd w:val="clear" w:color="auto" w:fill="auto"/>
        </w:rPr>
        <w:t>（征求意见稿）</w:t>
      </w:r>
    </w:p>
    <w:p>
      <w:pPr>
        <w:adjustRightInd w:val="0"/>
        <w:snapToGrid w:val="0"/>
        <w:spacing w:line="540" w:lineRule="exact"/>
        <w:jc w:val="center"/>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 xml:space="preserve"> </w:t>
      </w:r>
    </w:p>
    <w:p>
      <w:pPr>
        <w:widowControl/>
        <w:snapToGrid w:val="0"/>
        <w:spacing w:line="560" w:lineRule="exact"/>
        <w:jc w:val="center"/>
        <w:outlineLvl w:val="0"/>
        <w:rPr>
          <w:rFonts w:hint="eastAsia" w:ascii="黑体" w:hAnsi="黑体" w:eastAsia="黑体" w:cs="Times New Roman"/>
          <w:bCs/>
          <w:sz w:val="32"/>
          <w:szCs w:val="32"/>
          <w:shd w:val="clear" w:color="auto" w:fill="auto"/>
        </w:rPr>
      </w:pPr>
      <w:r>
        <w:rPr>
          <w:rFonts w:hint="eastAsia" w:ascii="黑体" w:hAnsi="黑体" w:eastAsia="黑体" w:cs="Calibri"/>
          <w:bCs/>
          <w:color w:val="040404"/>
          <w:sz w:val="32"/>
          <w:szCs w:val="32"/>
          <w:shd w:val="clear" w:color="auto" w:fill="auto"/>
        </w:rPr>
        <w:t>第一章</w:t>
      </w:r>
      <w:r>
        <w:rPr>
          <w:rFonts w:hint="eastAsia" w:ascii="黑体" w:hAnsi="黑体" w:eastAsia="黑体" w:cs="Calibri"/>
          <w:bCs/>
          <w:color w:val="040404"/>
          <w:sz w:val="32"/>
          <w:szCs w:val="32"/>
          <w:shd w:val="clear" w:color="auto" w:fill="auto"/>
          <w:lang w:val="en-US" w:eastAsia="zh-CN"/>
        </w:rPr>
        <w:t xml:space="preserve">  </w:t>
      </w:r>
      <w:r>
        <w:rPr>
          <w:rFonts w:hint="eastAsia" w:ascii="黑体" w:hAnsi="黑体" w:eastAsia="黑体" w:cs="Calibri"/>
          <w:bCs/>
          <w:color w:val="040404"/>
          <w:sz w:val="32"/>
          <w:szCs w:val="32"/>
          <w:shd w:val="clear" w:color="auto" w:fill="auto"/>
        </w:rPr>
        <w:t>总    则</w:t>
      </w:r>
    </w:p>
    <w:p>
      <w:pPr>
        <w:widowControl w:val="0"/>
        <w:spacing w:before="0" w:after="0" w:line="560" w:lineRule="exact"/>
        <w:ind w:firstLine="640" w:firstLineChars="200"/>
        <w:jc w:val="both"/>
        <w:outlineLvl w:val="9"/>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黑体" w:hAnsi="黑体" w:eastAsia="黑体" w:cs="仿宋_GB2312"/>
          <w:b w:val="0"/>
          <w:bCs/>
          <w:color w:val="040404"/>
          <w:kern w:val="2"/>
          <w:sz w:val="32"/>
          <w:szCs w:val="32"/>
          <w:shd w:val="clear" w:color="auto" w:fill="auto"/>
          <w:lang w:val="en-US" w:eastAsia="zh-CN" w:bidi="ar-SA"/>
        </w:rPr>
        <w:t>第一条</w:t>
      </w:r>
      <w:r>
        <w:rPr>
          <w:rFonts w:hint="eastAsia" w:ascii="仿宋_GB2312" w:hAnsi="仿宋_GB2312" w:eastAsia="仿宋_GB2312" w:cs="仿宋_GB2312"/>
          <w:b w:val="0"/>
          <w:bCs w:val="0"/>
          <w:kern w:val="2"/>
          <w:sz w:val="32"/>
          <w:szCs w:val="32"/>
          <w:shd w:val="clear" w:color="auto" w:fill="auto"/>
          <w:lang w:val="en-US" w:eastAsia="zh-CN" w:bidi="ar-SA"/>
        </w:rPr>
        <w:t xml:space="preserve"> 为贯彻落实《关于进一步促进深圳工业经济稳增长提质量的若干措施》（深府〔2022〕45号），提升工业软件创新能力，推动工业经济高质量发展，特制定本实施细则（以下简称“细则”）。</w:t>
      </w:r>
    </w:p>
    <w:p>
      <w:pPr>
        <w:widowControl w:val="0"/>
        <w:spacing w:before="0" w:after="0" w:line="560" w:lineRule="exact"/>
        <w:ind w:firstLine="640" w:firstLineChars="200"/>
        <w:jc w:val="both"/>
        <w:outlineLvl w:val="9"/>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黑体" w:hAnsi="黑体" w:eastAsia="黑体" w:cs="仿宋_GB2312"/>
          <w:b w:val="0"/>
          <w:bCs/>
          <w:color w:val="040404"/>
          <w:kern w:val="2"/>
          <w:sz w:val="32"/>
          <w:szCs w:val="32"/>
          <w:shd w:val="clear" w:color="auto" w:fill="auto"/>
          <w:lang w:val="en-US" w:eastAsia="zh-CN" w:bidi="ar-SA"/>
        </w:rPr>
        <w:t>第二条</w:t>
      </w:r>
      <w:r>
        <w:rPr>
          <w:rFonts w:hint="eastAsia" w:ascii="仿宋_GB2312" w:hAnsi="仿宋_GB2312" w:eastAsia="仿宋_GB2312" w:cs="仿宋_GB2312"/>
          <w:b w:val="0"/>
          <w:bCs w:val="0"/>
          <w:kern w:val="2"/>
          <w:sz w:val="32"/>
          <w:szCs w:val="32"/>
          <w:shd w:val="clear" w:color="auto" w:fill="auto"/>
          <w:lang w:val="en-US" w:eastAsia="zh-CN" w:bidi="ar-SA"/>
        </w:rPr>
        <w:t xml:space="preserve"> 本细则适用于由市工业和信息化局负责组织实施的提升工业软件创新能力专项资助的</w:t>
      </w:r>
      <w:r>
        <w:rPr>
          <w:rFonts w:hint="eastAsia" w:ascii="仿宋_GB2312" w:hAnsi="仿宋_GB2312" w:eastAsia="仿宋_GB2312" w:cs="仿宋_GB2312"/>
          <w:b w:val="0"/>
          <w:bCs w:val="0"/>
          <w:color w:val="040404"/>
          <w:kern w:val="0"/>
          <w:sz w:val="32"/>
          <w:szCs w:val="32"/>
          <w:shd w:val="clear" w:color="auto" w:fill="auto"/>
          <w:lang w:val="en-US" w:eastAsia="zh-CN" w:bidi="ar-SA"/>
        </w:rPr>
        <w:t>申报、奖励以及监督管理活动</w:t>
      </w:r>
      <w:r>
        <w:rPr>
          <w:rFonts w:hint="eastAsia" w:ascii="仿宋_GB2312" w:hAnsi="仿宋_GB2312" w:eastAsia="仿宋_GB2312" w:cs="仿宋_GB2312"/>
          <w:b w:val="0"/>
          <w:bCs w:val="0"/>
          <w:kern w:val="2"/>
          <w:sz w:val="32"/>
          <w:szCs w:val="32"/>
          <w:shd w:val="clear" w:color="auto" w:fill="auto"/>
          <w:lang w:val="en-US" w:eastAsia="zh-CN" w:bidi="ar-SA"/>
        </w:rPr>
        <w:t>。</w:t>
      </w:r>
    </w:p>
    <w:p>
      <w:pPr>
        <w:widowControl w:val="0"/>
        <w:spacing w:before="0" w:after="0" w:line="560" w:lineRule="exact"/>
        <w:ind w:firstLine="640" w:firstLineChars="200"/>
        <w:jc w:val="both"/>
        <w:outlineLvl w:val="9"/>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黑体" w:hAnsi="黑体" w:eastAsia="黑体" w:cs="仿宋_GB2312"/>
          <w:b w:val="0"/>
          <w:bCs/>
          <w:color w:val="040404"/>
          <w:kern w:val="2"/>
          <w:sz w:val="32"/>
          <w:szCs w:val="32"/>
          <w:shd w:val="clear" w:color="auto" w:fill="auto"/>
          <w:lang w:val="en-US" w:eastAsia="zh-CN" w:bidi="ar-SA"/>
        </w:rPr>
        <w:t>第三条</w:t>
      </w:r>
      <w:r>
        <w:rPr>
          <w:rFonts w:hint="eastAsia" w:ascii="仿宋_GB2312" w:hAnsi="仿宋_GB2312" w:eastAsia="仿宋_GB2312" w:cs="仿宋_GB2312"/>
          <w:b w:val="0"/>
          <w:bCs w:val="0"/>
          <w:kern w:val="2"/>
          <w:sz w:val="32"/>
          <w:szCs w:val="32"/>
          <w:shd w:val="clear" w:color="auto" w:fill="auto"/>
          <w:lang w:val="en-US" w:eastAsia="zh-CN" w:bidi="ar-SA"/>
        </w:rPr>
        <w:t xml:space="preserve"> 本细则所指的工业软件是以工业知识（工业技术、工艺经验、制造知识和方法等）为核心、为工业（含能源、原材料、采掘、制造等）产品带来高附加值，用于提高工业企业研发设计、制造业务管理、生产调度和过程控制水平、工业装备性能的软件。主要包括研发设计类的计算机辅助设计（CAD）、计算机辅助工程（CAE）、计算机辅助工艺过程设计（CAPP）、计算机辅助制造（CAM）、产品全生命周期管理（PLM）、建筑信息模型（BIM）、城市信息模型（CIM）等；生产调度和过程控制类的制造执行系统（MES）、高级计划排产系统（APS）等；其他定制工业软件。</w:t>
      </w:r>
    </w:p>
    <w:p>
      <w:pPr>
        <w:spacing w:line="560" w:lineRule="exact"/>
        <w:ind w:firstLine="640" w:firstLineChars="200"/>
        <w:rPr>
          <w:rFonts w:hint="eastAsia" w:ascii="仿宋_GB2312" w:hAnsi="Calibri" w:eastAsia="仿宋_GB2312" w:cs="Calibri"/>
          <w:sz w:val="32"/>
          <w:szCs w:val="32"/>
          <w:shd w:val="clear" w:color="auto" w:fill="auto"/>
        </w:rPr>
      </w:pPr>
      <w:r>
        <w:rPr>
          <w:rFonts w:hint="eastAsia" w:ascii="仿宋_GB2312" w:hAnsi="Calibri" w:eastAsia="仿宋_GB2312" w:cs="Calibri"/>
          <w:sz w:val="32"/>
          <w:szCs w:val="32"/>
          <w:shd w:val="clear" w:color="auto" w:fill="auto"/>
        </w:rPr>
        <w:t xml:space="preserve"> </w:t>
      </w:r>
    </w:p>
    <w:p>
      <w:pPr>
        <w:widowControl/>
        <w:numPr>
          <w:ilvl w:val="0"/>
          <w:numId w:val="0"/>
        </w:numPr>
        <w:adjustRightInd w:val="0"/>
        <w:snapToGrid w:val="0"/>
        <w:spacing w:line="540" w:lineRule="exact"/>
        <w:jc w:val="center"/>
        <w:outlineLvl w:val="0"/>
        <w:rPr>
          <w:rFonts w:hint="eastAsia" w:ascii="黑体" w:hAnsi="黑体" w:eastAsia="黑体" w:cs="Times New Roman"/>
          <w:bCs/>
          <w:color w:val="040404"/>
          <w:sz w:val="32"/>
          <w:szCs w:val="32"/>
          <w:shd w:val="clear" w:color="auto" w:fill="auto"/>
        </w:rPr>
      </w:pPr>
      <w:r>
        <w:rPr>
          <w:rFonts w:hint="eastAsia" w:ascii="黑体" w:hAnsi="黑体" w:eastAsia="黑体" w:cs="Calibri"/>
          <w:bCs/>
          <w:color w:val="040404"/>
          <w:sz w:val="32"/>
          <w:szCs w:val="32"/>
          <w:shd w:val="clear" w:color="auto" w:fill="auto"/>
        </w:rPr>
        <w:t xml:space="preserve"> 第</w:t>
      </w:r>
      <w:r>
        <w:rPr>
          <w:rFonts w:hint="eastAsia" w:ascii="黑体" w:hAnsi="黑体" w:eastAsia="黑体" w:cs="Calibri"/>
          <w:bCs/>
          <w:color w:val="040404"/>
          <w:sz w:val="32"/>
          <w:szCs w:val="32"/>
          <w:shd w:val="clear" w:color="auto" w:fill="auto"/>
          <w:lang w:val="en-US" w:eastAsia="zh-CN"/>
        </w:rPr>
        <w:t>二</w:t>
      </w:r>
      <w:r>
        <w:rPr>
          <w:rFonts w:hint="eastAsia" w:ascii="黑体" w:hAnsi="黑体" w:eastAsia="黑体" w:cs="Calibri"/>
          <w:bCs/>
          <w:color w:val="040404"/>
          <w:sz w:val="32"/>
          <w:szCs w:val="32"/>
          <w:shd w:val="clear" w:color="auto" w:fill="auto"/>
        </w:rPr>
        <w:t>章</w:t>
      </w:r>
      <w:r>
        <w:rPr>
          <w:rFonts w:hint="eastAsia" w:ascii="黑体" w:hAnsi="黑体" w:eastAsia="黑体" w:cs="Calibri"/>
          <w:bCs/>
          <w:color w:val="040404"/>
          <w:sz w:val="32"/>
          <w:szCs w:val="32"/>
          <w:shd w:val="clear" w:color="auto" w:fill="auto"/>
          <w:lang w:val="en-US" w:eastAsia="zh-CN"/>
        </w:rPr>
        <w:t xml:space="preserve">  </w:t>
      </w:r>
      <w:r>
        <w:rPr>
          <w:rFonts w:hint="eastAsia" w:ascii="黑体" w:hAnsi="黑体" w:eastAsia="黑体" w:cs="Calibri"/>
          <w:bCs/>
          <w:color w:val="040404"/>
          <w:sz w:val="32"/>
          <w:szCs w:val="32"/>
          <w:shd w:val="clear" w:color="auto" w:fill="auto"/>
        </w:rPr>
        <w:t>申报条件和资助标准</w:t>
      </w:r>
    </w:p>
    <w:p>
      <w:pPr>
        <w:spacing w:line="560" w:lineRule="exact"/>
        <w:ind w:firstLine="640" w:firstLineChars="200"/>
        <w:outlineLvl w:val="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第四条</w:t>
      </w:r>
      <w:r>
        <w:rPr>
          <w:rFonts w:hint="eastAsia" w:ascii="仿宋_GB2312" w:hAnsi="Calibri" w:eastAsia="仿宋_GB2312" w:cs="Calibri"/>
          <w:sz w:val="32"/>
          <w:szCs w:val="32"/>
          <w:shd w:val="clear" w:color="auto" w:fill="auto"/>
        </w:rPr>
        <w:t xml:space="preserve">  申报条件由基础申报条件和专项申报条件两部分组成。基础申报条件如下：</w:t>
      </w:r>
    </w:p>
    <w:p>
      <w:pPr>
        <w:spacing w:line="560" w:lineRule="exact"/>
        <w:ind w:firstLine="640"/>
        <w:outlineLvl w:val="0"/>
        <w:rPr>
          <w:rFonts w:hint="eastAsia" w:ascii="仿宋_GB2312" w:hAnsi="Calibri" w:eastAsia="仿宋_GB2312" w:cs="Calibri"/>
          <w:kern w:val="0"/>
          <w:sz w:val="32"/>
          <w:szCs w:val="32"/>
          <w:shd w:val="clear" w:color="auto" w:fill="auto"/>
        </w:rPr>
      </w:pPr>
      <w:r>
        <w:rPr>
          <w:rFonts w:hint="eastAsia" w:ascii="仿宋_GB2312" w:hAnsi="Calibri" w:eastAsia="仿宋_GB2312" w:cs="Calibri"/>
          <w:sz w:val="32"/>
          <w:szCs w:val="32"/>
          <w:shd w:val="clear" w:color="auto" w:fill="auto"/>
        </w:rPr>
        <w:t>（一）申报主体为在深圳行政区域内（含深汕特别合作区）依法注册登记的独立法人企业、事业单位、行业协会和其他组织，项目实施地深圳市(含深汕特别合作区)</w:t>
      </w:r>
      <w:r>
        <w:rPr>
          <w:rFonts w:hint="eastAsia" w:ascii="仿宋_GB2312" w:hAnsi="Calibri" w:eastAsia="仿宋_GB2312" w:cs="Calibri"/>
          <w:kern w:val="0"/>
          <w:sz w:val="32"/>
          <w:szCs w:val="32"/>
          <w:shd w:val="clear" w:color="auto" w:fill="auto"/>
        </w:rPr>
        <w:t>。</w:t>
      </w:r>
    </w:p>
    <w:p>
      <w:pPr>
        <w:spacing w:line="560" w:lineRule="exact"/>
        <w:ind w:firstLine="640"/>
        <w:rPr>
          <w:rFonts w:hint="eastAsia" w:ascii="仿宋_GB2312" w:hAnsi="Calibri" w:eastAsia="仿宋_GB2312" w:cs="Calibri"/>
          <w:sz w:val="32"/>
          <w:szCs w:val="32"/>
          <w:u w:val="single"/>
          <w:shd w:val="clear" w:color="auto" w:fill="auto"/>
        </w:rPr>
      </w:pPr>
      <w:r>
        <w:rPr>
          <w:rFonts w:hint="eastAsia" w:ascii="仿宋_GB2312" w:hAnsi="Calibri" w:eastAsia="仿宋_GB2312" w:cs="Calibri"/>
          <w:sz w:val="32"/>
          <w:szCs w:val="32"/>
          <w:shd w:val="clear" w:color="auto" w:fill="auto"/>
        </w:rPr>
        <w:t>（二）申报主体未违反国家、省、市联合惩戒政策和制度规定，没有被列为失信联合惩戒对象，无逾期未办理验收或验收未通过的项目。</w:t>
      </w:r>
    </w:p>
    <w:p>
      <w:pPr>
        <w:spacing w:line="560" w:lineRule="exact"/>
        <w:ind w:firstLine="640"/>
        <w:rPr>
          <w:rFonts w:hint="eastAsia" w:ascii="仿宋_GB2312" w:hAnsi="Calibri" w:eastAsia="仿宋_GB2312" w:cs="Calibri"/>
          <w:sz w:val="32"/>
          <w:szCs w:val="32"/>
          <w:shd w:val="clear" w:color="auto" w:fill="auto"/>
        </w:rPr>
      </w:pPr>
      <w:r>
        <w:rPr>
          <w:rFonts w:hint="eastAsia" w:ascii="仿宋_GB2312" w:hAnsi="Calibri" w:eastAsia="仿宋_GB2312" w:cs="Calibri"/>
          <w:sz w:val="32"/>
          <w:szCs w:val="32"/>
          <w:shd w:val="clear" w:color="auto" w:fill="auto"/>
        </w:rPr>
        <w:t>（三）具备实施申请项目所需的配套资金、人员、场地、设备等主要条件保障。</w:t>
      </w:r>
    </w:p>
    <w:p>
      <w:pPr>
        <w:spacing w:line="560" w:lineRule="exact"/>
        <w:ind w:firstLine="640"/>
        <w:rPr>
          <w:rFonts w:hint="eastAsia" w:ascii="仿宋_GB2312" w:hAnsi="Calibri" w:eastAsia="仿宋_GB2312" w:cs="Calibri"/>
          <w:sz w:val="32"/>
          <w:szCs w:val="32"/>
          <w:shd w:val="clear" w:color="auto" w:fill="auto"/>
        </w:rPr>
      </w:pPr>
      <w:r>
        <w:rPr>
          <w:rFonts w:hint="eastAsia" w:ascii="仿宋_GB2312" w:hAnsi="Calibri" w:eastAsia="仿宋_GB2312" w:cs="Calibri"/>
          <w:sz w:val="32"/>
          <w:szCs w:val="32"/>
          <w:shd w:val="clear" w:color="auto" w:fill="auto"/>
        </w:rPr>
        <w:t>（四）不存在就同一单位建设内容相同或部分相同的项目向市有关部门进行多头申报的情形。</w:t>
      </w:r>
    </w:p>
    <w:p>
      <w:pPr>
        <w:adjustRightInd w:val="0"/>
        <w:snapToGrid w:val="0"/>
        <w:spacing w:line="560" w:lineRule="exact"/>
        <w:ind w:firstLine="640" w:firstLineChars="200"/>
        <w:rPr>
          <w:rFonts w:hint="eastAsia" w:ascii="仿宋_GB2312" w:hAnsi="Calibri" w:eastAsia="仿宋_GB2312" w:cs="Calibri"/>
          <w:sz w:val="32"/>
          <w:szCs w:val="32"/>
          <w:shd w:val="clear" w:color="auto" w:fill="auto"/>
        </w:rPr>
      </w:pPr>
      <w:r>
        <w:rPr>
          <w:rFonts w:hint="eastAsia" w:ascii="仿宋_GB2312" w:hAnsi="Calibri" w:eastAsia="仿宋_GB2312" w:cs="Times New Roman"/>
          <w:sz w:val="32"/>
          <w:szCs w:val="32"/>
          <w:shd w:val="clear" w:color="auto" w:fill="auto"/>
        </w:rPr>
        <w:t>（五）</w:t>
      </w:r>
      <w:r>
        <w:rPr>
          <w:rFonts w:hint="eastAsia" w:ascii="仿宋_GB2312" w:hAnsi="Calibri" w:eastAsia="仿宋_GB2312" w:cs="Times New Roman"/>
          <w:color w:val="000000"/>
          <w:kern w:val="0"/>
          <w:sz w:val="32"/>
          <w:szCs w:val="32"/>
          <w:shd w:val="clear" w:color="auto" w:fill="auto"/>
        </w:rPr>
        <w:t>法律、法规、规章和上级行政机关规范性文件规定的其他条件。</w:t>
      </w:r>
    </w:p>
    <w:p>
      <w:pPr>
        <w:widowControl/>
        <w:snapToGrid w:val="0"/>
        <w:spacing w:line="560" w:lineRule="exact"/>
        <w:ind w:firstLine="640" w:firstLineChars="200"/>
        <w:outlineLvl w:val="0"/>
        <w:rPr>
          <w:rFonts w:hint="eastAsia" w:ascii="仿宋_GB2312" w:hAnsi="黑体" w:eastAsia="仿宋_GB2312" w:cs="Times New Roman"/>
          <w:bCs/>
          <w:color w:val="040404"/>
          <w:sz w:val="32"/>
          <w:szCs w:val="32"/>
          <w:shd w:val="clear" w:color="auto" w:fill="auto"/>
        </w:rPr>
      </w:pPr>
      <w:r>
        <w:rPr>
          <w:rFonts w:hint="eastAsia" w:ascii="黑体" w:hAnsi="黑体" w:eastAsia="黑体" w:cs="Calibri"/>
          <w:bCs/>
          <w:color w:val="040404"/>
          <w:sz w:val="32"/>
          <w:szCs w:val="32"/>
          <w:shd w:val="clear" w:color="auto" w:fill="auto"/>
        </w:rPr>
        <w:t>第五条</w:t>
      </w:r>
      <w:r>
        <w:rPr>
          <w:rFonts w:hint="eastAsia" w:ascii="仿宋_GB2312" w:hAnsi="黑体" w:eastAsia="仿宋_GB2312" w:cs="Calibri"/>
          <w:bCs/>
          <w:color w:val="040404"/>
          <w:sz w:val="32"/>
          <w:szCs w:val="32"/>
          <w:shd w:val="clear" w:color="auto" w:fill="auto"/>
        </w:rPr>
        <w:t xml:space="preserve">  具体资助项目和资助标准</w:t>
      </w:r>
    </w:p>
    <w:p>
      <w:pPr>
        <w:widowControl/>
        <w:snapToGrid w:val="0"/>
        <w:spacing w:line="560" w:lineRule="exact"/>
        <w:ind w:firstLine="640" w:firstLineChars="200"/>
        <w:outlineLvl w:val="0"/>
        <w:rPr>
          <w:rFonts w:hint="eastAsia" w:ascii="楷体_GB2312" w:hAnsi="黑体" w:eastAsia="楷体_GB2312" w:cs="Times New Roman"/>
          <w:bCs/>
          <w:color w:val="040404"/>
          <w:sz w:val="32"/>
          <w:szCs w:val="32"/>
          <w:shd w:val="clear" w:color="auto" w:fill="auto"/>
        </w:rPr>
      </w:pPr>
      <w:r>
        <w:rPr>
          <w:rFonts w:hint="eastAsia" w:ascii="楷体_GB2312" w:hAnsi="黑体" w:eastAsia="楷体_GB2312" w:cs="Calibri"/>
          <w:bCs/>
          <w:color w:val="040404"/>
          <w:sz w:val="32"/>
          <w:szCs w:val="32"/>
          <w:shd w:val="clear" w:color="auto" w:fill="auto"/>
        </w:rPr>
        <w:t>（一）国拨资金配套项目。</w:t>
      </w:r>
    </w:p>
    <w:p>
      <w:pPr>
        <w:widowControl/>
        <w:snapToGrid w:val="0"/>
        <w:spacing w:line="560" w:lineRule="exact"/>
        <w:ind w:firstLine="640" w:firstLineChars="200"/>
        <w:outlineLvl w:val="0"/>
        <w:rPr>
          <w:rFonts w:hint="eastAsia" w:ascii="仿宋_GB2312" w:hAnsi="黑体" w:eastAsia="仿宋_GB2312" w:cs="Times New Roman"/>
          <w:bCs/>
          <w:color w:val="040404"/>
          <w:sz w:val="32"/>
          <w:szCs w:val="32"/>
          <w:shd w:val="clear" w:color="auto" w:fill="auto"/>
        </w:rPr>
      </w:pPr>
      <w:r>
        <w:rPr>
          <w:rFonts w:hint="eastAsia" w:ascii="仿宋_GB2312" w:hAnsi="黑体" w:eastAsia="仿宋_GB2312" w:cs="Calibri"/>
          <w:bCs/>
          <w:color w:val="040404"/>
          <w:sz w:val="32"/>
          <w:szCs w:val="32"/>
          <w:shd w:val="clear" w:color="auto" w:fill="auto"/>
        </w:rPr>
        <w:t>1.支持范围：对符合条件的申报主体承担国家有关部委组织实施的工业软件领域重大项目获得的国拨资金给予配套。</w:t>
      </w:r>
    </w:p>
    <w:p>
      <w:pPr>
        <w:widowControl/>
        <w:snapToGrid w:val="0"/>
        <w:spacing w:line="560" w:lineRule="exact"/>
        <w:ind w:firstLine="640" w:firstLineChars="200"/>
        <w:outlineLvl w:val="0"/>
        <w:rPr>
          <w:rFonts w:hint="eastAsia" w:ascii="仿宋_GB2312" w:hAnsi="黑体" w:eastAsia="仿宋_GB2312" w:cs="Times New Roman"/>
          <w:bCs/>
          <w:color w:val="040404"/>
          <w:sz w:val="32"/>
          <w:szCs w:val="32"/>
          <w:shd w:val="clear" w:color="auto" w:fill="auto"/>
        </w:rPr>
      </w:pPr>
      <w:r>
        <w:rPr>
          <w:rFonts w:hint="eastAsia" w:ascii="仿宋_GB2312" w:hAnsi="黑体" w:eastAsia="仿宋_GB2312" w:cs="Calibri"/>
          <w:bCs/>
          <w:color w:val="040404"/>
          <w:sz w:val="32"/>
          <w:szCs w:val="32"/>
          <w:shd w:val="clear" w:color="auto" w:fill="auto"/>
        </w:rPr>
        <w:t>2.支持标准：对国拨资金按不超过1:1的比例予以配套。国拨资金和本市配套资金加总不超过申报主体承诺的自筹资金。</w:t>
      </w:r>
    </w:p>
    <w:p>
      <w:pPr>
        <w:widowControl/>
        <w:snapToGrid w:val="0"/>
        <w:spacing w:line="560" w:lineRule="exact"/>
        <w:ind w:firstLine="640" w:firstLineChars="200"/>
        <w:outlineLvl w:val="0"/>
        <w:rPr>
          <w:rFonts w:hint="eastAsia" w:ascii="仿宋_GB2312" w:hAnsi="黑体" w:eastAsia="仿宋_GB2312" w:cs="Times New Roman"/>
          <w:bCs/>
          <w:color w:val="040404"/>
          <w:sz w:val="32"/>
          <w:szCs w:val="32"/>
          <w:shd w:val="clear" w:color="auto" w:fill="auto"/>
        </w:rPr>
      </w:pPr>
      <w:r>
        <w:rPr>
          <w:rFonts w:hint="eastAsia" w:ascii="仿宋_GB2312" w:hAnsi="黑体" w:eastAsia="仿宋_GB2312" w:cs="Calibri"/>
          <w:bCs/>
          <w:color w:val="040404"/>
          <w:sz w:val="32"/>
          <w:szCs w:val="32"/>
          <w:shd w:val="clear" w:color="auto" w:fill="auto"/>
        </w:rPr>
        <w:t>3.专项申报条件：</w:t>
      </w:r>
    </w:p>
    <w:p>
      <w:pPr>
        <w:widowControl/>
        <w:snapToGrid w:val="0"/>
        <w:spacing w:line="560" w:lineRule="exact"/>
        <w:ind w:firstLine="640" w:firstLineChars="200"/>
        <w:outlineLvl w:val="0"/>
        <w:rPr>
          <w:rFonts w:hint="eastAsia" w:ascii="仿宋_GB2312" w:hAnsi="黑体" w:eastAsia="仿宋_GB2312" w:cs="Times New Roman"/>
          <w:bCs/>
          <w:color w:val="040404"/>
          <w:sz w:val="32"/>
          <w:szCs w:val="32"/>
          <w:shd w:val="clear" w:color="auto" w:fill="auto"/>
        </w:rPr>
      </w:pPr>
      <w:r>
        <w:rPr>
          <w:rFonts w:hint="eastAsia" w:ascii="仿宋_GB2312" w:hAnsi="黑体" w:eastAsia="仿宋_GB2312" w:cs="Calibri"/>
          <w:bCs/>
          <w:color w:val="040404"/>
          <w:sz w:val="32"/>
          <w:szCs w:val="32"/>
          <w:shd w:val="clear" w:color="auto" w:fill="auto"/>
        </w:rPr>
        <w:t>（1）符合申报项目基础申报条件。</w:t>
      </w:r>
    </w:p>
    <w:p>
      <w:pPr>
        <w:widowControl w:val="0"/>
        <w:spacing w:before="0" w:after="0" w:line="580" w:lineRule="exact"/>
        <w:ind w:firstLine="640" w:firstLineChars="200"/>
        <w:jc w:val="both"/>
        <w:outlineLvl w:val="9"/>
        <w:rPr>
          <w:rFonts w:hint="eastAsia" w:ascii="仿宋_GB2312" w:hAnsi="仿宋_GB2312" w:eastAsia="仿宋_GB2312" w:cs="仿宋_GB2312"/>
          <w:b w:val="0"/>
          <w:bCs w:val="0"/>
          <w:kern w:val="0"/>
          <w:sz w:val="32"/>
          <w:szCs w:val="32"/>
          <w:shd w:val="clear" w:color="auto" w:fill="auto"/>
          <w:lang w:val="en-US" w:eastAsia="zh-CN" w:bidi="ar-SA"/>
        </w:rPr>
      </w:pPr>
      <w:r>
        <w:rPr>
          <w:rFonts w:hint="eastAsia" w:ascii="仿宋_GB2312" w:hAnsi="仿宋_GB2312" w:eastAsia="仿宋_GB2312" w:cs="仿宋_GB2312"/>
          <w:b w:val="0"/>
          <w:bCs w:val="0"/>
          <w:kern w:val="0"/>
          <w:sz w:val="32"/>
          <w:szCs w:val="32"/>
          <w:shd w:val="clear" w:color="auto" w:fill="auto"/>
          <w:lang w:val="en-US" w:eastAsia="zh-CN" w:bidi="ar-SA"/>
        </w:rPr>
        <w:t>（2）申报主体为法人企业的，应当满足以下条件之一：</w:t>
      </w:r>
    </w:p>
    <w:p>
      <w:pPr>
        <w:widowControl w:val="0"/>
        <w:spacing w:before="0" w:after="0" w:line="580" w:lineRule="exact"/>
        <w:ind w:firstLine="640" w:firstLineChars="200"/>
        <w:jc w:val="both"/>
        <w:outlineLvl w:val="9"/>
        <w:rPr>
          <w:rFonts w:hint="eastAsia" w:ascii="仿宋_GB2312" w:hAnsi="仿宋_GB2312" w:eastAsia="仿宋_GB2312" w:cs="仿宋_GB2312"/>
          <w:b w:val="0"/>
          <w:bCs w:val="0"/>
          <w:kern w:val="0"/>
          <w:sz w:val="32"/>
          <w:szCs w:val="32"/>
          <w:shd w:val="clear" w:color="auto" w:fill="auto"/>
          <w:lang w:val="en-US" w:eastAsia="zh-CN" w:bidi="ar-SA"/>
        </w:rPr>
      </w:pPr>
      <w:r>
        <w:rPr>
          <w:rFonts w:ascii="Wingdings" w:hAnsi="Wingdings" w:eastAsia="仿宋_GB2312" w:cs="仿宋_GB2312"/>
          <w:b w:val="0"/>
          <w:bCs w:val="0"/>
          <w:kern w:val="0"/>
          <w:sz w:val="32"/>
          <w:szCs w:val="32"/>
          <w:shd w:val="clear" w:color="auto" w:fill="auto"/>
          <w:lang w:val="en-US" w:eastAsia="zh-CN" w:bidi="ar-SA"/>
        </w:rPr>
        <w:t></w:t>
      </w:r>
      <w:r>
        <w:rPr>
          <w:rFonts w:hint="eastAsia" w:ascii="仿宋_GB2312" w:hAnsi="仿宋_GB2312" w:eastAsia="仿宋_GB2312" w:cs="仿宋_GB2312"/>
          <w:b w:val="0"/>
          <w:bCs w:val="0"/>
          <w:kern w:val="0"/>
          <w:sz w:val="32"/>
          <w:szCs w:val="32"/>
          <w:shd w:val="clear" w:color="auto" w:fill="auto"/>
          <w:lang w:val="en-US" w:eastAsia="zh-CN" w:bidi="ar-SA"/>
        </w:rPr>
        <w:t>已纳入统计部门一套表系统的规模以上软件和信息技术服务业、互联网和相关服务业企业。</w:t>
      </w:r>
    </w:p>
    <w:p>
      <w:pPr>
        <w:widowControl w:val="0"/>
        <w:spacing w:before="0" w:after="0" w:line="580" w:lineRule="exact"/>
        <w:ind w:firstLine="640" w:firstLineChars="200"/>
        <w:jc w:val="both"/>
        <w:outlineLvl w:val="9"/>
        <w:rPr>
          <w:rFonts w:hint="eastAsia" w:ascii="仿宋_GB2312" w:hAnsi="仿宋_GB2312" w:eastAsia="仿宋_GB2312" w:cs="仿宋_GB2312"/>
          <w:b w:val="0"/>
          <w:bCs w:val="0"/>
          <w:kern w:val="0"/>
          <w:sz w:val="32"/>
          <w:szCs w:val="32"/>
          <w:shd w:val="clear" w:color="auto" w:fill="auto"/>
          <w:lang w:val="en-US" w:eastAsia="zh-CN" w:bidi="ar-SA"/>
        </w:rPr>
      </w:pPr>
      <w:r>
        <w:rPr>
          <w:rFonts w:ascii="Wingdings" w:hAnsi="Wingdings" w:eastAsia="仿宋_GB2312" w:cs="仿宋_GB2312"/>
          <w:b w:val="0"/>
          <w:bCs w:val="0"/>
          <w:kern w:val="0"/>
          <w:sz w:val="32"/>
          <w:szCs w:val="32"/>
          <w:shd w:val="clear" w:color="auto" w:fill="auto"/>
          <w:lang w:val="en-US" w:eastAsia="zh-CN" w:bidi="ar-SA"/>
        </w:rPr>
        <w:t></w:t>
      </w:r>
      <w:r>
        <w:rPr>
          <w:rFonts w:hint="eastAsia" w:ascii="仿宋_GB2312" w:hAnsi="仿宋_GB2312" w:eastAsia="仿宋_GB2312" w:cs="仿宋_GB2312"/>
          <w:b w:val="0"/>
          <w:bCs w:val="0"/>
          <w:kern w:val="0"/>
          <w:sz w:val="32"/>
          <w:szCs w:val="32"/>
          <w:shd w:val="clear" w:color="auto" w:fill="auto"/>
          <w:lang w:val="en-US" w:eastAsia="zh-CN" w:bidi="ar-SA"/>
        </w:rPr>
        <w:t>属于国家有关部委认定的享受相关税收优惠政策的软件企业。</w:t>
      </w:r>
    </w:p>
    <w:p>
      <w:pPr>
        <w:widowControl w:val="0"/>
        <w:spacing w:before="0" w:after="0" w:line="580" w:lineRule="exact"/>
        <w:ind w:firstLine="640" w:firstLineChars="200"/>
        <w:jc w:val="both"/>
        <w:outlineLvl w:val="9"/>
        <w:rPr>
          <w:rFonts w:hint="eastAsia" w:ascii="仿宋_GB2312" w:hAnsi="仿宋_GB2312" w:eastAsia="仿宋_GB2312" w:cs="仿宋_GB2312"/>
          <w:b w:val="0"/>
          <w:bCs w:val="0"/>
          <w:color w:val="FF0000"/>
          <w:kern w:val="2"/>
          <w:sz w:val="32"/>
          <w:szCs w:val="32"/>
          <w:shd w:val="clear" w:color="auto" w:fill="auto"/>
          <w:lang w:val="en-US" w:eastAsia="zh-CN" w:bidi="ar-SA"/>
        </w:rPr>
      </w:pPr>
      <w:r>
        <w:rPr>
          <w:rFonts w:ascii="Wingdings" w:hAnsi="Wingdings" w:eastAsia="仿宋_GB2312" w:cs="仿宋_GB2312"/>
          <w:b w:val="0"/>
          <w:bCs w:val="0"/>
          <w:kern w:val="0"/>
          <w:sz w:val="32"/>
          <w:szCs w:val="32"/>
          <w:shd w:val="clear" w:color="auto" w:fill="auto"/>
          <w:lang w:val="en-US" w:eastAsia="zh-CN" w:bidi="ar-SA"/>
        </w:rPr>
        <w:t></w:t>
      </w:r>
      <w:r>
        <w:rPr>
          <w:rFonts w:hint="eastAsia" w:ascii="仿宋_GB2312" w:hAnsi="仿宋_GB2312" w:eastAsia="仿宋_GB2312" w:cs="仿宋_GB2312"/>
          <w:b w:val="0"/>
          <w:bCs w:val="0"/>
          <w:kern w:val="0"/>
          <w:sz w:val="32"/>
          <w:szCs w:val="32"/>
          <w:shd w:val="clear" w:color="auto" w:fill="auto"/>
          <w:lang w:val="en-US" w:eastAsia="zh-CN" w:bidi="ar-SA"/>
        </w:rPr>
        <w:t>属于国家有关部委明确需要深圳市支持的软件相关企业。</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（3）国拨资金实际到账时间为当年申报指南发布的前三个年度内。</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（4）国拨资金未通过市级其它部门获得过市级财政配套、资助。</w:t>
      </w:r>
    </w:p>
    <w:p>
      <w:pPr>
        <w:widowControl w:val="0"/>
        <w:spacing w:before="0" w:after="0" w:line="580" w:lineRule="exact"/>
        <w:ind w:firstLine="640" w:firstLineChars="200"/>
        <w:jc w:val="both"/>
        <w:outlineLvl w:val="9"/>
        <w:rPr>
          <w:rFonts w:hint="eastAsia" w:ascii="楷体_GB2312" w:hAnsi="黑体" w:eastAsia="楷体_GB2312" w:cs="仿宋_GB2312"/>
          <w:b w:val="0"/>
          <w:bCs/>
          <w:color w:val="040404"/>
          <w:kern w:val="2"/>
          <w:sz w:val="32"/>
          <w:szCs w:val="32"/>
          <w:shd w:val="clear" w:color="auto" w:fill="auto"/>
          <w:lang w:val="en-US" w:eastAsia="zh-CN" w:bidi="ar-SA"/>
        </w:rPr>
      </w:pPr>
      <w:r>
        <w:rPr>
          <w:rFonts w:hint="eastAsia" w:ascii="楷体_GB2312" w:hAnsi="黑体" w:eastAsia="楷体_GB2312" w:cs="仿宋_GB2312"/>
          <w:b w:val="0"/>
          <w:bCs/>
          <w:color w:val="040404"/>
          <w:kern w:val="2"/>
          <w:sz w:val="32"/>
          <w:szCs w:val="32"/>
          <w:shd w:val="clear" w:color="auto" w:fill="auto"/>
          <w:lang w:val="en-US" w:eastAsia="zh-CN" w:bidi="ar-SA"/>
        </w:rPr>
        <w:t>（二）工业软件协同攻关和试点应用项目。</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1.支持范围：对符合条件的申报主体联合下游应用企业开展工业软件协同攻关和工程化试点应用，取得了市场销售成绩给予奖励。</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2.支持标准：对申报主体销售自主研发的工业软件，且该软件在资金申报上一年度销售金额、实际回款额累计超过200万元的，按工业软件在资金申报上一年度的实际回款额给予不超过50%的奖励，单款工业软件奖励金额不超过2000万元。</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3.专项申报条件：</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（1）符合申报项目基础申报条件。</w:t>
      </w:r>
    </w:p>
    <w:p>
      <w:pPr>
        <w:widowControl w:val="0"/>
        <w:spacing w:before="0" w:after="0" w:line="580" w:lineRule="exact"/>
        <w:ind w:firstLine="640" w:firstLineChars="200"/>
        <w:jc w:val="both"/>
        <w:outlineLvl w:val="9"/>
        <w:rPr>
          <w:rFonts w:hint="eastAsia" w:ascii="仿宋_GB2312" w:hAnsi="仿宋_GB2312" w:eastAsia="仿宋_GB2312" w:cs="仿宋_GB2312"/>
          <w:b w:val="0"/>
          <w:bCs w:val="0"/>
          <w:kern w:val="0"/>
          <w:sz w:val="32"/>
          <w:szCs w:val="32"/>
          <w:shd w:val="clear" w:color="auto" w:fill="auto"/>
          <w:lang w:val="en-US" w:eastAsia="zh-CN" w:bidi="ar-SA"/>
        </w:rPr>
      </w:pPr>
      <w:r>
        <w:rPr>
          <w:rFonts w:hint="eastAsia" w:ascii="仿宋_GB2312" w:hAnsi="仿宋_GB2312" w:eastAsia="仿宋_GB2312" w:cs="仿宋_GB2312"/>
          <w:b w:val="0"/>
          <w:bCs w:val="0"/>
          <w:kern w:val="0"/>
          <w:sz w:val="32"/>
          <w:szCs w:val="32"/>
          <w:shd w:val="clear" w:color="auto" w:fill="auto"/>
          <w:lang w:val="en-US" w:eastAsia="zh-CN" w:bidi="ar-SA"/>
        </w:rPr>
        <w:t>（2）申报主体为法人企业的，应当满足以下条件之一：</w:t>
      </w:r>
    </w:p>
    <w:p>
      <w:pPr>
        <w:widowControl w:val="0"/>
        <w:spacing w:before="0" w:after="0" w:line="580" w:lineRule="exact"/>
        <w:ind w:firstLine="640" w:firstLineChars="200"/>
        <w:jc w:val="both"/>
        <w:outlineLvl w:val="9"/>
        <w:rPr>
          <w:rFonts w:hint="eastAsia" w:ascii="仿宋_GB2312" w:hAnsi="仿宋_GB2312" w:eastAsia="仿宋_GB2312" w:cs="仿宋_GB2312"/>
          <w:b w:val="0"/>
          <w:bCs w:val="0"/>
          <w:kern w:val="0"/>
          <w:sz w:val="32"/>
          <w:szCs w:val="32"/>
          <w:shd w:val="clear" w:color="auto" w:fill="auto"/>
          <w:lang w:val="en-US" w:eastAsia="zh-CN" w:bidi="ar-SA"/>
        </w:rPr>
      </w:pPr>
      <w:r>
        <w:rPr>
          <w:rFonts w:ascii="Wingdings" w:hAnsi="Wingdings" w:eastAsia="仿宋_GB2312" w:cs="仿宋_GB2312"/>
          <w:b w:val="0"/>
          <w:bCs w:val="0"/>
          <w:kern w:val="0"/>
          <w:sz w:val="32"/>
          <w:szCs w:val="32"/>
          <w:shd w:val="clear" w:color="auto" w:fill="auto"/>
          <w:lang w:val="en-US" w:eastAsia="zh-CN" w:bidi="ar-SA"/>
        </w:rPr>
        <w:t></w:t>
      </w:r>
      <w:r>
        <w:rPr>
          <w:rFonts w:hint="eastAsia" w:ascii="仿宋_GB2312" w:hAnsi="仿宋_GB2312" w:eastAsia="仿宋_GB2312" w:cs="仿宋_GB2312"/>
          <w:b w:val="0"/>
          <w:bCs w:val="0"/>
          <w:kern w:val="0"/>
          <w:sz w:val="32"/>
          <w:szCs w:val="32"/>
          <w:shd w:val="clear" w:color="auto" w:fill="auto"/>
          <w:lang w:val="en-US" w:eastAsia="zh-CN" w:bidi="ar-SA"/>
        </w:rPr>
        <w:t>已纳入统计部门一套表系统的规模以上软件和信息技术服务业、互联网和相关服务业企业。</w:t>
      </w:r>
    </w:p>
    <w:p>
      <w:pPr>
        <w:widowControl w:val="0"/>
        <w:spacing w:before="0" w:after="0" w:line="580" w:lineRule="exact"/>
        <w:ind w:firstLine="640" w:firstLineChars="200"/>
        <w:jc w:val="both"/>
        <w:outlineLvl w:val="9"/>
        <w:rPr>
          <w:rFonts w:hint="eastAsia" w:ascii="仿宋_GB2312" w:hAnsi="仿宋_GB2312" w:eastAsia="仿宋_GB2312" w:cs="仿宋_GB2312"/>
          <w:b w:val="0"/>
          <w:bCs w:val="0"/>
          <w:kern w:val="0"/>
          <w:sz w:val="32"/>
          <w:szCs w:val="32"/>
          <w:shd w:val="clear" w:color="auto" w:fill="auto"/>
          <w:lang w:val="en-US" w:eastAsia="zh-CN" w:bidi="ar-SA"/>
        </w:rPr>
      </w:pPr>
      <w:r>
        <w:rPr>
          <w:rFonts w:ascii="Wingdings" w:hAnsi="Wingdings" w:eastAsia="仿宋_GB2312" w:cs="仿宋_GB2312"/>
          <w:b w:val="0"/>
          <w:bCs w:val="0"/>
          <w:kern w:val="0"/>
          <w:sz w:val="32"/>
          <w:szCs w:val="32"/>
          <w:shd w:val="clear" w:color="auto" w:fill="auto"/>
          <w:lang w:val="en-US" w:eastAsia="zh-CN" w:bidi="ar-SA"/>
        </w:rPr>
        <w:t></w:t>
      </w:r>
      <w:r>
        <w:rPr>
          <w:rFonts w:hint="eastAsia" w:ascii="仿宋_GB2312" w:hAnsi="仿宋_GB2312" w:eastAsia="仿宋_GB2312" w:cs="仿宋_GB2312"/>
          <w:b w:val="0"/>
          <w:bCs w:val="0"/>
          <w:kern w:val="0"/>
          <w:sz w:val="32"/>
          <w:szCs w:val="32"/>
          <w:shd w:val="clear" w:color="auto" w:fill="auto"/>
          <w:lang w:val="en-US" w:eastAsia="zh-CN" w:bidi="ar-SA"/>
        </w:rPr>
        <w:t>属于国家有关部委认定的享受相关税收优惠政策的软件企业。</w:t>
      </w:r>
    </w:p>
    <w:p>
      <w:pPr>
        <w:widowControl w:val="0"/>
        <w:spacing w:before="0" w:after="0" w:line="580" w:lineRule="exact"/>
        <w:ind w:firstLine="640" w:firstLineChars="200"/>
        <w:jc w:val="both"/>
        <w:outlineLvl w:val="9"/>
        <w:rPr>
          <w:rFonts w:hint="eastAsia" w:ascii="仿宋_GB2312" w:hAnsi="仿宋_GB2312" w:eastAsia="仿宋_GB2312" w:cs="仿宋_GB2312"/>
          <w:b w:val="0"/>
          <w:bCs w:val="0"/>
          <w:color w:val="FF0000"/>
          <w:kern w:val="2"/>
          <w:sz w:val="32"/>
          <w:szCs w:val="32"/>
          <w:shd w:val="clear" w:color="auto" w:fill="auto"/>
          <w:lang w:val="en-US" w:eastAsia="zh-CN" w:bidi="ar-SA"/>
        </w:rPr>
      </w:pPr>
      <w:r>
        <w:rPr>
          <w:rFonts w:ascii="Wingdings" w:hAnsi="Wingdings" w:eastAsia="仿宋_GB2312" w:cs="仿宋_GB2312"/>
          <w:b w:val="0"/>
          <w:bCs w:val="0"/>
          <w:kern w:val="0"/>
          <w:sz w:val="32"/>
          <w:szCs w:val="32"/>
          <w:shd w:val="clear" w:color="auto" w:fill="auto"/>
          <w:lang w:val="en-US" w:eastAsia="zh-CN" w:bidi="ar-SA"/>
        </w:rPr>
        <w:t></w:t>
      </w:r>
      <w:r>
        <w:rPr>
          <w:rFonts w:hint="eastAsia" w:ascii="仿宋_GB2312" w:hAnsi="仿宋_GB2312" w:eastAsia="仿宋_GB2312" w:cs="仿宋_GB2312"/>
          <w:b w:val="0"/>
          <w:bCs w:val="0"/>
          <w:kern w:val="0"/>
          <w:sz w:val="32"/>
          <w:szCs w:val="32"/>
          <w:shd w:val="clear" w:color="auto" w:fill="auto"/>
          <w:lang w:val="en-US" w:eastAsia="zh-CN" w:bidi="ar-SA"/>
        </w:rPr>
        <w:t>属于国家有关部委明确需要深圳市支持的软件相关企业。</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（3）申报主体对申报奖励的工业软件拥有完全自主知识产权，取得相应的软件著作权证书。</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（4）申报主体在销售工业软件的合同中，已明确对买方承诺拥有该工业软件的完全自主知识产权。</w:t>
      </w:r>
    </w:p>
    <w:p>
      <w:pPr>
        <w:widowControl w:val="0"/>
        <w:spacing w:before="0" w:after="0" w:line="580" w:lineRule="exact"/>
        <w:ind w:firstLine="640" w:firstLineChars="200"/>
        <w:jc w:val="both"/>
        <w:outlineLvl w:val="9"/>
        <w:rPr>
          <w:rFonts w:hint="eastAsia" w:ascii="仿宋_GB2312" w:hAnsi="黑体" w:eastAsia="仿宋_GB2312" w:cs="仿宋_GB2312"/>
          <w:b w:val="0"/>
          <w:bCs/>
          <w:color w:val="040404"/>
          <w:kern w:val="2"/>
          <w:sz w:val="32"/>
          <w:szCs w:val="32"/>
          <w:shd w:val="clear" w:color="auto" w:fill="auto"/>
          <w:lang w:val="en-US" w:eastAsia="zh-CN" w:bidi="ar-SA"/>
        </w:rPr>
      </w:pPr>
      <w:r>
        <w:rPr>
          <w:rFonts w:hint="eastAsia" w:ascii="仿宋_GB2312" w:hAnsi="黑体" w:eastAsia="仿宋_GB2312" w:cs="仿宋_GB2312"/>
          <w:b w:val="0"/>
          <w:bCs/>
          <w:color w:val="040404"/>
          <w:kern w:val="2"/>
          <w:sz w:val="32"/>
          <w:szCs w:val="32"/>
          <w:shd w:val="clear" w:color="auto" w:fill="auto"/>
          <w:lang w:val="en-US" w:eastAsia="zh-CN" w:bidi="ar-SA"/>
        </w:rPr>
        <w:t>（5）申报主体在与不同买方签订的工业软件销售合同中，对工业软件有规范、统一的命名;申报主体在销售过程中开具的各类票据中对销售产品的命名应与合同一致；销售取得的回款到账凭证应当清晰体现为该工业软件销售取得回款。</w:t>
      </w:r>
    </w:p>
    <w:p>
      <w:pPr>
        <w:widowControl w:val="0"/>
        <w:spacing w:before="0" w:after="0" w:line="580" w:lineRule="exact"/>
        <w:ind w:firstLine="640" w:firstLineChars="200"/>
        <w:jc w:val="both"/>
        <w:outlineLvl w:val="9"/>
        <w:rPr>
          <w:rFonts w:hint="eastAsia" w:ascii="楷体_GB2312" w:hAnsi="黑体" w:eastAsia="楷体_GB2312" w:cs="仿宋_GB2312"/>
          <w:b w:val="0"/>
          <w:bCs/>
          <w:color w:val="040404"/>
          <w:kern w:val="2"/>
          <w:sz w:val="32"/>
          <w:szCs w:val="32"/>
          <w:shd w:val="clear" w:color="auto" w:fill="auto"/>
          <w:lang w:val="en-US" w:eastAsia="zh-CN" w:bidi="ar-SA"/>
        </w:rPr>
      </w:pPr>
      <w:r>
        <w:rPr>
          <w:rFonts w:hint="eastAsia" w:ascii="楷体_GB2312" w:hAnsi="黑体" w:eastAsia="楷体_GB2312" w:cs="仿宋_GB2312"/>
          <w:b w:val="0"/>
          <w:bCs/>
          <w:color w:val="040404"/>
          <w:kern w:val="2"/>
          <w:sz w:val="32"/>
          <w:szCs w:val="32"/>
          <w:shd w:val="clear" w:color="auto" w:fill="auto"/>
          <w:lang w:val="en-US" w:eastAsia="zh-CN" w:bidi="ar-SA"/>
        </w:rPr>
        <w:t>（三）自主工业软件采购项目。</w:t>
      </w:r>
    </w:p>
    <w:p>
      <w:pPr>
        <w:widowControl w:val="0"/>
        <w:spacing w:before="0" w:after="0" w:line="580" w:lineRule="exact"/>
        <w:ind w:firstLine="640" w:firstLineChars="200"/>
        <w:jc w:val="both"/>
        <w:outlineLvl w:val="9"/>
        <w:rPr>
          <w:rFonts w:hint="eastAsia" w:ascii="仿宋_GB2312" w:hAnsi="仿宋_GB2312" w:eastAsia="仿宋_GB2312" w:cs="仿宋_GB2312"/>
          <w:b w:val="0"/>
          <w:bCs/>
          <w:color w:val="040404"/>
          <w:kern w:val="2"/>
          <w:sz w:val="32"/>
          <w:szCs w:val="32"/>
          <w:shd w:val="clear" w:color="auto" w:fill="auto"/>
          <w:lang w:val="en-US" w:eastAsia="zh-CN" w:bidi="ar-SA"/>
        </w:rPr>
      </w:pPr>
      <w:r>
        <w:rPr>
          <w:rFonts w:hint="eastAsia" w:ascii="仿宋_GB2312" w:hAnsi="仿宋_GB2312" w:eastAsia="仿宋_GB2312" w:cs="仿宋_GB2312"/>
          <w:b w:val="0"/>
          <w:bCs/>
          <w:color w:val="040404"/>
          <w:kern w:val="2"/>
          <w:sz w:val="32"/>
          <w:szCs w:val="32"/>
          <w:shd w:val="clear" w:color="auto" w:fill="auto"/>
          <w:lang w:val="en-US" w:eastAsia="zh-CN" w:bidi="ar-SA"/>
        </w:rPr>
        <w:t>1.支持范围：对申报主体采购符合条件的自主工业软件给予资助。</w:t>
      </w:r>
    </w:p>
    <w:p>
      <w:pPr>
        <w:widowControl w:val="0"/>
        <w:spacing w:before="0" w:after="0" w:line="580" w:lineRule="exact"/>
        <w:ind w:firstLine="640" w:firstLineChars="200"/>
        <w:jc w:val="both"/>
        <w:outlineLvl w:val="9"/>
        <w:rPr>
          <w:rFonts w:hint="eastAsia" w:ascii="仿宋_GB2312" w:hAnsi="仿宋_GB2312" w:eastAsia="仿宋_GB2312" w:cs="仿宋_GB2312"/>
          <w:b w:val="0"/>
          <w:bCs/>
          <w:color w:val="040404"/>
          <w:kern w:val="2"/>
          <w:sz w:val="32"/>
          <w:szCs w:val="32"/>
          <w:shd w:val="clear" w:color="auto" w:fill="auto"/>
          <w:lang w:val="en-US" w:eastAsia="zh-CN" w:bidi="ar-SA"/>
        </w:rPr>
      </w:pPr>
      <w:r>
        <w:rPr>
          <w:rFonts w:hint="eastAsia" w:ascii="仿宋_GB2312" w:hAnsi="仿宋_GB2312" w:eastAsia="仿宋_GB2312" w:cs="仿宋_GB2312"/>
          <w:b w:val="0"/>
          <w:bCs/>
          <w:color w:val="040404"/>
          <w:kern w:val="2"/>
          <w:sz w:val="32"/>
          <w:szCs w:val="32"/>
          <w:shd w:val="clear" w:color="auto" w:fill="auto"/>
          <w:lang w:val="en-US" w:eastAsia="zh-CN" w:bidi="ar-SA"/>
        </w:rPr>
        <w:t>2.支持标准：对申报主体采购的工业软件，采购金额不低于50万元的，按不超过资金申报上一年度实际付款额的20%给予资助，资助金额最高不超过500万元。</w:t>
      </w:r>
    </w:p>
    <w:p>
      <w:pPr>
        <w:widowControl w:val="0"/>
        <w:spacing w:before="0" w:after="0" w:line="580" w:lineRule="exact"/>
        <w:ind w:firstLine="640" w:firstLineChars="200"/>
        <w:jc w:val="both"/>
        <w:outlineLvl w:val="9"/>
        <w:rPr>
          <w:rFonts w:hint="eastAsia" w:ascii="仿宋_GB2312" w:hAnsi="仿宋_GB2312" w:eastAsia="仿宋_GB2312" w:cs="仿宋_GB2312"/>
          <w:b w:val="0"/>
          <w:bCs/>
          <w:color w:val="040404"/>
          <w:kern w:val="2"/>
          <w:sz w:val="32"/>
          <w:szCs w:val="32"/>
          <w:shd w:val="clear" w:color="auto" w:fill="auto"/>
          <w:lang w:val="en-US" w:eastAsia="zh-CN" w:bidi="ar-SA"/>
        </w:rPr>
      </w:pPr>
      <w:r>
        <w:rPr>
          <w:rFonts w:hint="eastAsia" w:ascii="仿宋_GB2312" w:hAnsi="仿宋_GB2312" w:eastAsia="仿宋_GB2312" w:cs="仿宋_GB2312"/>
          <w:b w:val="0"/>
          <w:bCs/>
          <w:color w:val="040404"/>
          <w:kern w:val="2"/>
          <w:sz w:val="32"/>
          <w:szCs w:val="32"/>
          <w:shd w:val="clear" w:color="auto" w:fill="auto"/>
          <w:lang w:val="en-US" w:eastAsia="zh-CN" w:bidi="ar-SA"/>
        </w:rPr>
        <w:t>3.专项申报条件：</w:t>
      </w:r>
    </w:p>
    <w:p>
      <w:pPr>
        <w:widowControl w:val="0"/>
        <w:spacing w:before="0" w:after="0" w:line="580" w:lineRule="exact"/>
        <w:ind w:firstLine="640" w:firstLineChars="200"/>
        <w:jc w:val="both"/>
        <w:outlineLvl w:val="9"/>
        <w:rPr>
          <w:rFonts w:hint="eastAsia" w:ascii="仿宋_GB2312" w:hAnsi="仿宋_GB2312" w:eastAsia="仿宋_GB2312" w:cs="仿宋_GB2312"/>
          <w:b w:val="0"/>
          <w:bCs/>
          <w:color w:val="040404"/>
          <w:kern w:val="2"/>
          <w:sz w:val="32"/>
          <w:szCs w:val="32"/>
          <w:shd w:val="clear" w:color="auto" w:fill="auto"/>
          <w:lang w:val="en-US" w:eastAsia="zh-CN" w:bidi="ar-SA"/>
        </w:rPr>
      </w:pPr>
      <w:r>
        <w:rPr>
          <w:rFonts w:hint="eastAsia" w:ascii="仿宋_GB2312" w:hAnsi="仿宋_GB2312" w:eastAsia="仿宋_GB2312" w:cs="仿宋_GB2312"/>
          <w:b w:val="0"/>
          <w:bCs/>
          <w:color w:val="040404"/>
          <w:kern w:val="2"/>
          <w:sz w:val="32"/>
          <w:szCs w:val="32"/>
          <w:shd w:val="clear" w:color="auto" w:fill="auto"/>
          <w:lang w:val="en-US" w:eastAsia="zh-CN" w:bidi="ar-SA"/>
        </w:rPr>
        <w:t>（1）符合申报项目基础申报条件。</w:t>
      </w:r>
    </w:p>
    <w:p>
      <w:pPr>
        <w:widowControl w:val="0"/>
        <w:spacing w:before="0" w:after="0" w:line="580" w:lineRule="exact"/>
        <w:ind w:firstLine="640" w:firstLineChars="200"/>
        <w:jc w:val="both"/>
        <w:outlineLvl w:val="9"/>
        <w:rPr>
          <w:rFonts w:hint="eastAsia" w:ascii="仿宋_GB2312" w:hAnsi="仿宋_GB2312" w:eastAsia="仿宋_GB2312" w:cs="仿宋_GB2312"/>
          <w:b w:val="0"/>
          <w:bCs/>
          <w:color w:val="040404"/>
          <w:kern w:val="2"/>
          <w:sz w:val="32"/>
          <w:szCs w:val="32"/>
          <w:shd w:val="clear" w:color="auto" w:fill="auto"/>
          <w:lang w:val="en-US" w:eastAsia="zh-CN" w:bidi="ar-SA"/>
        </w:rPr>
      </w:pPr>
      <w:r>
        <w:rPr>
          <w:rFonts w:hint="eastAsia" w:ascii="仿宋_GB2312" w:hAnsi="仿宋_GB2312" w:eastAsia="仿宋_GB2312" w:cs="仿宋_GB2312"/>
          <w:b w:val="0"/>
          <w:bCs/>
          <w:color w:val="040404"/>
          <w:kern w:val="2"/>
          <w:sz w:val="32"/>
          <w:szCs w:val="32"/>
          <w:shd w:val="clear" w:color="auto" w:fill="auto"/>
          <w:lang w:val="en-US" w:eastAsia="zh-CN" w:bidi="ar-SA"/>
        </w:rPr>
        <w:t>（2）申报主体采购工业软件应向软件研发主体直接采购，并要求软件研发主体在采购合同中明确承诺拥有该工业软件的完全自主知识产权。</w:t>
      </w:r>
    </w:p>
    <w:p>
      <w:pPr>
        <w:adjustRightInd w:val="0"/>
        <w:snapToGrid w:val="0"/>
        <w:spacing w:line="540" w:lineRule="exact"/>
        <w:jc w:val="center"/>
        <w:outlineLvl w:val="0"/>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 xml:space="preserve"> </w:t>
      </w:r>
    </w:p>
    <w:p>
      <w:pPr>
        <w:adjustRightInd w:val="0"/>
        <w:snapToGrid w:val="0"/>
        <w:spacing w:line="540" w:lineRule="exact"/>
        <w:jc w:val="center"/>
        <w:outlineLvl w:val="0"/>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第三章  项目申报和审核</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第六条</w:t>
      </w:r>
      <w:r>
        <w:rPr>
          <w:rFonts w:hint="eastAsia" w:ascii="仿宋_GB2312" w:hAnsi="Calibri" w:eastAsia="仿宋_GB2312" w:cs="Calibri"/>
          <w:sz w:val="32"/>
          <w:szCs w:val="32"/>
          <w:shd w:val="clear" w:color="auto" w:fill="auto"/>
        </w:rPr>
        <w:t xml:space="preserve">  市工业和信息化局根据本细则发布申请指南，明确申请时间、申请材料、办理流程等事项。申报主体应当按照申请指南要求，通过指定的申报系统进行网上申报，并向市工业和信息化局提交书面申请书。</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第七条</w:t>
      </w:r>
      <w:r>
        <w:rPr>
          <w:rFonts w:hint="eastAsia" w:ascii="仿宋_GB2312" w:hAnsi="Calibri" w:eastAsia="仿宋_GB2312" w:cs="Calibri"/>
          <w:sz w:val="32"/>
          <w:szCs w:val="32"/>
          <w:shd w:val="clear" w:color="auto" w:fill="auto"/>
        </w:rPr>
        <w:t xml:space="preserve">  市工业和信息化局对受理的申请材料进行形式初审。对形式初审合格的企业，市工业和信息化局可会同市财政局、统计局等部门、各区政府进行联合审查。</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第八条</w:t>
      </w:r>
      <w:r>
        <w:rPr>
          <w:rFonts w:hint="eastAsia" w:ascii="仿宋_GB2312" w:hAnsi="Calibri" w:eastAsia="仿宋_GB2312" w:cs="Calibri"/>
          <w:sz w:val="32"/>
          <w:szCs w:val="32"/>
          <w:shd w:val="clear" w:color="auto" w:fill="auto"/>
        </w:rPr>
        <w:t xml:space="preserve">  市工业和信息化局可组织第三方机构对项目实际资金等有关情况进行专项审计。</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第九条</w:t>
      </w:r>
      <w:r>
        <w:rPr>
          <w:rFonts w:hint="eastAsia" w:ascii="仿宋_GB2312" w:hAnsi="Calibri" w:eastAsia="仿宋_GB2312" w:cs="Calibri"/>
          <w:sz w:val="32"/>
          <w:szCs w:val="32"/>
          <w:shd w:val="clear" w:color="auto" w:fill="auto"/>
        </w:rPr>
        <w:t xml:space="preserve">  市工业和信息化局根据有关部门反馈审核结果，拟定资助、奖励方案，并进行社会公示，公示时间不少于7个工作日。公示期间，任何单位或者个人有异议的，可以在公示期内向市工业和信息化局书面提出，由市工业和信息化局牵头开展调查。经调查情况属实的，由市工业和信息化局牵头组织重新审定，并将调查结果告知异议人。</w:t>
      </w:r>
    </w:p>
    <w:p>
      <w:pPr>
        <w:spacing w:line="540" w:lineRule="exact"/>
        <w:ind w:firstLine="640" w:firstLineChars="200"/>
        <w:rPr>
          <w:rFonts w:hint="eastAsia" w:ascii="仿宋_GB2312" w:hAnsi="Calibri" w:eastAsia="仿宋_GB2312" w:cs="Calibri"/>
          <w:color w:val="040404"/>
          <w:sz w:val="32"/>
          <w:szCs w:val="32"/>
          <w:shd w:val="clear" w:color="auto" w:fill="auto"/>
        </w:rPr>
      </w:pPr>
      <w:r>
        <w:rPr>
          <w:rFonts w:hint="eastAsia" w:ascii="黑体" w:hAnsi="黑体" w:eastAsia="黑体" w:cs="Calibri"/>
          <w:bCs/>
          <w:color w:val="040404"/>
          <w:sz w:val="32"/>
          <w:szCs w:val="32"/>
          <w:shd w:val="clear" w:color="auto" w:fill="auto"/>
        </w:rPr>
        <w:t>第十条</w:t>
      </w:r>
      <w:r>
        <w:rPr>
          <w:rFonts w:hint="eastAsia" w:ascii="仿宋_GB2312" w:hAnsi="Calibri" w:eastAsia="仿宋_GB2312" w:cs="Calibri"/>
          <w:sz w:val="32"/>
          <w:szCs w:val="32"/>
          <w:shd w:val="clear" w:color="auto" w:fill="auto"/>
        </w:rPr>
        <w:t xml:space="preserve">  </w:t>
      </w:r>
      <w:r>
        <w:rPr>
          <w:rFonts w:hint="eastAsia" w:ascii="仿宋_GB2312" w:hAnsi="Calibri" w:eastAsia="仿宋_GB2312" w:cs="Calibri"/>
          <w:color w:val="040404"/>
          <w:sz w:val="32"/>
          <w:szCs w:val="32"/>
          <w:shd w:val="clear" w:color="auto" w:fill="auto"/>
        </w:rPr>
        <w:t>公示期满无异议或者异议不成立的，市工业和信息化局下达资金计划。项目申报主体按要求办理请款手续后安排资金拨付。</w:t>
      </w:r>
    </w:p>
    <w:p>
      <w:pPr>
        <w:spacing w:line="540" w:lineRule="exact"/>
        <w:ind w:firstLine="640" w:firstLineChars="200"/>
        <w:rPr>
          <w:rFonts w:hint="eastAsia" w:ascii="仿宋_GB2312" w:hAnsi="Calibri" w:eastAsia="仿宋_GB2312" w:cs="Calibri"/>
          <w:color w:val="040404"/>
          <w:sz w:val="32"/>
          <w:szCs w:val="32"/>
          <w:shd w:val="clear" w:color="auto" w:fill="auto"/>
        </w:rPr>
      </w:pPr>
      <w:r>
        <w:rPr>
          <w:rFonts w:hint="eastAsia" w:ascii="仿宋_GB2312" w:hAnsi="Calibri" w:eastAsia="仿宋_GB2312" w:cs="Calibri"/>
          <w:color w:val="040404"/>
          <w:sz w:val="32"/>
          <w:szCs w:val="32"/>
          <w:shd w:val="clear" w:color="auto" w:fill="auto"/>
        </w:rPr>
        <w:t xml:space="preserve"> </w:t>
      </w:r>
    </w:p>
    <w:p>
      <w:pPr>
        <w:widowControl/>
        <w:snapToGrid w:val="0"/>
        <w:spacing w:line="540" w:lineRule="exact"/>
        <w:jc w:val="center"/>
        <w:outlineLvl w:val="0"/>
        <w:rPr>
          <w:rFonts w:hint="eastAsia" w:ascii="黑体" w:hAnsi="黑体" w:eastAsia="黑体" w:cs="Times New Roman"/>
          <w:b/>
          <w:color w:val="040404"/>
          <w:sz w:val="32"/>
          <w:szCs w:val="32"/>
          <w:shd w:val="clear" w:color="auto" w:fill="auto"/>
        </w:rPr>
      </w:pPr>
      <w:r>
        <w:rPr>
          <w:rFonts w:hint="eastAsia" w:ascii="黑体" w:hAnsi="黑体" w:eastAsia="黑体" w:cs="Calibri"/>
          <w:color w:val="040404"/>
          <w:sz w:val="32"/>
          <w:szCs w:val="32"/>
          <w:shd w:val="clear" w:color="auto" w:fill="auto"/>
        </w:rPr>
        <w:t xml:space="preserve">  第四章  绩效管理</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第十一条</w:t>
      </w:r>
      <w:r>
        <w:rPr>
          <w:rFonts w:hint="eastAsia" w:ascii="仿宋_GB2312" w:hAnsi="Calibri" w:eastAsia="仿宋_GB2312" w:cs="Calibri"/>
          <w:sz w:val="32"/>
          <w:szCs w:val="32"/>
          <w:shd w:val="clear" w:color="auto" w:fill="auto"/>
        </w:rPr>
        <w:t xml:space="preserve">  市工业和信息化局在部门预算编制阶段编报资金绩效目标，绩效目标作为专项资金预算执行、项目运行跟踪监控和绩效评价的依据。</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第十二条</w:t>
      </w:r>
      <w:r>
        <w:rPr>
          <w:rFonts w:hint="eastAsia" w:ascii="仿宋_GB2312" w:hAnsi="Calibri" w:eastAsia="仿宋_GB2312" w:cs="Calibri"/>
          <w:sz w:val="32"/>
          <w:szCs w:val="32"/>
          <w:shd w:val="clear" w:color="auto" w:fill="auto"/>
        </w:rPr>
        <w:t xml:space="preserve">  市工业和信息化局应当加强对奖励项目资金的跟踪监控和后期管理并开展绩效自评，发现与原定绩效目标发生偏离，应当及时采取措施，提高专项资金使用效益，确保专项资金使用安全。</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仿宋_GB2312" w:hAnsi="Calibri" w:eastAsia="仿宋_GB2312" w:cs="Calibri"/>
          <w:sz w:val="32"/>
          <w:szCs w:val="32"/>
          <w:shd w:val="clear" w:color="auto" w:fill="auto"/>
        </w:rPr>
        <w:t xml:space="preserve"> </w:t>
      </w:r>
    </w:p>
    <w:p>
      <w:pPr>
        <w:widowControl/>
        <w:snapToGrid w:val="0"/>
        <w:spacing w:line="540" w:lineRule="exact"/>
        <w:jc w:val="center"/>
        <w:outlineLvl w:val="0"/>
        <w:rPr>
          <w:rFonts w:hint="eastAsia" w:ascii="黑体" w:hAnsi="黑体" w:eastAsia="黑体" w:cs="Times New Roman"/>
          <w:color w:val="040404"/>
          <w:sz w:val="32"/>
          <w:szCs w:val="32"/>
          <w:shd w:val="clear" w:color="auto" w:fill="auto"/>
        </w:rPr>
      </w:pPr>
      <w:r>
        <w:rPr>
          <w:rFonts w:hint="eastAsia" w:ascii="黑体" w:hAnsi="黑体" w:eastAsia="黑体" w:cs="Calibri"/>
          <w:color w:val="040404"/>
          <w:sz w:val="32"/>
          <w:szCs w:val="32"/>
          <w:shd w:val="clear" w:color="auto" w:fill="auto"/>
        </w:rPr>
        <w:t xml:space="preserve">  第五章  监督检查</w:t>
      </w:r>
    </w:p>
    <w:p>
      <w:pPr>
        <w:spacing w:line="540" w:lineRule="exact"/>
        <w:ind w:firstLine="422" w:firstLineChars="200"/>
        <w:rPr>
          <w:rFonts w:hint="eastAsia" w:ascii="仿宋_GB2312" w:hAnsi="Calibri" w:eastAsia="仿宋_GB2312" w:cs="Calibri"/>
          <w:sz w:val="32"/>
          <w:szCs w:val="32"/>
          <w:shd w:val="clear" w:color="auto" w:fill="auto"/>
        </w:rPr>
      </w:pPr>
      <w:r>
        <w:rPr>
          <w:rFonts w:hint="eastAsia" w:ascii="宋体" w:hAnsi="宋体" w:eastAsia="宋体" w:cs="Calibri"/>
          <w:b/>
          <w:color w:val="040404"/>
          <w:szCs w:val="21"/>
          <w:shd w:val="clear" w:color="auto" w:fill="auto"/>
        </w:rPr>
        <w:t xml:space="preserve"> </w:t>
      </w:r>
      <w:r>
        <w:rPr>
          <w:rFonts w:hint="eastAsia" w:ascii="Calibri" w:hAnsi="Calibri" w:eastAsia="宋体" w:cs="Calibri"/>
          <w:b/>
          <w:color w:val="040404"/>
          <w:sz w:val="32"/>
          <w:szCs w:val="32"/>
          <w:shd w:val="clear" w:color="auto" w:fill="auto"/>
        </w:rPr>
        <w:t xml:space="preserve"> </w:t>
      </w:r>
      <w:r>
        <w:rPr>
          <w:rFonts w:hint="eastAsia" w:ascii="黑体" w:hAnsi="黑体" w:eastAsia="黑体" w:cs="Calibri"/>
          <w:bCs/>
          <w:color w:val="040404"/>
          <w:sz w:val="32"/>
          <w:szCs w:val="32"/>
          <w:shd w:val="clear" w:color="auto" w:fill="auto"/>
        </w:rPr>
        <w:t>第十三条</w:t>
      </w:r>
      <w:r>
        <w:rPr>
          <w:rFonts w:hint="eastAsia" w:ascii="Calibri" w:hAnsi="Calibri" w:eastAsia="宋体" w:cs="Calibri"/>
          <w:b/>
          <w:color w:val="040404"/>
          <w:sz w:val="32"/>
          <w:szCs w:val="32"/>
          <w:shd w:val="clear" w:color="auto" w:fill="auto"/>
        </w:rPr>
        <w:t xml:space="preserve"> </w:t>
      </w:r>
      <w:r>
        <w:rPr>
          <w:rFonts w:hint="eastAsia" w:ascii="仿宋_GB2312" w:hAnsi="Calibri" w:eastAsia="仿宋_GB2312" w:cs="Calibri"/>
          <w:sz w:val="32"/>
          <w:szCs w:val="32"/>
          <w:shd w:val="clear" w:color="auto" w:fill="auto"/>
        </w:rPr>
        <w:t xml:space="preserve"> 企业应当如实申报，并自觉接受市工业和信息化局、市财政局、市审计局等部门的监督检查，企业在申报过程中利用不正当手段骗取奖励资金的，市工业和信息化局负责追回全部资金并与国库对账，3年内不受理其资助申请，情节严重的，依法追究相应责任；涉嫌犯罪的，依法移交司法机关处理。</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第十四条</w:t>
      </w:r>
      <w:r>
        <w:rPr>
          <w:rFonts w:hint="eastAsia" w:ascii="仿宋_GB2312" w:hAnsi="Calibri" w:eastAsia="仿宋_GB2312" w:cs="Calibri"/>
          <w:sz w:val="32"/>
          <w:szCs w:val="32"/>
          <w:shd w:val="clear" w:color="auto" w:fill="auto"/>
        </w:rPr>
        <w:t xml:space="preserve">  市工业和信息化局等部门工作人员违反本实施细则，在资金管理过程中滥用职权、玩忽职守、徇私舞弊的，依法追究行政责任。涉嫌犯罪的，依法移交司法机关处理。</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第十五条</w:t>
      </w:r>
      <w:r>
        <w:rPr>
          <w:rFonts w:hint="eastAsia" w:ascii="Calibri" w:hAnsi="Calibri" w:eastAsia="宋体" w:cs="Calibri"/>
          <w:b/>
          <w:color w:val="040404"/>
          <w:sz w:val="32"/>
          <w:szCs w:val="32"/>
          <w:shd w:val="clear" w:color="auto" w:fill="auto"/>
        </w:rPr>
        <w:t xml:space="preserve"> </w:t>
      </w:r>
      <w:r>
        <w:rPr>
          <w:rFonts w:hint="eastAsia" w:ascii="仿宋_GB2312" w:hAnsi="Calibri" w:eastAsia="仿宋_GB2312" w:cs="Calibri"/>
          <w:sz w:val="32"/>
          <w:szCs w:val="32"/>
          <w:shd w:val="clear" w:color="auto" w:fill="auto"/>
        </w:rPr>
        <w:t xml:space="preserve"> 有下列情形之一的，市工业和信息化局不予奖励：</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仿宋_GB2312" w:hAnsi="Calibri" w:eastAsia="仿宋_GB2312" w:cs="Calibri"/>
          <w:sz w:val="32"/>
          <w:szCs w:val="32"/>
          <w:shd w:val="clear" w:color="auto" w:fill="auto"/>
        </w:rPr>
        <w:t>（一）申报单位在市工业和信息化局存在逾期项目未验收或者项目验收单位逾期验收完成后未满1年；</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仿宋_GB2312" w:hAnsi="Calibri" w:eastAsia="仿宋_GB2312" w:cs="Calibri"/>
          <w:sz w:val="32"/>
          <w:szCs w:val="32"/>
          <w:shd w:val="clear" w:color="auto" w:fill="auto"/>
        </w:rPr>
        <w:t>（二）申报单位此前在市工业和信息化局存在项目验收不合格的情况，且自验收不合格通知书印发之日起不满3年。</w:t>
      </w:r>
    </w:p>
    <w:p>
      <w:pPr>
        <w:widowControl/>
        <w:snapToGrid w:val="0"/>
        <w:spacing w:line="540" w:lineRule="exact"/>
        <w:ind w:firstLine="640"/>
        <w:rPr>
          <w:rFonts w:hint="eastAsia" w:ascii="仿宋_GB2312" w:hAnsi="Calibri" w:eastAsia="仿宋_GB2312" w:cs="Times New Roman"/>
          <w:color w:val="040404"/>
          <w:sz w:val="32"/>
          <w:szCs w:val="32"/>
          <w:shd w:val="clear" w:color="auto" w:fill="auto"/>
        </w:rPr>
      </w:pPr>
      <w:r>
        <w:rPr>
          <w:rFonts w:hint="eastAsia" w:ascii="仿宋_GB2312" w:hAnsi="Calibri" w:eastAsia="仿宋_GB2312" w:cs="Times New Roman"/>
          <w:color w:val="040404"/>
          <w:sz w:val="32"/>
          <w:szCs w:val="32"/>
          <w:shd w:val="clear" w:color="auto" w:fill="auto"/>
        </w:rPr>
        <w:t xml:space="preserve"> </w:t>
      </w:r>
    </w:p>
    <w:p>
      <w:pPr>
        <w:widowControl/>
        <w:snapToGrid w:val="0"/>
        <w:spacing w:line="540" w:lineRule="exact"/>
        <w:jc w:val="center"/>
        <w:outlineLvl w:val="0"/>
        <w:rPr>
          <w:rFonts w:hint="eastAsia" w:ascii="黑体" w:hAnsi="黑体" w:eastAsia="黑体" w:cs="Times New Roman"/>
          <w:color w:val="040404"/>
          <w:sz w:val="32"/>
          <w:szCs w:val="32"/>
          <w:shd w:val="clear" w:color="auto" w:fill="auto"/>
        </w:rPr>
      </w:pPr>
      <w:r>
        <w:rPr>
          <w:rFonts w:hint="eastAsia" w:ascii="黑体" w:hAnsi="黑体" w:eastAsia="黑体" w:cs="Calibri"/>
          <w:color w:val="040404"/>
          <w:sz w:val="32"/>
          <w:szCs w:val="32"/>
          <w:shd w:val="clear" w:color="auto" w:fill="auto"/>
        </w:rPr>
        <w:t xml:space="preserve">  第六章  附    则</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第十六条</w:t>
      </w:r>
      <w:r>
        <w:rPr>
          <w:rFonts w:hint="eastAsia" w:ascii="Calibri" w:hAnsi="Calibri" w:eastAsia="宋体" w:cs="Calibri"/>
          <w:b/>
          <w:color w:val="040404"/>
          <w:sz w:val="32"/>
          <w:szCs w:val="32"/>
          <w:shd w:val="clear" w:color="auto" w:fill="auto"/>
        </w:rPr>
        <w:t xml:space="preserve">  </w:t>
      </w:r>
      <w:r>
        <w:rPr>
          <w:rFonts w:hint="eastAsia" w:ascii="仿宋_GB2312" w:hAnsi="Calibri" w:eastAsia="仿宋_GB2312" w:cs="Calibri"/>
          <w:sz w:val="32"/>
          <w:szCs w:val="32"/>
          <w:shd w:val="clear" w:color="auto" w:fill="auto"/>
        </w:rPr>
        <w:t>本实施细则由市工业和信息化局负责解释。</w:t>
      </w:r>
    </w:p>
    <w:p>
      <w:pPr>
        <w:spacing w:line="540" w:lineRule="exact"/>
        <w:ind w:firstLine="640" w:firstLineChars="200"/>
        <w:rPr>
          <w:rFonts w:hint="eastAsia" w:ascii="仿宋_GB2312" w:hAnsi="Calibri" w:eastAsia="仿宋_GB2312" w:cs="Calibri"/>
          <w:sz w:val="32"/>
          <w:szCs w:val="32"/>
          <w:shd w:val="clear" w:color="auto" w:fill="auto"/>
        </w:rPr>
      </w:pPr>
      <w:r>
        <w:rPr>
          <w:rFonts w:hint="eastAsia" w:ascii="黑体" w:hAnsi="黑体" w:eastAsia="黑体" w:cs="Calibri"/>
          <w:bCs/>
          <w:color w:val="040404"/>
          <w:sz w:val="32"/>
          <w:szCs w:val="32"/>
          <w:shd w:val="clear" w:color="auto" w:fill="auto"/>
        </w:rPr>
        <w:t>第十七条</w:t>
      </w:r>
      <w:r>
        <w:rPr>
          <w:rFonts w:hint="eastAsia" w:ascii="仿宋_GB2312" w:hAnsi="Calibri" w:eastAsia="仿宋_GB2312" w:cs="Calibri"/>
          <w:sz w:val="32"/>
          <w:szCs w:val="32"/>
          <w:shd w:val="clear" w:color="auto" w:fill="auto"/>
        </w:rPr>
        <w:t xml:space="preserve">  本实施细则自2022年X月XX日起施行，有效期至XXX年XX月XX日。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2B6B3BAB"/>
    <w:rsid w:val="2B6B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autoSpaceDE w:val="0"/>
      <w:snapToGrid w:val="0"/>
      <w:spacing w:line="560" w:lineRule="exact"/>
      <w:jc w:val="center"/>
      <w:outlineLvl w:val="0"/>
    </w:pPr>
    <w:rPr>
      <w:rFonts w:ascii="方正小标宋简体" w:hAnsi="仿宋" w:eastAsia="方正小标宋简体"/>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2022-07-19T09:20:00Z</dcterms:created>
  <dc:creator>阿营</dc:creator>
  <cp:lastModifiedBy>阿营</cp:lastModifiedBy>
  <dcterms:modified xsi:type="dcterms:W3CDTF">2022-07-19T09:20:41Z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531CF75A627C4F6A8C48412DD8AB2EE2</vt:lpwstr>
  </property>
</Properties>
</file>