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深圳市知识产权行政执法技术调查官管理办法</w:t>
      </w:r>
      <w:r>
        <w:rPr>
          <w:rFonts w:hint="default"/>
          <w:b/>
          <w:bCs/>
          <w:color w:val="auto"/>
          <w:sz w:val="44"/>
          <w:szCs w:val="44"/>
          <w:lang w:eastAsia="zh-CN"/>
        </w:rPr>
        <w:t>（</w:t>
      </w:r>
      <w:r>
        <w:rPr>
          <w:rFonts w:hint="eastAsia"/>
          <w:b/>
          <w:bCs/>
          <w:color w:val="auto"/>
          <w:sz w:val="44"/>
          <w:szCs w:val="44"/>
          <w:lang w:val="en-US" w:eastAsia="zh-Hans"/>
        </w:rPr>
        <w:t>试行</w:t>
      </w:r>
      <w:r>
        <w:rPr>
          <w:rFonts w:hint="default"/>
          <w:b/>
          <w:bCs/>
          <w:color w:val="auto"/>
          <w:sz w:val="44"/>
          <w:szCs w:val="44"/>
          <w:lang w:eastAsia="zh-Hans"/>
        </w:rPr>
        <w:t>）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（征求意见稿）</w:t>
      </w:r>
    </w:p>
    <w:p>
      <w:pPr>
        <w:numPr>
          <w:ilvl w:val="0"/>
          <w:numId w:val="1"/>
        </w:numPr>
        <w:ind w:firstLine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总则</w:t>
      </w:r>
      <w:bookmarkStart w:id="0" w:name="1"/>
    </w:p>
    <w:p>
      <w:pPr>
        <w:numPr>
          <w:ilvl w:val="-1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第一条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　为贯彻落实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知识产权强国建设纲要（2021-2035年）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《关于强化知识产权保护的意见》</w:t>
      </w:r>
      <w:bookmarkStart w:id="15" w:name="_GoBack"/>
      <w:bookmarkEnd w:id="15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《国家知识产权局办公室印发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&lt;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关于技术调查官参与专利、集成电路布图设计侵权纠纷行政裁决办案的若干规定(暂行)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&gt;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的通知》《深圳经济特区知识产权保护条例》、深圳市《关于强化知识产权保护的实施方案》等法规、文件的规定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规范知识产权行政执法技术调查官的选任和管理，进一步提升知识产权行政执法效能，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结合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深圳市知识产权行政执法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工作实际，制定本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办法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第二条  技术调查官属于行政执法辅助人员，根据行政执法办案人员的指派，为查明案件技术事实提供咨询、出具技术调查意见和其他必要技术协助。</w:t>
      </w:r>
      <w:bookmarkStart w:id="1" w:name="2"/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　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市场监管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知识产权局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负责技术调查官的选任和管理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市场监管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知识产权局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知识产权保护处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负责技术调查官的选任，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建立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技术调查官名录库；市市场稽查局负责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技术调查官系统平台及工作流程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管理；中国（深圳）知识产权保护中心负责技术调查官日常管理和业务管理。</w:t>
      </w:r>
    </w:p>
    <w:p>
      <w:pPr>
        <w:ind w:firstLine="0"/>
        <w:jc w:val="center"/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选任</w:t>
      </w:r>
      <w:bookmarkEnd w:id="1"/>
    </w:p>
    <w:p>
      <w:pPr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bookmarkStart w:id="2" w:name="3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第四条 </w:t>
      </w:r>
      <w:bookmarkStart w:id="3" w:name="5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技术调查官名录库包括专职技术调查官和兼职技术调查官。</w:t>
      </w:r>
    </w:p>
    <w:p>
      <w:pPr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专职技术调查官的设立按照有关规定执行。</w:t>
      </w:r>
    </w:p>
    <w:p>
      <w:pPr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兼职技术调查官主要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从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中国（深圳）知识产权保护中心、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行业协会、高等院校、科研机构、企事业单位等相关领域的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技术人员中遴选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，任期三年。</w:t>
      </w:r>
      <w:bookmarkEnd w:id="3"/>
    </w:p>
    <w:p>
      <w:pPr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兼职技术调查官的劳务报酬参照市财政部门专家库管理规定执行。</w:t>
      </w:r>
    </w:p>
    <w:p>
      <w:pPr>
        <w:spacing w:line="240" w:lineRule="auto"/>
        <w:ind w:firstLine="5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第五条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兼职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技术调查官采取个人自荐、单位推荐的方式产生。</w:t>
      </w:r>
    </w:p>
    <w:p>
      <w:pPr>
        <w:spacing w:line="240" w:lineRule="auto"/>
        <w:ind w:firstLine="5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（一）采取个人自荐方式的，应经本人所在单位审核同意；</w:t>
      </w:r>
    </w:p>
    <w:p>
      <w:pPr>
        <w:spacing w:line="240" w:lineRule="auto"/>
        <w:ind w:left="0" w:leftChars="0"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（二）采取单位推荐方式的，应事先征得被推荐人同意。</w:t>
      </w:r>
    </w:p>
    <w:p>
      <w:pPr>
        <w:spacing w:line="240" w:lineRule="auto"/>
        <w:ind w:left="0" w:leftChars="0" w:firstLine="560" w:firstLineChars="200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市市场监督管理局（知识产权局）审核确定技术调查官人选后，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予以公示，公示无异议或异议不成立者，正式进入技术调查官名录库。</w:t>
      </w:r>
    </w:p>
    <w:p>
      <w:pPr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案件涉及重大、疑难、复杂的技术问题，可紧急定向邀请国家、省知识产权部门及市中级人民法院技术调查官名录库中人员，或从高等院校、科研机构中聘请相关技术领域具有副高以上职称的专家提供咨询。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第八条  担任技术调查官应符合以下资格条件：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(一)具有普通高等院校理工科专业本科及以上学历；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(二)具有中级以上专业技术资格或具有5年以上相关专业技术领域生产、管理、审查或研究工作经验。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第九条  具有以下情形之一的，不得选任为技术调查官：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（一）受过刑事处罚或者涉嫌犯罪司法程序尚未终结的；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（二）正在被行政拘留或者强制隔离戒毒的；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（三）公职人员因违法违纪被国家机关、事业单位开除或者辞退的；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（四）曾因违纪违法被解除劳动合同的；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（五）被依法列为失信联合惩戒对象的；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（六）有其他不适合从事技术调查官工作情形的。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第十条  技术调查官不再符合选任条件、主动申请退出或存在其他不宜担任技术调查官情形的，应将其及时从调查官名录库移出。</w:t>
      </w:r>
    </w:p>
    <w:p>
      <w:pPr>
        <w:ind w:firstLine="56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工作规则</w:t>
      </w:r>
    </w:p>
    <w:p>
      <w:pPr>
        <w:ind w:firstLine="56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第十一条  市市场稽查局及各辖区监管局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可以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根据案件办理实际需要，从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技术调查官名录库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指派技术调查官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参与行政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执法，具体流程指引由市市场稽查局另行制定；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申请从国家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广东省知识产权部门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技术调查官名录库调派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技术调查官的，按国家、广东省的相关规定执行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ind w:firstLine="56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其他行政执法部门需要调派技术调查官的，可依托技术调查官系统平台按流程办理，或者直接联系中国（深圳）知识产权保护中心办理。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第十二条  技术调查官在行政执法活动中可履行下列职责：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（一）对技术事实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的争议焦点以及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调查范围、顺序、方法等提出意见；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　　（二）参与调查取证；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（三）参与询问、口头审理；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）协助行政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执法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办案人员组织鉴定人、相关技术领域的专业人员提出意见；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）提出技术调查意见；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（六）列席合议组有关会议；</w:t>
      </w:r>
    </w:p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　　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七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）完成其他相关工作。</w:t>
      </w:r>
      <w:bookmarkEnd w:id="2"/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4" w:name="14"/>
      <w:bookmarkStart w:id="5" w:name="8"/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4"/>
      <w:r>
        <w:rPr>
          <w:rFonts w:hint="eastAsia" w:ascii="宋体" w:hAnsi="宋体" w:eastAsia="宋体" w:cs="宋体"/>
          <w:color w:val="000000"/>
          <w:sz w:val="28"/>
          <w:szCs w:val="28"/>
        </w:rPr>
        <w:t>　参与行政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执法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活动的技术调查官确定或者变更后，应当在三个工作日内告知当事人，并依法告知当事人有权申请技术调查官回避。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十四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具有下列情形之一的，技术调查官应当自行回避；技术调查官没有回避的，当事人及其代理人有权要求其回避：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（一）是本案当事人或者当事人近亲属的；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（二）本人或者其近亲属与本案有利害关系的；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（三）担任过本案证人、代理人的；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（四）其他可能影响对案件公正办理的。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技术调查官的回避由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行政执法办案部门负责人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决定。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十五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5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技术调查官参与调查取证的，应当事先查阅相关技术资料，就调查取证的范围、步骤和注意事项等提出建议。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bookmarkStart w:id="6" w:name="9"/>
      <w:r>
        <w:rPr>
          <w:rFonts w:hint="eastAsia" w:ascii="宋体" w:hAnsi="宋体" w:eastAsia="宋体" w:cs="宋体"/>
          <w:color w:val="000000"/>
          <w:sz w:val="28"/>
          <w:szCs w:val="28"/>
        </w:rPr>
        <w:t>　　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十六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6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技术调查官参与询问、口头审理时，可以向当事人及其他相关人员发问。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bookmarkStart w:id="7" w:name="10"/>
      <w:r>
        <w:rPr>
          <w:rFonts w:hint="eastAsia" w:ascii="宋体" w:hAnsi="宋体" w:eastAsia="宋体" w:cs="宋体"/>
          <w:color w:val="000000"/>
          <w:sz w:val="28"/>
          <w:szCs w:val="28"/>
        </w:rPr>
        <w:t>　　第十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7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技术调查官应当在案件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合议或调查终结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前就案件所涉技术问题提出技术调查意见。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技术调查意见由技术调查官独立出具并签名，不对外公开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当事人可申请查阅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bookmarkStart w:id="8" w:name="11"/>
      <w:r>
        <w:rPr>
          <w:rFonts w:hint="eastAsia" w:ascii="宋体" w:hAnsi="宋体" w:eastAsia="宋体" w:cs="宋体"/>
          <w:color w:val="000000"/>
          <w:sz w:val="28"/>
          <w:szCs w:val="28"/>
        </w:rPr>
        <w:t>　　第十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8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技术调查意见应当载明以下内容：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（一）案号、案由、当事人情况等案件基本信息；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（二）案件所涉技术问题的归纳；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（三）针对有争议的技术问题出具意见和理由，并应当对当事人现有技术抗辩等主张予以回应；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（四）相关参考资料内容和出处；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（五）其他与案件技术问题相关的必要内容。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技术调查官提出的技术调查意见作为合议组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或办案机构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认定技术事实的参考。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</w:t>
      </w:r>
      <w:bookmarkStart w:id="9" w:name="13"/>
      <w:r>
        <w:rPr>
          <w:rFonts w:hint="eastAsia" w:ascii="宋体" w:hAnsi="宋体" w:eastAsia="宋体" w:cs="宋体"/>
          <w:color w:val="000000"/>
          <w:sz w:val="28"/>
          <w:szCs w:val="28"/>
        </w:rPr>
        <w:t>第十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9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参加合议的，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对案件合议结果不具有表决权。</w:t>
      </w:r>
    </w:p>
    <w:p>
      <w:pPr>
        <w:ind w:firstLine="56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技术调查官参与行政裁决活动的，应当在裁决文书上署名。</w:t>
      </w:r>
    </w:p>
    <w:p>
      <w:pPr>
        <w:ind w:firstLine="56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第四章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监督管理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</w:pPr>
      <w:bookmarkStart w:id="10" w:name="15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条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技术调查官参与行政案件时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应遵守以下工作要求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：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一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严格遵守法律法规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廉洁自律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认真履行职责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二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客观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中立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在工作期限内独立作出技术调查意见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；</w:t>
      </w:r>
    </w:p>
    <w:p>
      <w:pPr>
        <w:ind w:firstLine="560"/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三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仅对参与的案件所涉及的专业技术问题发表意见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不对事实认定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法律适用和裁决结果发表意见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；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四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严格保守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参与行政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执法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活动中知悉的案件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秘密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商业秘密等秘密信息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未经批准不得披露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评价案件信息及办案情况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。</w:t>
      </w:r>
      <w:bookmarkEnd w:id="10"/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bookmarkStart w:id="11" w:name="16"/>
      <w:r>
        <w:rPr>
          <w:rFonts w:hint="eastAsia" w:ascii="宋体" w:hAnsi="宋体" w:eastAsia="宋体" w:cs="宋体"/>
          <w:color w:val="000000"/>
          <w:sz w:val="28"/>
          <w:szCs w:val="28"/>
        </w:rPr>
        <w:t>　　</w:t>
      </w:r>
      <w:bookmarkEnd w:id="11"/>
      <w:bookmarkStart w:id="12" w:name="18"/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二十一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12"/>
      <w:r>
        <w:rPr>
          <w:rFonts w:hint="eastAsia" w:ascii="宋体" w:hAnsi="宋体" w:eastAsia="宋体" w:cs="宋体"/>
          <w:color w:val="000000"/>
          <w:sz w:val="28"/>
          <w:szCs w:val="28"/>
        </w:rPr>
        <w:t>　技术调查官违反与行政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执法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工作有关的法律法规及相关规定，贪污受贿、徇私舞弊，故意出具虚假、误导或者重大遗漏的不实技术调查意见的，依纪依法追究责任；构成犯罪的，依法追究刑事责任。</w:t>
      </w:r>
    </w:p>
    <w:p>
      <w:pPr>
        <w:ind w:firstLine="56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章  附则</w:t>
      </w:r>
    </w:p>
    <w:p>
      <w:pPr>
        <w:spacing w:beforeLines="0" w:afterLines="0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13" w:name="19"/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二十二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13"/>
      <w:r>
        <w:rPr>
          <w:rFonts w:hint="eastAsia" w:ascii="宋体" w:hAnsi="宋体" w:eastAsia="宋体" w:cs="宋体"/>
          <w:color w:val="000000"/>
          <w:sz w:val="28"/>
          <w:szCs w:val="28"/>
        </w:rPr>
        <w:t>　本规定由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市市场监管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局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知识产权局</w:t>
      </w:r>
      <w:r>
        <w:rPr>
          <w:rFonts w:hint="default" w:ascii="宋体" w:hAnsi="宋体" w:eastAsia="宋体" w:cs="宋体"/>
          <w:color w:val="000000"/>
          <w:sz w:val="28"/>
          <w:szCs w:val="28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负责解释。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14" w:name="20"/>
      <w:r>
        <w:rPr>
          <w:rFonts w:hint="eastAsia" w:ascii="宋体" w:hAnsi="宋体" w:eastAsia="宋体" w:cs="宋体"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二十三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条</w:t>
      </w:r>
      <w:bookmarkEnd w:id="14"/>
      <w:r>
        <w:rPr>
          <w:rFonts w:hint="eastAsia" w:ascii="宋体" w:hAnsi="宋体" w:eastAsia="宋体" w:cs="宋体"/>
          <w:color w:val="000000"/>
          <w:sz w:val="28"/>
          <w:szCs w:val="28"/>
        </w:rPr>
        <w:t>　本规定自公布之日起施行</w:t>
      </w:r>
      <w:r>
        <w:rPr>
          <w:rFonts w:hint="default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有效期三年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E4C38"/>
    <w:multiLevelType w:val="singleLevel"/>
    <w:tmpl w:val="FF1E4C3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2718"/>
    <w:rsid w:val="01192CFD"/>
    <w:rsid w:val="01856CCD"/>
    <w:rsid w:val="037B5B13"/>
    <w:rsid w:val="06092487"/>
    <w:rsid w:val="060C1226"/>
    <w:rsid w:val="065B3C6E"/>
    <w:rsid w:val="065D7954"/>
    <w:rsid w:val="0AA0515A"/>
    <w:rsid w:val="0B716EE6"/>
    <w:rsid w:val="0BFC6B94"/>
    <w:rsid w:val="0C075EC2"/>
    <w:rsid w:val="0C480320"/>
    <w:rsid w:val="0EAB16DE"/>
    <w:rsid w:val="0EFF20E0"/>
    <w:rsid w:val="0FFEB974"/>
    <w:rsid w:val="10A15F3F"/>
    <w:rsid w:val="11301D55"/>
    <w:rsid w:val="122175B7"/>
    <w:rsid w:val="12492414"/>
    <w:rsid w:val="12D8120A"/>
    <w:rsid w:val="136B076D"/>
    <w:rsid w:val="136B3572"/>
    <w:rsid w:val="14974AA9"/>
    <w:rsid w:val="15EE7520"/>
    <w:rsid w:val="162012E7"/>
    <w:rsid w:val="1702076A"/>
    <w:rsid w:val="18D559C6"/>
    <w:rsid w:val="1B4D6B0D"/>
    <w:rsid w:val="1B993147"/>
    <w:rsid w:val="1B9A33FA"/>
    <w:rsid w:val="1BA716E1"/>
    <w:rsid w:val="1D0455D3"/>
    <w:rsid w:val="1EDC027E"/>
    <w:rsid w:val="1F8B76A0"/>
    <w:rsid w:val="20383CE7"/>
    <w:rsid w:val="203C0D55"/>
    <w:rsid w:val="20B01941"/>
    <w:rsid w:val="21315EB3"/>
    <w:rsid w:val="22ED4FBD"/>
    <w:rsid w:val="23A53476"/>
    <w:rsid w:val="24B25C32"/>
    <w:rsid w:val="24B73EA9"/>
    <w:rsid w:val="279C5C93"/>
    <w:rsid w:val="27E26229"/>
    <w:rsid w:val="28A530EE"/>
    <w:rsid w:val="2A304147"/>
    <w:rsid w:val="2A664B4C"/>
    <w:rsid w:val="2A6D2522"/>
    <w:rsid w:val="2AB422C1"/>
    <w:rsid w:val="2BDC3073"/>
    <w:rsid w:val="2C172153"/>
    <w:rsid w:val="2C1807BC"/>
    <w:rsid w:val="2C1F6B56"/>
    <w:rsid w:val="2DDA77FC"/>
    <w:rsid w:val="2F1442EF"/>
    <w:rsid w:val="2F1C72CE"/>
    <w:rsid w:val="2F2544B5"/>
    <w:rsid w:val="2F8FF5DE"/>
    <w:rsid w:val="2FDF46F5"/>
    <w:rsid w:val="2FFE3AD5"/>
    <w:rsid w:val="30E018EB"/>
    <w:rsid w:val="31C07BC2"/>
    <w:rsid w:val="31EF2C29"/>
    <w:rsid w:val="3269087A"/>
    <w:rsid w:val="339E2653"/>
    <w:rsid w:val="3536698F"/>
    <w:rsid w:val="36126C56"/>
    <w:rsid w:val="36BC5940"/>
    <w:rsid w:val="38BF5935"/>
    <w:rsid w:val="38C32960"/>
    <w:rsid w:val="38D022A3"/>
    <w:rsid w:val="3A2F4AA1"/>
    <w:rsid w:val="3B553A82"/>
    <w:rsid w:val="3B7F81B0"/>
    <w:rsid w:val="3B9A7C1E"/>
    <w:rsid w:val="3C4A01D9"/>
    <w:rsid w:val="3D654AF2"/>
    <w:rsid w:val="3EE921C5"/>
    <w:rsid w:val="3F4D6434"/>
    <w:rsid w:val="3F62C72A"/>
    <w:rsid w:val="3FD562AC"/>
    <w:rsid w:val="3FEE3B12"/>
    <w:rsid w:val="40E04E2A"/>
    <w:rsid w:val="41412A99"/>
    <w:rsid w:val="41902765"/>
    <w:rsid w:val="43427578"/>
    <w:rsid w:val="43D70D7A"/>
    <w:rsid w:val="43EE67DA"/>
    <w:rsid w:val="441E3675"/>
    <w:rsid w:val="45F83B8C"/>
    <w:rsid w:val="46BB18AB"/>
    <w:rsid w:val="46F1232C"/>
    <w:rsid w:val="46FA0087"/>
    <w:rsid w:val="48FF2791"/>
    <w:rsid w:val="4BF4639F"/>
    <w:rsid w:val="4CD46B5C"/>
    <w:rsid w:val="4D741332"/>
    <w:rsid w:val="4F3D4C6D"/>
    <w:rsid w:val="500E5D19"/>
    <w:rsid w:val="50505DD8"/>
    <w:rsid w:val="51783BA9"/>
    <w:rsid w:val="51823E2D"/>
    <w:rsid w:val="526D1942"/>
    <w:rsid w:val="54295770"/>
    <w:rsid w:val="54595297"/>
    <w:rsid w:val="5541120C"/>
    <w:rsid w:val="55636B47"/>
    <w:rsid w:val="578816E4"/>
    <w:rsid w:val="57D746EE"/>
    <w:rsid w:val="598368E0"/>
    <w:rsid w:val="5A395719"/>
    <w:rsid w:val="5AD970C0"/>
    <w:rsid w:val="5B334108"/>
    <w:rsid w:val="5BB21790"/>
    <w:rsid w:val="5BB78CFB"/>
    <w:rsid w:val="5C344956"/>
    <w:rsid w:val="5C3A50EF"/>
    <w:rsid w:val="5D5D6202"/>
    <w:rsid w:val="5D7912F8"/>
    <w:rsid w:val="5DB80E61"/>
    <w:rsid w:val="5FF94C2F"/>
    <w:rsid w:val="5FFA704C"/>
    <w:rsid w:val="60FB74CA"/>
    <w:rsid w:val="619147A7"/>
    <w:rsid w:val="634B0D6C"/>
    <w:rsid w:val="63EFAB56"/>
    <w:rsid w:val="64632C93"/>
    <w:rsid w:val="64C430A6"/>
    <w:rsid w:val="65D5C97D"/>
    <w:rsid w:val="665B7132"/>
    <w:rsid w:val="66BB529B"/>
    <w:rsid w:val="67297981"/>
    <w:rsid w:val="67E36BA4"/>
    <w:rsid w:val="68D172D1"/>
    <w:rsid w:val="69965D80"/>
    <w:rsid w:val="6A3934F6"/>
    <w:rsid w:val="6A9B462C"/>
    <w:rsid w:val="6DFF960C"/>
    <w:rsid w:val="6EA4430F"/>
    <w:rsid w:val="6FA76646"/>
    <w:rsid w:val="703A2D73"/>
    <w:rsid w:val="71BD2D4E"/>
    <w:rsid w:val="71C31C84"/>
    <w:rsid w:val="73F77916"/>
    <w:rsid w:val="751722BC"/>
    <w:rsid w:val="76FD3E3D"/>
    <w:rsid w:val="778EEB9D"/>
    <w:rsid w:val="779F5E69"/>
    <w:rsid w:val="77DA0B5A"/>
    <w:rsid w:val="77DF0805"/>
    <w:rsid w:val="79582B5C"/>
    <w:rsid w:val="795E0484"/>
    <w:rsid w:val="7B6E922B"/>
    <w:rsid w:val="7BA321CC"/>
    <w:rsid w:val="7BA55265"/>
    <w:rsid w:val="7BF683BB"/>
    <w:rsid w:val="7CFF1E68"/>
    <w:rsid w:val="7D38245D"/>
    <w:rsid w:val="7DB7DA27"/>
    <w:rsid w:val="7E2C2C10"/>
    <w:rsid w:val="7EF834EF"/>
    <w:rsid w:val="7EFAD972"/>
    <w:rsid w:val="7F9F2392"/>
    <w:rsid w:val="7FF2F29D"/>
    <w:rsid w:val="7FFF69EE"/>
    <w:rsid w:val="7FFF93D7"/>
    <w:rsid w:val="AAFE5007"/>
    <w:rsid w:val="AFEEA194"/>
    <w:rsid w:val="B15F0CD3"/>
    <w:rsid w:val="B5BF0BEB"/>
    <w:rsid w:val="B7BE4974"/>
    <w:rsid w:val="B7DAB7E9"/>
    <w:rsid w:val="B7FED285"/>
    <w:rsid w:val="BBFE3CBD"/>
    <w:rsid w:val="BEF7E709"/>
    <w:rsid w:val="CF9F07AF"/>
    <w:rsid w:val="CFBFDFCC"/>
    <w:rsid w:val="CFDC94CF"/>
    <w:rsid w:val="DECFF768"/>
    <w:rsid w:val="DF7DAE90"/>
    <w:rsid w:val="DFFF187C"/>
    <w:rsid w:val="E76BCF41"/>
    <w:rsid w:val="EBFDC259"/>
    <w:rsid w:val="EE791209"/>
    <w:rsid w:val="EE795803"/>
    <w:rsid w:val="EEEE3554"/>
    <w:rsid w:val="EFF79863"/>
    <w:rsid w:val="EFFC4693"/>
    <w:rsid w:val="FB7390D1"/>
    <w:rsid w:val="FDEFAD7E"/>
    <w:rsid w:val="FF07294D"/>
    <w:rsid w:val="FF65ECF1"/>
    <w:rsid w:val="FFEDD7FD"/>
    <w:rsid w:val="FF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3F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2022-01-29T15:43:00Z</dcterms:created>
  <dc:creator>kuangph</dc:creator>
  <cp:lastModifiedBy>赖晓</cp:lastModifiedBy>
  <cp:lastPrinted>2022-06-29T22:48:00Z</cp:lastPrinted>
  <dcterms:modified xsi:type="dcterms:W3CDTF">2022-06-29T17:58:29Z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B74A4D172A864CE8BD0999FB50D731F2</vt:lpwstr>
  </property>
</Properties>
</file>