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534B" w14:textId="77777777" w:rsidR="00C211C3" w:rsidRDefault="00C211C3" w:rsidP="00C211C3">
      <w:pPr>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《深圳市专业应急救援队伍管理办法》（征求意见稿）</w:t>
      </w:r>
    </w:p>
    <w:p w14:paraId="58D92D26" w14:textId="77777777" w:rsidR="00C211C3" w:rsidRDefault="00C211C3" w:rsidP="00C211C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公开征求意见及采纳情况说明</w:t>
      </w:r>
    </w:p>
    <w:p w14:paraId="1EA600E5" w14:textId="77777777" w:rsidR="00C211C3" w:rsidRDefault="00C211C3" w:rsidP="00C211C3">
      <w:pPr>
        <w:spacing w:line="560" w:lineRule="exact"/>
      </w:pPr>
    </w:p>
    <w:tbl>
      <w:tblPr>
        <w:tblStyle w:val="a7"/>
        <w:tblW w:w="13977" w:type="dxa"/>
        <w:tblLayout w:type="fixed"/>
        <w:tblLook w:val="04A0" w:firstRow="1" w:lastRow="0" w:firstColumn="1" w:lastColumn="0" w:noHBand="0" w:noVBand="1"/>
      </w:tblPr>
      <w:tblGrid>
        <w:gridCol w:w="1016"/>
        <w:gridCol w:w="6605"/>
        <w:gridCol w:w="1780"/>
        <w:gridCol w:w="4576"/>
      </w:tblGrid>
      <w:tr w:rsidR="00C211C3" w14:paraId="7C98557C" w14:textId="77777777" w:rsidTr="009F6E27">
        <w:tc>
          <w:tcPr>
            <w:tcW w:w="1016" w:type="dxa"/>
            <w:vAlign w:val="center"/>
          </w:tcPr>
          <w:p w14:paraId="617D0EDB" w14:textId="77777777" w:rsidR="00C211C3" w:rsidRDefault="00C211C3" w:rsidP="009F6E27">
            <w:pPr>
              <w:pStyle w:val="a8"/>
              <w:spacing w:before="0" w:after="0" w:line="400" w:lineRule="exact"/>
              <w:ind w:leftChars="-20" w:left="-64" w:rightChars="-20" w:right="-64"/>
              <w:jc w:val="center"/>
              <w:rPr>
                <w:rFonts w:ascii="黑体" w:eastAsia="黑体" w:hAnsi="黑体" w:cs="黑体"/>
                <w:sz w:val="32"/>
                <w:szCs w:val="32"/>
              </w:rPr>
            </w:pPr>
            <w:r>
              <w:rPr>
                <w:rFonts w:ascii="黑体" w:eastAsia="黑体" w:hAnsi="黑体" w:cs="黑体" w:hint="eastAsia"/>
                <w:kern w:val="2"/>
                <w:sz w:val="32"/>
                <w:szCs w:val="32"/>
              </w:rPr>
              <w:t>序号</w:t>
            </w:r>
          </w:p>
        </w:tc>
        <w:tc>
          <w:tcPr>
            <w:tcW w:w="6605" w:type="dxa"/>
            <w:vAlign w:val="center"/>
          </w:tcPr>
          <w:p w14:paraId="15AFD435" w14:textId="77777777" w:rsidR="00C211C3" w:rsidRDefault="00C211C3" w:rsidP="009F6E27">
            <w:pPr>
              <w:pStyle w:val="a8"/>
              <w:spacing w:before="0" w:after="0" w:line="400" w:lineRule="exact"/>
              <w:ind w:leftChars="-20" w:left="-64" w:rightChars="-20" w:right="-64"/>
              <w:jc w:val="center"/>
              <w:rPr>
                <w:rFonts w:ascii="黑体" w:eastAsia="黑体" w:hAnsi="黑体" w:cs="黑体"/>
                <w:sz w:val="32"/>
                <w:szCs w:val="32"/>
              </w:rPr>
            </w:pPr>
            <w:r>
              <w:rPr>
                <w:rFonts w:ascii="黑体" w:eastAsia="黑体" w:hAnsi="黑体" w:cs="黑体" w:hint="eastAsia"/>
                <w:kern w:val="2"/>
                <w:sz w:val="32"/>
                <w:szCs w:val="32"/>
              </w:rPr>
              <w:t>反馈意见情况</w:t>
            </w:r>
          </w:p>
        </w:tc>
        <w:tc>
          <w:tcPr>
            <w:tcW w:w="1780" w:type="dxa"/>
            <w:vAlign w:val="center"/>
          </w:tcPr>
          <w:p w14:paraId="156CB745" w14:textId="77777777" w:rsidR="00C211C3" w:rsidRDefault="00C211C3" w:rsidP="009F6E27">
            <w:pPr>
              <w:pStyle w:val="a8"/>
              <w:spacing w:before="0" w:after="0" w:line="400" w:lineRule="exact"/>
              <w:ind w:leftChars="-20" w:left="-64" w:rightChars="-20" w:right="-64"/>
              <w:jc w:val="center"/>
              <w:rPr>
                <w:rFonts w:ascii="黑体" w:eastAsia="黑体" w:hAnsi="黑体" w:cs="黑体"/>
                <w:sz w:val="32"/>
                <w:szCs w:val="32"/>
              </w:rPr>
            </w:pPr>
            <w:r>
              <w:rPr>
                <w:rFonts w:ascii="黑体" w:eastAsia="黑体" w:hAnsi="黑体" w:cs="黑体" w:hint="eastAsia"/>
                <w:kern w:val="2"/>
                <w:sz w:val="32"/>
                <w:szCs w:val="32"/>
              </w:rPr>
              <w:t>采纳情况</w:t>
            </w:r>
          </w:p>
        </w:tc>
        <w:tc>
          <w:tcPr>
            <w:tcW w:w="4576" w:type="dxa"/>
            <w:vAlign w:val="center"/>
          </w:tcPr>
          <w:p w14:paraId="06BF8685" w14:textId="77777777" w:rsidR="00C211C3" w:rsidRDefault="00C211C3" w:rsidP="009F6E27">
            <w:pPr>
              <w:pStyle w:val="a8"/>
              <w:spacing w:before="0" w:after="0" w:line="400" w:lineRule="exact"/>
              <w:ind w:leftChars="-20" w:left="-64" w:rightChars="-20" w:right="-64"/>
              <w:jc w:val="center"/>
              <w:rPr>
                <w:rFonts w:ascii="黑体" w:eastAsia="黑体" w:hAnsi="黑体" w:cs="黑体"/>
                <w:sz w:val="32"/>
                <w:szCs w:val="32"/>
              </w:rPr>
            </w:pPr>
            <w:r>
              <w:rPr>
                <w:rFonts w:ascii="黑体" w:eastAsia="黑体" w:hAnsi="黑体" w:cs="黑体" w:hint="eastAsia"/>
                <w:kern w:val="2"/>
                <w:sz w:val="32"/>
                <w:szCs w:val="32"/>
              </w:rPr>
              <w:t>理由</w:t>
            </w:r>
          </w:p>
        </w:tc>
      </w:tr>
      <w:tr w:rsidR="00C211C3" w14:paraId="6AB5CDBF" w14:textId="77777777" w:rsidTr="009F6E27">
        <w:tc>
          <w:tcPr>
            <w:tcW w:w="1016" w:type="dxa"/>
            <w:vAlign w:val="center"/>
          </w:tcPr>
          <w:p w14:paraId="7B146696" w14:textId="77777777" w:rsidR="00C211C3" w:rsidRDefault="00C211C3" w:rsidP="009F6E27">
            <w:pPr>
              <w:jc w:val="center"/>
              <w:rPr>
                <w:rFonts w:ascii="仿宋_GB2312" w:hAnsi="仿宋_GB2312" w:cs="仿宋_GB2312"/>
                <w:szCs w:val="32"/>
              </w:rPr>
            </w:pPr>
            <w:r>
              <w:rPr>
                <w:rFonts w:ascii="仿宋_GB2312" w:hAnsi="仿宋_GB2312" w:cs="仿宋_GB2312" w:hint="eastAsia"/>
                <w:szCs w:val="32"/>
              </w:rPr>
              <w:t>1</w:t>
            </w:r>
          </w:p>
        </w:tc>
        <w:tc>
          <w:tcPr>
            <w:tcW w:w="6605" w:type="dxa"/>
            <w:vAlign w:val="center"/>
          </w:tcPr>
          <w:p w14:paraId="58B0821A" w14:textId="77777777" w:rsidR="00C211C3" w:rsidRDefault="00C211C3" w:rsidP="009F6E27">
            <w:pPr>
              <w:widowControl/>
              <w:spacing w:line="420" w:lineRule="exact"/>
              <w:rPr>
                <w:rFonts w:ascii="仿宋_GB2312" w:hAnsi="仿宋_GB2312" w:cs="仿宋_GB2312"/>
                <w:color w:val="000000"/>
                <w:sz w:val="28"/>
                <w:szCs w:val="28"/>
              </w:rPr>
            </w:pPr>
            <w:r>
              <w:rPr>
                <w:rFonts w:ascii="仿宋_GB2312" w:hAnsi="仿宋_GB2312" w:cs="仿宋_GB2312" w:hint="eastAsia"/>
                <w:color w:val="000000"/>
                <w:sz w:val="28"/>
                <w:szCs w:val="28"/>
              </w:rPr>
              <w:t xml:space="preserve">“第九条 </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……每季度至少组织或参加1次实战演练，并对演练进行总结评估。”</w:t>
            </w:r>
          </w:p>
          <w:p w14:paraId="067BF1CC" w14:textId="77777777" w:rsidR="00C211C3" w:rsidRDefault="00C211C3" w:rsidP="009F6E27">
            <w:pPr>
              <w:widowControl/>
              <w:spacing w:line="420" w:lineRule="exact"/>
              <w:rPr>
                <w:rFonts w:ascii="仿宋_GB2312" w:hAnsi="仿宋_GB2312" w:cs="仿宋_GB2312"/>
              </w:rPr>
            </w:pPr>
            <w:r>
              <w:rPr>
                <w:rFonts w:ascii="仿宋_GB2312" w:hAnsi="仿宋_GB2312" w:cs="仿宋_GB2312" w:hint="eastAsia"/>
                <w:b/>
                <w:color w:val="000000"/>
                <w:sz w:val="28"/>
                <w:szCs w:val="28"/>
              </w:rPr>
              <w:t>建议</w:t>
            </w:r>
            <w:r>
              <w:rPr>
                <w:rFonts w:ascii="仿宋_GB2312" w:hAnsi="仿宋_GB2312" w:cs="仿宋_GB2312" w:hint="eastAsia"/>
                <w:color w:val="000000"/>
                <w:sz w:val="28"/>
                <w:szCs w:val="28"/>
              </w:rPr>
              <w:t xml:space="preserve">：很多专业队伍都是依托企业建设，并非专职人员，因此，每季度至少组织或参加1次实战演练在现阶段存在较大难度，建议减少实战演练频次要求) </w:t>
            </w:r>
          </w:p>
        </w:tc>
        <w:tc>
          <w:tcPr>
            <w:tcW w:w="1780" w:type="dxa"/>
            <w:vAlign w:val="center"/>
          </w:tcPr>
          <w:p w14:paraId="5BF7C41F" w14:textId="77777777" w:rsidR="00C211C3" w:rsidRDefault="00C211C3" w:rsidP="009F6E27">
            <w:pPr>
              <w:widowControl/>
              <w:spacing w:line="420" w:lineRule="exact"/>
              <w:jc w:val="center"/>
            </w:pPr>
            <w:r>
              <w:rPr>
                <w:rFonts w:ascii="仿宋_GB2312" w:hAnsi="等线" w:hint="eastAsia"/>
                <w:color w:val="000000"/>
                <w:sz w:val="28"/>
                <w:szCs w:val="28"/>
              </w:rPr>
              <w:t>采纳</w:t>
            </w:r>
          </w:p>
        </w:tc>
        <w:tc>
          <w:tcPr>
            <w:tcW w:w="4576" w:type="dxa"/>
            <w:vAlign w:val="center"/>
          </w:tcPr>
          <w:p w14:paraId="4B2BCF20" w14:textId="77777777" w:rsidR="00C211C3" w:rsidRDefault="00C211C3" w:rsidP="009F6E27">
            <w:pPr>
              <w:widowControl/>
              <w:spacing w:line="420" w:lineRule="exact"/>
            </w:pPr>
            <w:r>
              <w:rPr>
                <w:rFonts w:ascii="仿宋_GB2312" w:hAnsi="宋体" w:hint="eastAsia"/>
                <w:color w:val="000000"/>
                <w:sz w:val="28"/>
                <w:szCs w:val="28"/>
              </w:rPr>
              <w:t>已将相关要求从“每季度”调整为“每年”。</w:t>
            </w:r>
          </w:p>
        </w:tc>
      </w:tr>
      <w:tr w:rsidR="00C211C3" w14:paraId="60B185C7" w14:textId="77777777" w:rsidTr="009F6E27">
        <w:tc>
          <w:tcPr>
            <w:tcW w:w="1016" w:type="dxa"/>
            <w:vAlign w:val="center"/>
          </w:tcPr>
          <w:p w14:paraId="5BA31165" w14:textId="77777777" w:rsidR="00C211C3" w:rsidRDefault="00C211C3" w:rsidP="009F6E27">
            <w:pPr>
              <w:jc w:val="center"/>
              <w:rPr>
                <w:rFonts w:ascii="仿宋_GB2312" w:hAnsi="仿宋_GB2312" w:cs="仿宋_GB2312"/>
                <w:szCs w:val="32"/>
              </w:rPr>
            </w:pPr>
            <w:r>
              <w:rPr>
                <w:rFonts w:ascii="仿宋_GB2312" w:hAnsi="仿宋_GB2312" w:cs="仿宋_GB2312" w:hint="eastAsia"/>
                <w:szCs w:val="32"/>
              </w:rPr>
              <w:t>2</w:t>
            </w:r>
          </w:p>
        </w:tc>
        <w:tc>
          <w:tcPr>
            <w:tcW w:w="6605" w:type="dxa"/>
            <w:vAlign w:val="center"/>
          </w:tcPr>
          <w:p w14:paraId="19DF36F2" w14:textId="77777777" w:rsidR="00C211C3" w:rsidRDefault="00C211C3" w:rsidP="009F6E27">
            <w:pPr>
              <w:widowControl/>
              <w:spacing w:line="420" w:lineRule="exact"/>
              <w:rPr>
                <w:rFonts w:ascii="仿宋_GB2312" w:hAnsi="仿宋_GB2312" w:cs="仿宋_GB2312"/>
                <w:color w:val="000000"/>
                <w:sz w:val="28"/>
                <w:szCs w:val="28"/>
              </w:rPr>
            </w:pPr>
            <w:r>
              <w:rPr>
                <w:rFonts w:ascii="仿宋_GB2312" w:hAnsi="仿宋_GB2312" w:cs="仿宋_GB2312" w:hint="eastAsia"/>
                <w:color w:val="000000"/>
                <w:sz w:val="28"/>
                <w:szCs w:val="28"/>
              </w:rPr>
              <w:t>“第六条【队伍建设基本要求】（七）主要负责人及管理人员应具有相关专业本科及以上学历或工程师及以上职称，并至少具有3年相关行业领域专业技术和管理工作经历。”</w:t>
            </w:r>
          </w:p>
          <w:p w14:paraId="234BA0EE" w14:textId="77777777" w:rsidR="00C211C3" w:rsidRDefault="00C211C3" w:rsidP="009F6E27">
            <w:pPr>
              <w:widowControl/>
              <w:spacing w:line="420" w:lineRule="exact"/>
            </w:pPr>
            <w:r>
              <w:rPr>
                <w:rFonts w:ascii="仿宋_GB2312" w:hAnsi="仿宋_GB2312" w:cs="仿宋_GB2312" w:hint="eastAsia"/>
                <w:color w:val="000000"/>
                <w:sz w:val="28"/>
                <w:szCs w:val="28"/>
              </w:rPr>
              <w:t>建议：相关学历、支撑要求较高，建议适当降低要求。</w:t>
            </w:r>
          </w:p>
        </w:tc>
        <w:tc>
          <w:tcPr>
            <w:tcW w:w="1780" w:type="dxa"/>
            <w:vAlign w:val="center"/>
          </w:tcPr>
          <w:p w14:paraId="27699B16" w14:textId="77777777" w:rsidR="00C211C3" w:rsidRDefault="00C211C3" w:rsidP="009F6E27">
            <w:pPr>
              <w:widowControl/>
              <w:spacing w:line="420" w:lineRule="exact"/>
              <w:jc w:val="center"/>
            </w:pPr>
            <w:r>
              <w:rPr>
                <w:rFonts w:ascii="仿宋_GB2312" w:hAnsi="等线" w:hint="eastAsia"/>
                <w:color w:val="000000"/>
                <w:sz w:val="28"/>
                <w:szCs w:val="28"/>
              </w:rPr>
              <w:t>采纳</w:t>
            </w:r>
          </w:p>
        </w:tc>
        <w:tc>
          <w:tcPr>
            <w:tcW w:w="4576" w:type="dxa"/>
            <w:vAlign w:val="center"/>
          </w:tcPr>
          <w:p w14:paraId="196F5F8E" w14:textId="77777777" w:rsidR="00C211C3" w:rsidRDefault="00C211C3" w:rsidP="009F6E27">
            <w:pPr>
              <w:widowControl/>
              <w:spacing w:line="420" w:lineRule="exact"/>
            </w:pPr>
            <w:r>
              <w:rPr>
                <w:rFonts w:ascii="仿宋_GB2312" w:hAnsi="宋体" w:hint="eastAsia"/>
                <w:color w:val="000000"/>
                <w:sz w:val="28"/>
                <w:szCs w:val="28"/>
              </w:rPr>
              <w:t>补充表述：“属于在应急管理与安全生产相关专业领域具有特殊技能（如水下救援、空中救援等）的实用型人才的，经提供相关证明材料，可不受上述学历、工作限制”。</w:t>
            </w:r>
          </w:p>
        </w:tc>
      </w:tr>
      <w:tr w:rsidR="00C211C3" w14:paraId="1A46552F" w14:textId="77777777" w:rsidTr="009F6E27">
        <w:tc>
          <w:tcPr>
            <w:tcW w:w="1016" w:type="dxa"/>
            <w:vAlign w:val="center"/>
          </w:tcPr>
          <w:p w14:paraId="1566102B" w14:textId="77777777" w:rsidR="00C211C3" w:rsidRDefault="00C211C3" w:rsidP="009F6E27">
            <w:pPr>
              <w:jc w:val="center"/>
              <w:rPr>
                <w:rFonts w:ascii="仿宋_GB2312" w:hAnsi="仿宋_GB2312" w:cs="仿宋_GB2312"/>
                <w:szCs w:val="32"/>
              </w:rPr>
            </w:pPr>
            <w:r>
              <w:rPr>
                <w:rFonts w:ascii="仿宋_GB2312" w:hAnsi="仿宋_GB2312" w:cs="仿宋_GB2312" w:hint="eastAsia"/>
                <w:szCs w:val="32"/>
              </w:rPr>
              <w:t>3</w:t>
            </w:r>
          </w:p>
        </w:tc>
        <w:tc>
          <w:tcPr>
            <w:tcW w:w="6605" w:type="dxa"/>
            <w:vAlign w:val="center"/>
          </w:tcPr>
          <w:p w14:paraId="0786F22E" w14:textId="77777777" w:rsidR="00C211C3" w:rsidRDefault="00C211C3" w:rsidP="009F6E27">
            <w:pPr>
              <w:widowControl/>
              <w:spacing w:line="420" w:lineRule="exact"/>
              <w:rPr>
                <w:rFonts w:ascii="仿宋_GB2312" w:hAnsi="宋体"/>
                <w:color w:val="000000"/>
                <w:sz w:val="28"/>
                <w:szCs w:val="28"/>
              </w:rPr>
            </w:pPr>
            <w:r>
              <w:rPr>
                <w:rFonts w:ascii="仿宋_GB2312" w:hAnsi="宋体" w:hint="eastAsia"/>
                <w:color w:val="000000"/>
                <w:sz w:val="28"/>
                <w:szCs w:val="28"/>
              </w:rPr>
              <w:t>建议强化专业应急救援队伍参与应急救援工作的费用保障。</w:t>
            </w:r>
          </w:p>
        </w:tc>
        <w:tc>
          <w:tcPr>
            <w:tcW w:w="1780" w:type="dxa"/>
            <w:vAlign w:val="center"/>
          </w:tcPr>
          <w:p w14:paraId="5F0576CC" w14:textId="77777777" w:rsidR="00C211C3" w:rsidRDefault="00C211C3" w:rsidP="009F6E27">
            <w:pPr>
              <w:widowControl/>
              <w:spacing w:line="420" w:lineRule="exact"/>
              <w:jc w:val="center"/>
              <w:rPr>
                <w:rFonts w:ascii="仿宋_GB2312" w:hAnsi="宋体"/>
                <w:color w:val="000000"/>
                <w:sz w:val="28"/>
                <w:szCs w:val="28"/>
              </w:rPr>
            </w:pPr>
            <w:r>
              <w:rPr>
                <w:rFonts w:ascii="仿宋_GB2312" w:hAnsi="宋体" w:hint="eastAsia"/>
                <w:color w:val="000000"/>
                <w:sz w:val="28"/>
                <w:szCs w:val="28"/>
              </w:rPr>
              <w:t>采纳</w:t>
            </w:r>
          </w:p>
        </w:tc>
        <w:tc>
          <w:tcPr>
            <w:tcW w:w="4576" w:type="dxa"/>
            <w:vAlign w:val="center"/>
          </w:tcPr>
          <w:p w14:paraId="6FAB50C4" w14:textId="77777777" w:rsidR="00C211C3" w:rsidRDefault="00C211C3" w:rsidP="009F6E27">
            <w:pPr>
              <w:widowControl/>
              <w:spacing w:line="420" w:lineRule="exact"/>
              <w:rPr>
                <w:rFonts w:ascii="仿宋_GB2312" w:hAnsi="宋体"/>
                <w:color w:val="000000"/>
                <w:sz w:val="28"/>
                <w:szCs w:val="28"/>
              </w:rPr>
            </w:pPr>
            <w:r>
              <w:rPr>
                <w:rFonts w:ascii="仿宋_GB2312" w:hAnsi="宋体" w:hint="eastAsia"/>
                <w:color w:val="000000"/>
                <w:sz w:val="28"/>
                <w:szCs w:val="28"/>
              </w:rPr>
              <w:t>在第二十五条已有相关措施。</w:t>
            </w:r>
          </w:p>
        </w:tc>
      </w:tr>
    </w:tbl>
    <w:p w14:paraId="417CF989" w14:textId="77777777" w:rsidR="00EB6107" w:rsidRPr="00C211C3" w:rsidRDefault="00EB6107"/>
    <w:sectPr w:rsidR="00EB6107" w:rsidRPr="00C211C3" w:rsidSect="00C211C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51CE" w14:textId="77777777" w:rsidR="00E23A4D" w:rsidRDefault="00E23A4D" w:rsidP="00C211C3">
      <w:r>
        <w:separator/>
      </w:r>
    </w:p>
  </w:endnote>
  <w:endnote w:type="continuationSeparator" w:id="0">
    <w:p w14:paraId="0D766DA8" w14:textId="77777777" w:rsidR="00E23A4D" w:rsidRDefault="00E23A4D" w:rsidP="00C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91C9" w14:textId="77777777" w:rsidR="00E23A4D" w:rsidRDefault="00E23A4D" w:rsidP="00C211C3">
      <w:r>
        <w:separator/>
      </w:r>
    </w:p>
  </w:footnote>
  <w:footnote w:type="continuationSeparator" w:id="0">
    <w:p w14:paraId="733D8099" w14:textId="77777777" w:rsidR="00E23A4D" w:rsidRDefault="00E23A4D" w:rsidP="00C21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7"/>
    <w:rsid w:val="007C5F17"/>
    <w:rsid w:val="00C211C3"/>
    <w:rsid w:val="00E23A4D"/>
    <w:rsid w:val="00EB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401C9FB-282F-441D-A87A-2D53A9B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211C3"/>
    <w:pPr>
      <w:widowControl w:val="0"/>
      <w:jc w:val="both"/>
    </w:pPr>
    <w:rPr>
      <w:rFonts w:ascii="Calibri" w:eastAsia="仿宋_GB2312" w:hAnsi="Calibri" w:cs="宋体"/>
      <w:sz w:val="32"/>
      <w:szCs w:val="21"/>
    </w:rPr>
  </w:style>
  <w:style w:type="paragraph" w:styleId="1">
    <w:name w:val="heading 1"/>
    <w:basedOn w:val="a"/>
    <w:next w:val="a"/>
    <w:link w:val="10"/>
    <w:uiPriority w:val="9"/>
    <w:qFormat/>
    <w:rsid w:val="00C211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1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11C3"/>
    <w:rPr>
      <w:sz w:val="18"/>
      <w:szCs w:val="18"/>
    </w:rPr>
  </w:style>
  <w:style w:type="paragraph" w:styleId="a5">
    <w:name w:val="footer"/>
    <w:basedOn w:val="a"/>
    <w:link w:val="a6"/>
    <w:uiPriority w:val="99"/>
    <w:unhideWhenUsed/>
    <w:rsid w:val="00C211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11C3"/>
    <w:rPr>
      <w:sz w:val="18"/>
      <w:szCs w:val="18"/>
    </w:rPr>
  </w:style>
  <w:style w:type="table" w:styleId="a7">
    <w:name w:val="Table Grid"/>
    <w:basedOn w:val="a1"/>
    <w:qFormat/>
    <w:rsid w:val="00C211C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正文内容"/>
    <w:qFormat/>
    <w:rsid w:val="00C211C3"/>
    <w:pPr>
      <w:overflowPunct w:val="0"/>
      <w:autoSpaceDE w:val="0"/>
      <w:autoSpaceDN w:val="0"/>
      <w:adjustRightInd w:val="0"/>
      <w:spacing w:before="60" w:after="60"/>
      <w:textAlignment w:val="baseline"/>
    </w:pPr>
    <w:rPr>
      <w:rFonts w:ascii="Calibri" w:eastAsia="楷体_GB2312" w:hAnsi="Calibri" w:cs="Times New Roman"/>
      <w:kern w:val="0"/>
      <w:sz w:val="24"/>
      <w:szCs w:val="20"/>
    </w:rPr>
  </w:style>
  <w:style w:type="character" w:customStyle="1" w:styleId="10">
    <w:name w:val="标题 1 字符"/>
    <w:basedOn w:val="a0"/>
    <w:link w:val="1"/>
    <w:uiPriority w:val="9"/>
    <w:rsid w:val="00C211C3"/>
    <w:rPr>
      <w:rFonts w:ascii="Calibri" w:eastAsia="仿宋_GB2312" w:hAnsi="Calibri"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2</cp:revision>
  <dcterms:created xsi:type="dcterms:W3CDTF">2022-08-12T09:35:00Z</dcterms:created>
  <dcterms:modified xsi:type="dcterms:W3CDTF">2022-08-12T09:35:00Z</dcterms:modified>
</cp:coreProperties>
</file>