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pacing w:afterLines="0" w:line="560" w:lineRule="exact"/>
        <w:ind w:left="0" w:leftChars="0" w:right="0" w:rightChars="0" w:firstLine="0" w:firstLineChars="0"/>
        <w:jc w:val="left"/>
        <w:textAlignment w:val="auto"/>
        <w:rPr>
          <w:rFonts w:hint="eastAsia" w:ascii="仿宋" w:hAnsi="仿宋" w:eastAsia="宋体"/>
          <w:b/>
          <w:bCs/>
          <w:sz w:val="44"/>
          <w:szCs w:val="44"/>
          <w:shd w:val="clear" w:color="auto" w:fill="FFFFFF"/>
        </w:rPr>
      </w:pPr>
      <w:bookmarkStart w:id="4" w:name="_GoBack"/>
      <w:bookmarkStart w:id="0" w:name="OLE_LINK51"/>
      <w:bookmarkStart w:id="1" w:name="OLE_LINK50"/>
      <w:bookmarkStart w:id="2" w:name="OLE_LINK60"/>
      <w:bookmarkStart w:id="3" w:name="OLE_LINK61"/>
      <w:r>
        <w:rPr>
          <w:rFonts w:hint="eastAsia" w:ascii="仿宋_GB2312" w:hAnsi="仿宋_GB2312" w:eastAsia="仿宋_GB2312" w:cs="仿宋_GB2312"/>
          <w:sz w:val="32"/>
          <w:szCs w:val="32"/>
          <w:lang w:val="en-US" w:eastAsia="zh-CN"/>
        </w:rPr>
        <w:t>附件2</w:t>
      </w:r>
    </w:p>
    <w:p>
      <w:pPr>
        <w:keepNext w:val="0"/>
        <w:keepLines w:val="0"/>
        <w:pageBreakBefore w:val="0"/>
        <w:widowControl/>
        <w:kinsoku/>
        <w:overflowPunct/>
        <w:topLinePunct w:val="0"/>
        <w:autoSpaceDE/>
        <w:autoSpaceDN/>
        <w:bidi w:val="0"/>
        <w:adjustRightInd/>
        <w:spacing w:afterLines="0" w:line="560" w:lineRule="exact"/>
        <w:ind w:left="0" w:leftChars="0" w:right="0" w:rightChars="0" w:firstLine="0" w:firstLineChars="0"/>
        <w:jc w:val="center"/>
        <w:textAlignment w:val="auto"/>
        <w:rPr>
          <w:rFonts w:hint="eastAsia" w:ascii="仿宋" w:hAnsi="仿宋" w:eastAsia="宋体"/>
          <w:b/>
          <w:bCs/>
          <w:sz w:val="44"/>
          <w:szCs w:val="44"/>
          <w:shd w:val="clear" w:color="auto" w:fill="FFFFFF"/>
        </w:rPr>
      </w:pPr>
    </w:p>
    <w:p>
      <w:pPr>
        <w:keepNext w:val="0"/>
        <w:keepLines w:val="0"/>
        <w:pageBreakBefore w:val="0"/>
        <w:widowControl/>
        <w:kinsoku/>
        <w:overflowPunct/>
        <w:topLinePunct w:val="0"/>
        <w:autoSpaceDE/>
        <w:autoSpaceDN/>
        <w:bidi w:val="0"/>
        <w:adjustRightInd/>
        <w:spacing w:afterLines="0" w:line="560" w:lineRule="exact"/>
        <w:ind w:left="0" w:leftChars="0" w:right="0" w:rightChars="0" w:firstLine="0" w:firstLineChars="0"/>
        <w:jc w:val="center"/>
        <w:textAlignment w:val="auto"/>
        <w:rPr>
          <w:rFonts w:hint="eastAsia" w:ascii="仿宋" w:hAnsi="仿宋" w:eastAsia="宋体"/>
          <w:b/>
          <w:bCs/>
          <w:sz w:val="44"/>
          <w:szCs w:val="44"/>
          <w:shd w:val="clear" w:color="auto" w:fill="FFFFFF"/>
        </w:rPr>
      </w:pPr>
      <w:r>
        <w:rPr>
          <w:rFonts w:hint="eastAsia" w:ascii="仿宋" w:hAnsi="仿宋" w:eastAsia="宋体"/>
          <w:b/>
          <w:bCs/>
          <w:sz w:val="44"/>
          <w:szCs w:val="44"/>
          <w:shd w:val="clear" w:color="auto" w:fill="FFFFFF"/>
        </w:rPr>
        <w:t>深圳市前海深港现代服务业合作区香港</w:t>
      </w:r>
      <w:r>
        <w:rPr>
          <w:rFonts w:hint="eastAsia" w:ascii="仿宋" w:hAnsi="仿宋" w:eastAsia="宋体"/>
          <w:b/>
          <w:bCs/>
          <w:sz w:val="44"/>
          <w:szCs w:val="44"/>
          <w:shd w:val="clear" w:color="auto" w:fill="FFFFFF"/>
        </w:rPr>
        <w:br w:type="textWrapping"/>
      </w:r>
      <w:r>
        <w:rPr>
          <w:rFonts w:hint="eastAsia" w:ascii="仿宋" w:hAnsi="仿宋" w:eastAsia="宋体"/>
          <w:b/>
          <w:bCs/>
          <w:sz w:val="44"/>
          <w:szCs w:val="44"/>
          <w:shd w:val="clear" w:color="auto" w:fill="FFFFFF"/>
        </w:rPr>
        <w:t>工程建设领域专业机构执业备案</w:t>
      </w:r>
    </w:p>
    <w:p>
      <w:pPr>
        <w:keepNext w:val="0"/>
        <w:keepLines w:val="0"/>
        <w:pageBreakBefore w:val="0"/>
        <w:kinsoku/>
        <w:overflowPunct/>
        <w:topLinePunct w:val="0"/>
        <w:autoSpaceDE/>
        <w:autoSpaceDN/>
        <w:bidi w:val="0"/>
        <w:adjustRightInd/>
        <w:spacing w:afterLines="0" w:line="560" w:lineRule="exact"/>
        <w:ind w:left="0" w:leftChars="0" w:right="0" w:rightChars="0" w:firstLine="0" w:firstLineChars="0"/>
        <w:jc w:val="center"/>
        <w:textAlignment w:val="auto"/>
        <w:rPr>
          <w:rFonts w:ascii="仿宋" w:hAnsi="仿宋" w:eastAsia="宋体"/>
          <w:b/>
          <w:bCs/>
          <w:sz w:val="44"/>
          <w:szCs w:val="44"/>
          <w:shd w:val="clear" w:color="auto" w:fill="FFFFFF"/>
        </w:rPr>
      </w:pPr>
      <w:r>
        <w:rPr>
          <w:rFonts w:hint="eastAsia" w:ascii="仿宋" w:hAnsi="仿宋" w:eastAsia="宋体"/>
          <w:b/>
          <w:bCs/>
          <w:sz w:val="44"/>
          <w:szCs w:val="44"/>
          <w:shd w:val="clear" w:color="auto" w:fill="FFFFFF"/>
        </w:rPr>
        <w:t>管理办法（修订征求意见稿）</w:t>
      </w:r>
    </w:p>
    <w:bookmarkEnd w:id="4"/>
    <w:p>
      <w:pPr>
        <w:keepNext w:val="0"/>
        <w:keepLines w:val="0"/>
        <w:pageBreakBefore w:val="0"/>
        <w:widowControl/>
        <w:kinsoku/>
        <w:overflowPunct/>
        <w:topLinePunct w:val="0"/>
        <w:autoSpaceDE/>
        <w:autoSpaceDN/>
        <w:bidi w:val="0"/>
        <w:adjustRightInd/>
        <w:spacing w:afterLines="0" w:line="560" w:lineRule="exact"/>
        <w:ind w:left="0" w:right="0" w:rightChars="0" w:firstLine="643" w:firstLineChars="200"/>
        <w:textAlignment w:val="auto"/>
        <w:outlineLvl w:val="1"/>
        <w:rPr>
          <w:rFonts w:ascii="黑体" w:hAnsi="黑体" w:eastAsia="黑体" w:cs="黑体"/>
          <w:b/>
          <w:bCs/>
          <w:kern w:val="0"/>
          <w:sz w:val="32"/>
          <w:szCs w:val="32"/>
        </w:rPr>
      </w:pP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ascii="Times New Roman" w:hAnsi="Times New Roman" w:eastAsia="仿宋"/>
          <w:bCs/>
          <w:kern w:val="44"/>
          <w:sz w:val="32"/>
          <w:szCs w:val="32"/>
        </w:rPr>
      </w:pPr>
      <w:r>
        <w:rPr>
          <w:rFonts w:hint="eastAsia" w:ascii="黑体" w:hAnsi="黑体" w:eastAsia="黑体" w:cs="黑体"/>
          <w:b w:val="0"/>
          <w:bCs/>
          <w:kern w:val="0"/>
          <w:sz w:val="32"/>
          <w:szCs w:val="32"/>
        </w:rPr>
        <w:t>第一条</w:t>
      </w:r>
      <w:r>
        <w:rPr>
          <w:rFonts w:hint="eastAsia" w:ascii="黑体" w:hAnsi="黑体" w:eastAsia="黑体" w:cs="黑体"/>
          <w:b/>
          <w:kern w:val="0"/>
          <w:sz w:val="32"/>
          <w:szCs w:val="32"/>
        </w:rPr>
        <w:t xml:space="preserve"> </w:t>
      </w:r>
      <w:r>
        <w:rPr>
          <w:rFonts w:hint="eastAsia" w:ascii="仿宋_GB2312" w:hAnsi="仿宋_GB2312" w:eastAsia="仿宋_GB2312" w:cs="仿宋_GB2312"/>
          <w:bCs/>
          <w:color w:val="auto"/>
          <w:kern w:val="0"/>
          <w:sz w:val="32"/>
          <w:szCs w:val="32"/>
        </w:rPr>
        <w:t>为了进一步深化深港合作，引入在香港取得工程建设领域相关资质的专业机构为前海深港现代服务业合作区（以下简称前海合作区）市场主体直接提供服务，依据相关规定，结合前海合作区实际，制定本办法。</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黑体" w:hAnsi="黑体" w:eastAsia="黑体" w:cs="黑体"/>
          <w:b w:val="0"/>
          <w:bCs/>
          <w:kern w:val="0"/>
          <w:sz w:val="32"/>
          <w:szCs w:val="32"/>
        </w:rPr>
        <w:t>第二条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auto"/>
          <w:kern w:val="0"/>
          <w:sz w:val="32"/>
          <w:szCs w:val="32"/>
        </w:rPr>
        <w:t>本办法适用于在香港取得工程建设领域相关资质的专业机构（以下简称专业机构）在前海合作区的备案、执业以及相关管理活动。</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黑体" w:hAnsi="黑体" w:eastAsia="黑体" w:cs="黑体"/>
          <w:b w:val="0"/>
          <w:bCs/>
          <w:kern w:val="0"/>
          <w:sz w:val="32"/>
          <w:szCs w:val="32"/>
        </w:rPr>
        <w:t>第三条</w:t>
      </w:r>
      <w:r>
        <w:rPr>
          <w:rFonts w:hint="eastAsia" w:ascii="黑体" w:hAnsi="黑体" w:eastAsia="黑体" w:cs="黑体"/>
          <w:b/>
          <w:sz w:val="32"/>
          <w:szCs w:val="32"/>
        </w:rPr>
        <w:t xml:space="preserve"> </w:t>
      </w:r>
      <w:r>
        <w:rPr>
          <w:rFonts w:hint="eastAsia" w:ascii="仿宋_GB2312" w:hAnsi="仿宋_GB2312" w:eastAsia="仿宋_GB2312" w:cs="仿宋_GB2312"/>
          <w:bCs/>
          <w:color w:val="auto"/>
          <w:kern w:val="0"/>
          <w:sz w:val="32"/>
          <w:szCs w:val="32"/>
        </w:rPr>
        <w:t>前海深港现代服务业合作区管理局（以下简称前海管理局）负责专业机构的备案以及与备案相关的监管工作。</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相关行业主管部门依法对专业机构执业过程中的违法违规行为进行处理。</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黑体" w:hAnsi="黑体" w:eastAsia="黑体" w:cs="黑体"/>
          <w:b w:val="0"/>
          <w:bCs/>
          <w:kern w:val="0"/>
          <w:sz w:val="32"/>
          <w:szCs w:val="32"/>
        </w:rPr>
        <w:t>第四条</w:t>
      </w:r>
      <w:r>
        <w:rPr>
          <w:rFonts w:hint="eastAsia" w:ascii="黑体" w:hAnsi="黑体" w:eastAsia="黑体" w:cs="黑体"/>
          <w:b/>
          <w:bCs/>
          <w:kern w:val="44"/>
          <w:sz w:val="32"/>
          <w:szCs w:val="32"/>
        </w:rPr>
        <w:t xml:space="preserve"> </w:t>
      </w:r>
      <w:r>
        <w:rPr>
          <w:rFonts w:hint="eastAsia" w:ascii="仿宋_GB2312" w:hAnsi="仿宋_GB2312" w:eastAsia="仿宋_GB2312" w:cs="仿宋_GB2312"/>
          <w:bCs/>
          <w:color w:val="auto"/>
          <w:kern w:val="0"/>
          <w:sz w:val="32"/>
          <w:szCs w:val="32"/>
        </w:rPr>
        <w:t>专业机构在前海合作区直接提供建筑勘察、设计、施工、监理、造价等相关执业服务（法律、法规暂不允许的除外）的，应当在前海管理局申请备案。</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Cs/>
          <w:color w:val="auto"/>
          <w:kern w:val="0"/>
          <w:sz w:val="32"/>
          <w:szCs w:val="32"/>
        </w:rPr>
        <w:t>申请备案的专业机构应当同时具备以下条件：</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ascii="Times New Roman" w:hAnsi="Times New Roman" w:eastAsia="仿宋"/>
          <w:sz w:val="32"/>
          <w:szCs w:val="32"/>
        </w:rPr>
      </w:pPr>
      <w:r>
        <w:rPr>
          <w:rFonts w:hint="eastAsia" w:ascii="仿宋_GB2312" w:hAnsi="仿宋_GB2312" w:eastAsia="仿宋_GB2312" w:cs="仿宋_GB2312"/>
          <w:bCs/>
          <w:color w:val="auto"/>
          <w:kern w:val="0"/>
          <w:sz w:val="32"/>
          <w:szCs w:val="32"/>
        </w:rPr>
        <w:t>（一）在香港特别行政区政府发展局（以下简称香港发展局）公布的认可名册中，且仍在有效期内；</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（二）有不少于3名经前海管理局备案的专业人士，且备案仍在有效期内。</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黑体" w:hAnsi="黑体" w:eastAsia="黑体" w:cs="黑体"/>
          <w:b w:val="0"/>
          <w:bCs/>
          <w:kern w:val="0"/>
          <w:sz w:val="32"/>
          <w:szCs w:val="32"/>
        </w:rPr>
        <w:t>第五条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auto"/>
          <w:kern w:val="0"/>
          <w:sz w:val="32"/>
          <w:szCs w:val="32"/>
        </w:rPr>
        <w:t>专业机构备案申请时应当根据以下情形分别提供相应材料：</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（一）初始备案</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1.备案申请表（附件1）；</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2.在香港进行商业登记的证明文书；</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3.企业代表工程业绩的证明材料及公证文书（应尽可能提供中文版本）；</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ascii="仿宋" w:hAnsi="仿宋" w:eastAsia="仿宋" w:cs="仿宋_GB2312"/>
          <w:sz w:val="32"/>
          <w:szCs w:val="32"/>
        </w:rPr>
      </w:pPr>
      <w:r>
        <w:rPr>
          <w:rFonts w:hint="eastAsia" w:ascii="仿宋_GB2312" w:hAnsi="仿宋_GB2312" w:eastAsia="仿宋_GB2312" w:cs="仿宋_GB2312"/>
          <w:bCs/>
          <w:color w:val="auto"/>
          <w:kern w:val="0"/>
          <w:sz w:val="32"/>
          <w:szCs w:val="32"/>
        </w:rPr>
        <w:t>4.列入香港发展局公布的《建筑及有关顾问公司遴选委员会顾问公司名单》《工程及有关顾问公司遴选委员会顾问公司名单》《认可公共工程承建商名册（认可承建商名册）》，以及《认可公共工程物料供应商及专门承造商名册（供应商及专门承造商名册）》的最新版本的证明文书；</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5.职业责任专业保险材料（应尽可能提供中文版本），或者承诺在承接工程业务后2个月内补交职业责任专业保险材料的承诺书（附件2）。</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上述材料均以原件扫描方式提供。</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（二）延续备案</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延续备案申请表（附件3）。</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（三）变更备案</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 变更备案申请表（附件4）；</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 发生变更的备案材料复印件。</w:t>
      </w:r>
    </w:p>
    <w:p>
      <w:pPr>
        <w:keepNext w:val="0"/>
        <w:keepLines w:val="0"/>
        <w:pageBreakBefore w:val="0"/>
        <w:numPr>
          <w:ilvl w:val="-1"/>
          <w:numId w:val="0"/>
        </w:numPr>
        <w:kinsoku/>
        <w:overflowPunct/>
        <w:topLinePunct w:val="0"/>
        <w:autoSpaceDE/>
        <w:autoSpaceDN/>
        <w:bidi w:val="0"/>
        <w:adjustRightInd/>
        <w:spacing w:afterLines="0" w:line="560" w:lineRule="exact"/>
        <w:ind w:left="0" w:right="0" w:rightChars="0" w:firstLine="640" w:firstLineChars="200"/>
        <w:textAlignment w:val="auto"/>
        <w:rPr>
          <w:rFonts w:ascii="仿宋" w:hAnsi="仿宋" w:eastAsia="仿宋"/>
          <w:kern w:val="44"/>
          <w:sz w:val="32"/>
          <w:szCs w:val="32"/>
        </w:rPr>
      </w:pPr>
      <w:r>
        <w:rPr>
          <w:rFonts w:hint="eastAsia" w:ascii="黑体" w:hAnsi="黑体" w:eastAsia="黑体" w:cs="黑体"/>
          <w:b w:val="0"/>
          <w:bCs/>
          <w:kern w:val="0"/>
          <w:sz w:val="32"/>
          <w:szCs w:val="32"/>
        </w:rPr>
        <w:t>第</w:t>
      </w:r>
      <w:r>
        <w:rPr>
          <w:rFonts w:hint="default" w:ascii="黑体" w:hAnsi="黑体" w:eastAsia="黑体" w:cs="黑体"/>
          <w:b w:val="0"/>
          <w:bCs/>
          <w:kern w:val="0"/>
          <w:sz w:val="32"/>
          <w:szCs w:val="32"/>
        </w:rPr>
        <w:t>六</w:t>
      </w:r>
      <w:r>
        <w:rPr>
          <w:rFonts w:hint="eastAsia" w:ascii="黑体" w:hAnsi="黑体" w:eastAsia="黑体" w:cs="黑体"/>
          <w:b w:val="0"/>
          <w:bCs/>
          <w:kern w:val="0"/>
          <w:sz w:val="32"/>
          <w:szCs w:val="32"/>
        </w:rPr>
        <w:t>条</w:t>
      </w:r>
      <w:r>
        <w:rPr>
          <w:rFonts w:hint="default" w:ascii="黑体" w:hAnsi="黑体" w:eastAsia="黑体" w:cs="黑体"/>
          <w:b w:val="0"/>
          <w:bCs/>
          <w:kern w:val="0"/>
          <w:sz w:val="32"/>
          <w:szCs w:val="32"/>
        </w:rPr>
        <w:t xml:space="preserve"> </w:t>
      </w:r>
      <w:r>
        <w:rPr>
          <w:rFonts w:hint="eastAsia" w:ascii="仿宋_GB2312" w:hAnsi="仿宋_GB2312" w:eastAsia="仿宋_GB2312" w:cs="仿宋_GB2312"/>
          <w:bCs/>
          <w:color w:val="auto"/>
          <w:kern w:val="0"/>
          <w:sz w:val="32"/>
          <w:szCs w:val="32"/>
        </w:rPr>
        <w:t>香港承建商在申请执业备案时，可</w:t>
      </w:r>
      <w:r>
        <w:rPr>
          <w:rFonts w:hint="eastAsia" w:ascii="仿宋_GB2312" w:hAnsi="仿宋_GB2312" w:eastAsia="仿宋_GB2312" w:cs="仿宋_GB2312"/>
          <w:bCs/>
          <w:color w:val="auto"/>
          <w:kern w:val="0"/>
          <w:sz w:val="32"/>
          <w:szCs w:val="32"/>
          <w:lang w:eastAsia="zh-Hans"/>
        </w:rPr>
        <w:t>选择同步申请办理安全生产许可证，</w:t>
      </w:r>
      <w:r>
        <w:rPr>
          <w:rFonts w:hint="eastAsia" w:ascii="仿宋_GB2312" w:hAnsi="仿宋_GB2312" w:eastAsia="仿宋_GB2312" w:cs="仿宋_GB2312"/>
          <w:bCs/>
          <w:color w:val="auto"/>
          <w:kern w:val="0"/>
          <w:sz w:val="32"/>
          <w:szCs w:val="32"/>
        </w:rPr>
        <w:t>前海管理局审查通过后，核发执业备案证书</w:t>
      </w:r>
      <w:r>
        <w:rPr>
          <w:rFonts w:hint="eastAsia" w:ascii="仿宋_GB2312" w:hAnsi="仿宋_GB2312" w:eastAsia="仿宋_GB2312" w:cs="仿宋_GB2312"/>
          <w:bCs/>
          <w:color w:val="auto"/>
          <w:kern w:val="0"/>
          <w:sz w:val="32"/>
          <w:szCs w:val="32"/>
          <w:lang w:eastAsia="zh-Hans"/>
        </w:rPr>
        <w:t>和安全生产许可证</w:t>
      </w:r>
      <w:r>
        <w:rPr>
          <w:rFonts w:hint="eastAsia" w:ascii="仿宋_GB2312" w:hAnsi="仿宋_GB2312" w:eastAsia="仿宋_GB2312" w:cs="仿宋_GB2312"/>
          <w:bCs/>
          <w:color w:val="auto"/>
          <w:kern w:val="0"/>
          <w:sz w:val="32"/>
          <w:szCs w:val="32"/>
        </w:rPr>
        <w:t>。申请办理安全生产许可证提供材料具体如下：</w:t>
      </w:r>
    </w:p>
    <w:p>
      <w:pPr>
        <w:keepNext w:val="0"/>
        <w:keepLines w:val="0"/>
        <w:pageBreakBefore w:val="0"/>
        <w:numPr>
          <w:ilvl w:val="0"/>
          <w:numId w:val="0"/>
        </w:numPr>
        <w:kinsoku/>
        <w:overflowPunct/>
        <w:topLinePunct w:val="0"/>
        <w:autoSpaceDE/>
        <w:autoSpaceDN/>
        <w:bidi w:val="0"/>
        <w:adjustRightInd/>
        <w:spacing w:afterLines="0" w:line="560" w:lineRule="exact"/>
        <w:ind w:left="0" w:right="0" w:rightChars="0" w:firstLine="640" w:firstLineChars="200"/>
        <w:textAlignment w:val="auto"/>
        <w:outlineLvl w:val="9"/>
        <w:rPr>
          <w:rFonts w:hint="default" w:ascii="仿宋_GB2312" w:hAnsi="仿宋_GB2312" w:eastAsia="仿宋_GB2312" w:cs="仿宋_GB2312"/>
          <w:bCs/>
          <w:color w:val="auto"/>
          <w:kern w:val="0"/>
          <w:sz w:val="32"/>
          <w:szCs w:val="32"/>
          <w:lang w:eastAsia="zh-Hans"/>
        </w:rPr>
      </w:pPr>
      <w:r>
        <w:rPr>
          <w:rFonts w:hint="eastAsia" w:ascii="仿宋_GB2312" w:hAnsi="仿宋_GB2312" w:eastAsia="仿宋_GB2312" w:cs="仿宋_GB2312"/>
          <w:bCs/>
          <w:color w:val="auto"/>
          <w:kern w:val="0"/>
          <w:sz w:val="32"/>
          <w:szCs w:val="32"/>
        </w:rPr>
        <w:t>1</w:t>
      </w:r>
      <w:r>
        <w:rPr>
          <w:rFonts w:hint="eastAsia" w:ascii="仿宋_GB2312" w:hAnsi="仿宋_GB2312" w:eastAsia="仿宋_GB2312" w:cs="仿宋_GB2312"/>
          <w:bCs/>
          <w:color w:val="auto"/>
          <w:kern w:val="0"/>
          <w:sz w:val="32"/>
          <w:szCs w:val="32"/>
          <w:lang w:eastAsia="zh-Hans"/>
        </w:rPr>
        <w:t>.资质证书。对于已办理执业备案的承建商，需提供专业机构备案证书；对于新申请备案的承建商，资质证书可使用本办法第五条（一）初始备案中的备案材料替代</w:t>
      </w:r>
      <w:r>
        <w:rPr>
          <w:rFonts w:hint="default" w:ascii="仿宋_GB2312" w:hAnsi="仿宋_GB2312" w:eastAsia="仿宋_GB2312" w:cs="仿宋_GB2312"/>
          <w:bCs/>
          <w:color w:val="auto"/>
          <w:kern w:val="0"/>
          <w:sz w:val="32"/>
          <w:szCs w:val="32"/>
          <w:lang w:eastAsia="zh-Hans"/>
        </w:rPr>
        <w:t>。</w:t>
      </w:r>
    </w:p>
    <w:p>
      <w:pPr>
        <w:keepNext w:val="0"/>
        <w:keepLines w:val="0"/>
        <w:pageBreakBefore w:val="0"/>
        <w:numPr>
          <w:ilvl w:val="0"/>
          <w:numId w:val="0"/>
        </w:numPr>
        <w:kinsoku/>
        <w:overflowPunct/>
        <w:topLinePunct w:val="0"/>
        <w:autoSpaceDE/>
        <w:autoSpaceDN/>
        <w:bidi w:val="0"/>
        <w:adjustRightInd/>
        <w:spacing w:afterLines="0" w:line="560" w:lineRule="exact"/>
        <w:ind w:left="0" w:right="0" w:rightChars="0" w:firstLine="640" w:firstLineChars="200"/>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Hans"/>
        </w:rPr>
        <w:t>2.安全生产考核合格证书。</w:t>
      </w:r>
      <w:r>
        <w:rPr>
          <w:rFonts w:hint="eastAsia" w:ascii="仿宋_GB2312" w:hAnsi="仿宋_GB2312" w:eastAsia="仿宋_GB2312" w:cs="仿宋_GB2312"/>
          <w:bCs/>
          <w:color w:val="auto"/>
          <w:kern w:val="0"/>
          <w:sz w:val="32"/>
          <w:szCs w:val="32"/>
        </w:rPr>
        <w:t>内地人员</w:t>
      </w:r>
      <w:r>
        <w:rPr>
          <w:rFonts w:hint="eastAsia" w:ascii="仿宋_GB2312" w:hAnsi="仿宋_GB2312" w:eastAsia="仿宋_GB2312" w:cs="仿宋_GB2312"/>
          <w:bCs/>
          <w:color w:val="auto"/>
          <w:kern w:val="0"/>
          <w:sz w:val="32"/>
          <w:szCs w:val="32"/>
          <w:lang w:eastAsia="zh-Hans"/>
        </w:rPr>
        <w:t>需提供安全生产考核合格证书</w:t>
      </w:r>
      <w:r>
        <w:rPr>
          <w:rFonts w:hint="eastAsia" w:ascii="仿宋_GB2312" w:hAnsi="仿宋_GB2312" w:eastAsia="仿宋_GB2312" w:cs="仿宋_GB2312"/>
          <w:bCs/>
          <w:color w:val="auto"/>
          <w:kern w:val="0"/>
          <w:sz w:val="32"/>
          <w:szCs w:val="32"/>
        </w:rPr>
        <w:t>（A、B、C证）</w:t>
      </w:r>
      <w:r>
        <w:rPr>
          <w:rFonts w:hint="eastAsia" w:ascii="仿宋_GB2312" w:hAnsi="仿宋_GB2312" w:eastAsia="仿宋_GB2312" w:cs="仿宋_GB2312"/>
          <w:bCs/>
          <w:color w:val="auto"/>
          <w:kern w:val="0"/>
          <w:sz w:val="32"/>
          <w:szCs w:val="32"/>
          <w:lang w:eastAsia="zh-Hans"/>
        </w:rPr>
        <w:t>，</w:t>
      </w:r>
      <w:r>
        <w:rPr>
          <w:rFonts w:hint="eastAsia" w:ascii="仿宋_GB2312" w:hAnsi="仿宋_GB2312" w:eastAsia="仿宋_GB2312" w:cs="仿宋_GB2312"/>
          <w:bCs/>
          <w:color w:val="auto"/>
          <w:kern w:val="0"/>
          <w:sz w:val="32"/>
          <w:szCs w:val="32"/>
        </w:rPr>
        <w:t>香港人员可提供在前海完成的专业人士执业备案证书。</w:t>
      </w:r>
    </w:p>
    <w:p>
      <w:pPr>
        <w:keepNext w:val="0"/>
        <w:keepLines w:val="0"/>
        <w:pageBreakBefore w:val="0"/>
        <w:numPr>
          <w:ilvl w:val="0"/>
          <w:numId w:val="0"/>
        </w:numPr>
        <w:kinsoku/>
        <w:overflowPunct/>
        <w:topLinePunct w:val="0"/>
        <w:autoSpaceDE/>
        <w:autoSpaceDN/>
        <w:bidi w:val="0"/>
        <w:adjustRightInd/>
        <w:spacing w:afterLines="0" w:line="560" w:lineRule="exact"/>
        <w:ind w:left="0" w:right="0" w:rightChars="0" w:firstLine="640" w:firstLineChars="200"/>
        <w:textAlignment w:val="auto"/>
        <w:outlineLvl w:val="9"/>
        <w:rPr>
          <w:rFonts w:hint="eastAsia" w:ascii="仿宋_GB2312" w:hAnsi="仿宋_GB2312" w:eastAsia="仿宋_GB2312" w:cs="仿宋_GB2312"/>
          <w:bCs/>
          <w:color w:val="auto"/>
          <w:kern w:val="0"/>
          <w:sz w:val="32"/>
          <w:szCs w:val="32"/>
          <w:lang w:eastAsia="zh-Hans"/>
        </w:rPr>
      </w:pPr>
      <w:r>
        <w:rPr>
          <w:rFonts w:hint="eastAsia" w:ascii="仿宋_GB2312" w:hAnsi="仿宋_GB2312" w:eastAsia="仿宋_GB2312" w:cs="仿宋_GB2312"/>
          <w:bCs/>
          <w:color w:val="auto"/>
          <w:kern w:val="0"/>
          <w:sz w:val="32"/>
          <w:szCs w:val="32"/>
        </w:rPr>
        <w:t>3.</w:t>
      </w:r>
      <w:r>
        <w:rPr>
          <w:rFonts w:hint="eastAsia" w:ascii="仿宋_GB2312" w:hAnsi="仿宋_GB2312" w:eastAsia="仿宋_GB2312" w:cs="仿宋_GB2312"/>
          <w:bCs/>
          <w:color w:val="auto"/>
          <w:kern w:val="0"/>
          <w:sz w:val="32"/>
          <w:szCs w:val="32"/>
          <w:lang w:eastAsia="zh-Hans"/>
        </w:rPr>
        <w:t>企业安全管理手册、设置安全生产管理机构文件、安全生产管理机构负责人任命文件、安全生产管理机构的组成人员明细表。</w:t>
      </w:r>
    </w:p>
    <w:p>
      <w:pPr>
        <w:keepNext w:val="0"/>
        <w:keepLines w:val="0"/>
        <w:pageBreakBefore w:val="0"/>
        <w:numPr>
          <w:ilvl w:val="0"/>
          <w:numId w:val="0"/>
        </w:numPr>
        <w:kinsoku/>
        <w:overflowPunct/>
        <w:topLinePunct w:val="0"/>
        <w:autoSpaceDE/>
        <w:autoSpaceDN/>
        <w:bidi w:val="0"/>
        <w:adjustRightInd/>
        <w:spacing w:afterLines="0" w:line="560" w:lineRule="exact"/>
        <w:ind w:left="0" w:right="0" w:rightChars="0" w:firstLine="640" w:firstLineChars="200"/>
        <w:textAlignment w:val="auto"/>
        <w:outlineLvl w:val="9"/>
        <w:rPr>
          <w:rFonts w:hint="eastAsia" w:ascii="仿宋_GB2312" w:hAnsi="仿宋_GB2312" w:eastAsia="仿宋_GB2312" w:cs="仿宋_GB2312"/>
          <w:bCs/>
          <w:color w:val="auto"/>
          <w:kern w:val="0"/>
          <w:sz w:val="32"/>
          <w:szCs w:val="32"/>
          <w:lang w:eastAsia="zh-Hans"/>
        </w:rPr>
      </w:pPr>
      <w:r>
        <w:rPr>
          <w:rFonts w:hint="eastAsia" w:ascii="仿宋_GB2312" w:hAnsi="仿宋_GB2312" w:eastAsia="仿宋_GB2312" w:cs="仿宋_GB2312"/>
          <w:bCs/>
          <w:color w:val="auto"/>
          <w:kern w:val="0"/>
          <w:sz w:val="32"/>
          <w:szCs w:val="32"/>
        </w:rPr>
        <w:t>4</w:t>
      </w:r>
      <w:r>
        <w:rPr>
          <w:rFonts w:hint="eastAsia" w:ascii="仿宋_GB2312" w:hAnsi="仿宋_GB2312" w:eastAsia="仿宋_GB2312" w:cs="仿宋_GB2312"/>
          <w:bCs/>
          <w:color w:val="auto"/>
          <w:kern w:val="0"/>
          <w:sz w:val="32"/>
          <w:szCs w:val="32"/>
          <w:lang w:eastAsia="zh-Hans"/>
        </w:rPr>
        <w:t>.企业安全培训计划书、近一年安全管理人员及作业人员安全培训及考核记录、雇员补偿保险。</w:t>
      </w:r>
    </w:p>
    <w:p>
      <w:pPr>
        <w:keepNext w:val="0"/>
        <w:keepLines w:val="0"/>
        <w:pageBreakBefore w:val="0"/>
        <w:numPr>
          <w:ilvl w:val="-1"/>
          <w:numId w:val="0"/>
        </w:numPr>
        <w:kinsoku/>
        <w:overflowPunct/>
        <w:topLinePunct w:val="0"/>
        <w:autoSpaceDE/>
        <w:autoSpaceDN/>
        <w:bidi w:val="0"/>
        <w:adjustRightInd/>
        <w:spacing w:afterLines="0" w:line="560" w:lineRule="exact"/>
        <w:ind w:left="0" w:right="0" w:rightChars="0" w:firstLine="640" w:firstLineChars="200"/>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5.施工现场应急预案。</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上述材料均以原件扫描方式提供。</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jc w:val="both"/>
        <w:textAlignment w:val="auto"/>
        <w:outlineLvl w:val="2"/>
        <w:rPr>
          <w:rFonts w:ascii="Times New Roman" w:hAnsi="Times New Roman" w:eastAsia="仿宋"/>
          <w:bCs/>
          <w:kern w:val="44"/>
          <w:sz w:val="32"/>
          <w:szCs w:val="32"/>
        </w:rPr>
      </w:pPr>
      <w:r>
        <w:rPr>
          <w:rFonts w:hint="eastAsia" w:ascii="黑体" w:hAnsi="黑体" w:eastAsia="黑体" w:cs="黑体"/>
          <w:b w:val="0"/>
          <w:bCs/>
          <w:kern w:val="0"/>
          <w:sz w:val="32"/>
          <w:szCs w:val="32"/>
        </w:rPr>
        <w:t xml:space="preserve">第七条 </w:t>
      </w:r>
      <w:r>
        <w:rPr>
          <w:rFonts w:hint="eastAsia" w:ascii="仿宋_GB2312" w:hAnsi="仿宋_GB2312" w:eastAsia="仿宋_GB2312" w:cs="仿宋_GB2312"/>
          <w:bCs/>
          <w:kern w:val="44"/>
          <w:sz w:val="32"/>
          <w:szCs w:val="32"/>
        </w:rPr>
        <w:t>专业机构的备案</w:t>
      </w:r>
      <w:r>
        <w:rPr>
          <w:rFonts w:hint="eastAsia" w:ascii="仿宋_GB2312" w:hAnsi="仿宋_GB2312" w:eastAsia="仿宋_GB2312" w:cs="仿宋_GB2312"/>
          <w:bCs/>
          <w:color w:val="000000"/>
          <w:kern w:val="44"/>
          <w:sz w:val="32"/>
          <w:szCs w:val="32"/>
        </w:rPr>
        <w:t>可通过线下或线上方式申请。线下申请方式</w:t>
      </w:r>
      <w:r>
        <w:rPr>
          <w:rFonts w:hint="eastAsia" w:ascii="仿宋_GB2312" w:hAnsi="仿宋_GB2312" w:eastAsia="仿宋_GB2312" w:cs="仿宋_GB2312"/>
          <w:bCs/>
          <w:kern w:val="44"/>
          <w:sz w:val="32"/>
          <w:szCs w:val="32"/>
        </w:rPr>
        <w:t>由前海管理局通过e站通服务中心统一受理。e站通服务中心接到专业机构备案申请后，应当场核对材料；材料齐全的，予以受理；</w:t>
      </w:r>
      <w:r>
        <w:rPr>
          <w:rFonts w:hint="eastAsia" w:ascii="仿宋_GB2312" w:hAnsi="仿宋_GB2312" w:eastAsia="仿宋_GB2312" w:cs="仿宋_GB2312"/>
          <w:bCs/>
          <w:spacing w:val="-20"/>
          <w:kern w:val="44"/>
          <w:sz w:val="32"/>
          <w:szCs w:val="32"/>
        </w:rPr>
        <w:t>材料不齐全的，应当一次性告知其补正。</w:t>
      </w:r>
      <w:r>
        <w:rPr>
          <w:rFonts w:hint="default" w:ascii="Times New Roman" w:hAnsi="Times New Roman" w:eastAsia="仿宋_GB2312"/>
          <w:bCs/>
          <w:color w:val="000000"/>
          <w:spacing w:val="-20"/>
          <w:kern w:val="44"/>
          <w:sz w:val="32"/>
          <w:szCs w:val="32"/>
        </w:rPr>
        <w:t>线上申请方式通过广东政务服务网</w:t>
      </w:r>
      <w:r>
        <w:rPr>
          <w:rFonts w:hint="default" w:ascii="Times New Roman" w:hAnsi="Times New Roman" w:eastAsia="仿宋_GB2312"/>
          <w:bCs/>
          <w:color w:val="000000"/>
          <w:spacing w:val="-11"/>
          <w:kern w:val="44"/>
          <w:sz w:val="32"/>
          <w:szCs w:val="32"/>
        </w:rPr>
        <w:t>（https://www.gdzwfw.gov.cn）</w:t>
      </w:r>
      <w:r>
        <w:rPr>
          <w:rFonts w:hint="eastAsia" w:ascii="仿宋_GB2312" w:hAnsi="仿宋_GB2312" w:eastAsia="仿宋_GB2312" w:cs="仿宋_GB2312"/>
          <w:bCs/>
          <w:color w:val="000000"/>
          <w:kern w:val="44"/>
          <w:sz w:val="32"/>
          <w:szCs w:val="32"/>
        </w:rPr>
        <w:t>“香港工程建设领域专业</w:t>
      </w:r>
      <w:r>
        <w:rPr>
          <w:rFonts w:hint="eastAsia" w:ascii="仿宋_GB2312" w:hAnsi="仿宋_GB2312" w:eastAsia="仿宋_GB2312" w:cs="仿宋_GB2312"/>
          <w:bCs/>
          <w:kern w:val="44"/>
          <w:sz w:val="32"/>
          <w:szCs w:val="32"/>
        </w:rPr>
        <w:t>机构</w:t>
      </w:r>
      <w:r>
        <w:rPr>
          <w:rFonts w:hint="eastAsia" w:ascii="仿宋_GB2312" w:hAnsi="仿宋_GB2312" w:eastAsia="仿宋_GB2312" w:cs="仿宋_GB2312"/>
          <w:bCs/>
          <w:color w:val="000000"/>
          <w:kern w:val="44"/>
          <w:sz w:val="32"/>
          <w:szCs w:val="32"/>
        </w:rPr>
        <w:t>执业备案”事项办理界面，填报申请信息和上传材料。由e站通服务中心核对资料</w:t>
      </w:r>
      <w:r>
        <w:rPr>
          <w:rFonts w:hint="eastAsia" w:ascii="仿宋_GB2312" w:hAnsi="仿宋_GB2312" w:eastAsia="仿宋_GB2312" w:cs="仿宋_GB2312"/>
          <w:bCs/>
          <w:color w:val="000000"/>
          <w:kern w:val="44"/>
          <w:sz w:val="32"/>
          <w:szCs w:val="32"/>
          <w:lang w:eastAsia="zh-CN"/>
        </w:rPr>
        <w:t>，</w:t>
      </w:r>
      <w:r>
        <w:rPr>
          <w:rFonts w:hint="eastAsia" w:ascii="仿宋_GB2312" w:hAnsi="仿宋_GB2312" w:eastAsia="仿宋_GB2312" w:cs="仿宋_GB2312"/>
          <w:bCs/>
          <w:color w:val="000000"/>
          <w:kern w:val="44"/>
          <w:sz w:val="32"/>
          <w:szCs w:val="32"/>
        </w:rPr>
        <w:t>资料齐全的，予以受理；资料需补正的，应一次性告知其补正。</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第八条</w:t>
      </w:r>
      <w:r>
        <w:rPr>
          <w:rFonts w:hint="eastAsia" w:ascii="黑体" w:hAnsi="黑体" w:eastAsia="黑体" w:cs="黑体"/>
          <w:b/>
          <w:bCs/>
          <w:kern w:val="44"/>
          <w:sz w:val="32"/>
          <w:szCs w:val="32"/>
        </w:rPr>
        <w:t xml:space="preserve"> </w:t>
      </w:r>
      <w:r>
        <w:rPr>
          <w:rFonts w:hint="eastAsia" w:ascii="仿宋_GB2312" w:hAnsi="仿宋_GB2312" w:eastAsia="仿宋_GB2312" w:cs="仿宋_GB2312"/>
          <w:bCs/>
          <w:color w:val="000000"/>
          <w:kern w:val="44"/>
          <w:sz w:val="32"/>
          <w:szCs w:val="32"/>
        </w:rPr>
        <w:t>前海管理局受理申请后，应当在10个工作日内完成备案初步审核（不含资料补正时间）。</w:t>
      </w:r>
    </w:p>
    <w:p>
      <w:pPr>
        <w:keepNext w:val="0"/>
        <w:keepLines w:val="0"/>
        <w:pageBreakBefore w:val="0"/>
        <w:tabs>
          <w:tab w:val="left" w:pos="2480"/>
        </w:tabs>
        <w:kinsoku/>
        <w:overflowPunct/>
        <w:topLinePunct w:val="0"/>
        <w:autoSpaceDE/>
        <w:autoSpaceDN/>
        <w:bidi w:val="0"/>
        <w:adjustRightInd/>
        <w:spacing w:before="0" w:afterLines="0" w:line="560" w:lineRule="exact"/>
        <w:ind w:left="0" w:right="0" w:rightChars="0" w:firstLine="640" w:firstLineChars="200"/>
        <w:contextualSpacing w:val="0"/>
        <w:textAlignment w:val="auto"/>
        <w:outlineLvl w:val="2"/>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经初步审核符合条件的，由前海管理局在前海门户网站对专业机构的相关备案材料进行公示，公示期不少于5个工作日；公示期满无异议或异议不成立的，予以备案，并发放专业机构备案证书。</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在公示期内，任何组织或个人对公示有异议，可以向前海管理局提出书面异议，由前海管理局进行核查。前海管理局应当在收到书面异议之日起30个工作日内完成核查并回复核查结果。情况复杂难以在上述期限内核查完毕的，经前海管理局分管负责人批准，可以延长核查时限，但延长期限不得超过30个工作日。</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ascii="Times New Roman" w:hAnsi="Times New Roman" w:eastAsia="仿宋"/>
          <w:bCs/>
          <w:kern w:val="44"/>
          <w:sz w:val="32"/>
          <w:szCs w:val="32"/>
        </w:rPr>
      </w:pPr>
      <w:r>
        <w:rPr>
          <w:rFonts w:hint="eastAsia" w:ascii="黑体" w:hAnsi="黑体" w:eastAsia="黑体" w:cs="黑体"/>
          <w:b w:val="0"/>
          <w:bCs/>
          <w:kern w:val="0"/>
          <w:sz w:val="32"/>
          <w:szCs w:val="32"/>
        </w:rPr>
        <w:t>第九条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000000"/>
          <w:kern w:val="44"/>
          <w:sz w:val="32"/>
          <w:szCs w:val="32"/>
        </w:rPr>
        <w:t>专业机构备案</w:t>
      </w:r>
      <w:r>
        <w:rPr>
          <w:rFonts w:hint="eastAsia" w:ascii="仿宋_GB2312" w:hAnsi="仿宋_GB2312" w:eastAsia="仿宋_GB2312" w:cs="仿宋_GB2312"/>
          <w:bCs/>
          <w:color w:val="000000"/>
          <w:kern w:val="44"/>
          <w:sz w:val="32"/>
          <w:szCs w:val="32"/>
          <w:lang w:eastAsia="zh-Hans"/>
        </w:rPr>
        <w:t>时，除申请办理承建商安全生产许可</w:t>
      </w:r>
      <w:r>
        <w:rPr>
          <w:rFonts w:hint="eastAsia" w:ascii="仿宋_GB2312" w:hAnsi="仿宋_GB2312" w:eastAsia="仿宋_GB2312" w:cs="仿宋_GB2312"/>
          <w:bCs/>
          <w:color w:val="000000"/>
          <w:kern w:val="44"/>
          <w:sz w:val="32"/>
          <w:szCs w:val="32"/>
        </w:rPr>
        <w:t>证</w:t>
      </w:r>
      <w:r>
        <w:rPr>
          <w:rFonts w:hint="eastAsia" w:ascii="仿宋_GB2312" w:hAnsi="仿宋_GB2312" w:eastAsia="仿宋_GB2312" w:cs="仿宋_GB2312"/>
          <w:bCs/>
          <w:color w:val="000000"/>
          <w:kern w:val="44"/>
          <w:sz w:val="32"/>
          <w:szCs w:val="32"/>
          <w:lang w:eastAsia="zh-Hans"/>
        </w:rPr>
        <w:t>有效期</w:t>
      </w:r>
      <w:r>
        <w:rPr>
          <w:rFonts w:hint="eastAsia" w:ascii="仿宋_GB2312" w:hAnsi="仿宋_GB2312" w:eastAsia="仿宋_GB2312" w:cs="仿宋_GB2312"/>
          <w:bCs/>
          <w:color w:val="000000"/>
          <w:kern w:val="44"/>
          <w:sz w:val="32"/>
          <w:szCs w:val="32"/>
        </w:rPr>
        <w:t>为</w:t>
      </w:r>
      <w:r>
        <w:rPr>
          <w:rFonts w:hint="eastAsia" w:ascii="仿宋_GB2312" w:hAnsi="仿宋_GB2312" w:eastAsia="仿宋_GB2312" w:cs="仿宋_GB2312"/>
          <w:bCs/>
          <w:color w:val="000000"/>
          <w:kern w:val="44"/>
          <w:sz w:val="32"/>
          <w:szCs w:val="32"/>
          <w:lang w:eastAsia="zh-Hans"/>
        </w:rPr>
        <w:t>三年外，其余专业机构备案</w:t>
      </w:r>
      <w:r>
        <w:rPr>
          <w:rFonts w:hint="eastAsia" w:ascii="仿宋_GB2312" w:hAnsi="仿宋_GB2312" w:eastAsia="仿宋_GB2312" w:cs="仿宋_GB2312"/>
          <w:bCs/>
          <w:color w:val="000000"/>
          <w:kern w:val="44"/>
          <w:sz w:val="32"/>
          <w:szCs w:val="32"/>
        </w:rPr>
        <w:t>有效期与其在香港发展局公布的认可名册中的有效期一致，且最长不超过五年，备案期满前90日内应申请续期。</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专业机构的备案条件若发生变更（含注销），应当在发生变更后90日内办理变更备案。</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ascii="仿宋" w:hAnsi="仿宋" w:eastAsia="仿宋"/>
          <w:kern w:val="44"/>
          <w:sz w:val="32"/>
          <w:szCs w:val="32"/>
        </w:rPr>
      </w:pPr>
      <w:r>
        <w:rPr>
          <w:rFonts w:hint="eastAsia" w:ascii="黑体" w:hAnsi="黑体" w:eastAsia="黑体" w:cs="黑体"/>
          <w:b w:val="0"/>
          <w:bCs/>
          <w:kern w:val="0"/>
          <w:sz w:val="32"/>
          <w:szCs w:val="32"/>
        </w:rPr>
        <w:t>第十条</w:t>
      </w:r>
      <w:r>
        <w:rPr>
          <w:rFonts w:hint="eastAsia" w:ascii="黑体" w:hAnsi="黑体" w:eastAsia="黑体" w:cs="黑体"/>
          <w:b/>
          <w:bCs/>
          <w:kern w:val="44"/>
          <w:sz w:val="32"/>
          <w:szCs w:val="32"/>
        </w:rPr>
        <w:t xml:space="preserve"> </w:t>
      </w:r>
      <w:r>
        <w:rPr>
          <w:rFonts w:hint="eastAsia" w:ascii="仿宋_GB2312" w:hAnsi="仿宋_GB2312" w:eastAsia="仿宋_GB2312" w:cs="仿宋_GB2312"/>
          <w:bCs/>
          <w:color w:val="000000"/>
          <w:kern w:val="44"/>
          <w:sz w:val="32"/>
          <w:szCs w:val="32"/>
        </w:rPr>
        <w:t>取得备案证书的专业机构在备案有效期内可以在前海合作区内执业，其执业范围应当与其在前海管理局备案的业务范围相同。</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eastAsia="zh-Hans"/>
        </w:rPr>
        <w:t>十一</w:t>
      </w:r>
      <w:r>
        <w:rPr>
          <w:rFonts w:hint="eastAsia" w:ascii="黑体" w:hAnsi="黑体" w:eastAsia="黑体" w:cs="黑体"/>
          <w:b w:val="0"/>
          <w:bCs/>
          <w:kern w:val="0"/>
          <w:sz w:val="32"/>
          <w:szCs w:val="32"/>
        </w:rPr>
        <w:t>条</w:t>
      </w:r>
      <w:r>
        <w:rPr>
          <w:rFonts w:ascii="Times New Roman" w:hAnsi="Times New Roman" w:eastAsia="仿宋"/>
          <w:bCs/>
          <w:kern w:val="44"/>
          <w:sz w:val="32"/>
          <w:szCs w:val="32"/>
        </w:rPr>
        <w:t xml:space="preserve"> </w:t>
      </w:r>
      <w:r>
        <w:rPr>
          <w:rFonts w:hint="eastAsia" w:ascii="仿宋_GB2312" w:hAnsi="仿宋_GB2312" w:eastAsia="仿宋_GB2312" w:cs="仿宋_GB2312"/>
          <w:bCs/>
          <w:color w:val="000000"/>
          <w:kern w:val="44"/>
          <w:sz w:val="32"/>
          <w:szCs w:val="32"/>
        </w:rPr>
        <w:t>前海管理局制定专业机构资质对标清单（</w:t>
      </w:r>
      <w:r>
        <w:rPr>
          <w:rFonts w:hint="default" w:ascii="仿宋_GB2312" w:hAnsi="仿宋_GB2312" w:eastAsia="仿宋_GB2312" w:cs="仿宋_GB2312"/>
          <w:bCs/>
          <w:color w:val="000000"/>
          <w:kern w:val="44"/>
          <w:sz w:val="32"/>
          <w:szCs w:val="32"/>
        </w:rPr>
        <w:t>附件1</w:t>
      </w:r>
      <w:r>
        <w:rPr>
          <w:rFonts w:hint="eastAsia" w:ascii="仿宋_GB2312" w:hAnsi="仿宋_GB2312" w:eastAsia="仿宋_GB2312" w:cs="仿宋_GB2312"/>
          <w:bCs/>
          <w:color w:val="000000"/>
          <w:kern w:val="44"/>
          <w:sz w:val="32"/>
          <w:szCs w:val="32"/>
        </w:rPr>
        <w:t>），取得备案证书的专业机构按照本办法</w:t>
      </w:r>
      <w:r>
        <w:rPr>
          <w:rFonts w:hint="default" w:ascii="仿宋_GB2312" w:hAnsi="仿宋_GB2312" w:eastAsia="仿宋_GB2312" w:cs="仿宋_GB2312"/>
          <w:bCs/>
          <w:color w:val="000000"/>
          <w:kern w:val="44"/>
          <w:sz w:val="32"/>
          <w:szCs w:val="32"/>
        </w:rPr>
        <w:t>附件1</w:t>
      </w:r>
      <w:r>
        <w:rPr>
          <w:rFonts w:hint="eastAsia" w:ascii="仿宋_GB2312" w:hAnsi="仿宋_GB2312" w:eastAsia="仿宋_GB2312" w:cs="仿宋_GB2312"/>
          <w:bCs/>
          <w:color w:val="000000"/>
          <w:kern w:val="44"/>
          <w:sz w:val="32"/>
          <w:szCs w:val="32"/>
        </w:rPr>
        <w:t>对应的资质等级执业。</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专业机构在港澳地区相关工程业绩和经验视同于内地相关工程业绩和经验，满足内地招标人标准要求的，内地招标人应当予以认可。</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ascii="Times New Roman" w:hAnsi="Times New Roman" w:eastAsia="仿宋"/>
          <w:bCs/>
          <w:kern w:val="44"/>
          <w:sz w:val="32"/>
          <w:szCs w:val="32"/>
        </w:rPr>
      </w:pPr>
      <w:r>
        <w:rPr>
          <w:rFonts w:hint="eastAsia" w:ascii="黑体" w:hAnsi="黑体" w:eastAsia="黑体" w:cs="黑体"/>
          <w:b w:val="0"/>
          <w:bCs/>
          <w:kern w:val="0"/>
          <w:sz w:val="32"/>
          <w:szCs w:val="32"/>
        </w:rPr>
        <w:t>第十</w:t>
      </w:r>
      <w:r>
        <w:rPr>
          <w:rFonts w:hint="eastAsia" w:ascii="黑体" w:hAnsi="黑体" w:eastAsia="黑体" w:cs="黑体"/>
          <w:b w:val="0"/>
          <w:bCs/>
          <w:kern w:val="0"/>
          <w:sz w:val="32"/>
          <w:szCs w:val="32"/>
          <w:lang w:eastAsia="zh-Hans"/>
        </w:rPr>
        <w:t>二</w:t>
      </w:r>
      <w:r>
        <w:rPr>
          <w:rFonts w:hint="eastAsia" w:ascii="黑体" w:hAnsi="黑体" w:eastAsia="黑体" w:cs="黑体"/>
          <w:b w:val="0"/>
          <w:bCs/>
          <w:kern w:val="0"/>
          <w:sz w:val="32"/>
          <w:szCs w:val="32"/>
        </w:rPr>
        <w:t>条</w:t>
      </w:r>
      <w:r>
        <w:rPr>
          <w:rFonts w:hint="eastAsia" w:ascii="黑体" w:hAnsi="黑体" w:eastAsia="黑体" w:cs="黑体"/>
          <w:b/>
          <w:bCs/>
          <w:kern w:val="44"/>
          <w:sz w:val="32"/>
          <w:szCs w:val="32"/>
        </w:rPr>
        <w:t xml:space="preserve"> </w:t>
      </w:r>
      <w:r>
        <w:rPr>
          <w:rFonts w:hint="eastAsia" w:ascii="仿宋_GB2312" w:hAnsi="仿宋_GB2312" w:eastAsia="仿宋_GB2312" w:cs="仿宋_GB2312"/>
          <w:bCs/>
          <w:color w:val="000000"/>
          <w:kern w:val="44"/>
          <w:sz w:val="32"/>
          <w:szCs w:val="32"/>
        </w:rPr>
        <w:t>专业机构在前海合作区执业时，可以在前海注册成立商事主体，并指派高级管理人员作为法定代表人。</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第十</w:t>
      </w:r>
      <w:r>
        <w:rPr>
          <w:rFonts w:hint="eastAsia" w:ascii="黑体" w:hAnsi="黑体" w:eastAsia="黑体" w:cs="黑体"/>
          <w:b w:val="0"/>
          <w:bCs/>
          <w:kern w:val="0"/>
          <w:sz w:val="32"/>
          <w:szCs w:val="32"/>
          <w:lang w:eastAsia="zh-Hans"/>
        </w:rPr>
        <w:t>三</w:t>
      </w:r>
      <w:r>
        <w:rPr>
          <w:rFonts w:hint="eastAsia" w:ascii="黑体" w:hAnsi="黑体" w:eastAsia="黑体" w:cs="黑体"/>
          <w:b w:val="0"/>
          <w:bCs/>
          <w:kern w:val="0"/>
          <w:sz w:val="32"/>
          <w:szCs w:val="32"/>
        </w:rPr>
        <w:t>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000000"/>
          <w:kern w:val="44"/>
          <w:sz w:val="32"/>
          <w:szCs w:val="32"/>
        </w:rPr>
        <w:t>已承接项目的专业机构应当按照内地工程建设领域执业的要求购买相应保险。</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鼓励专业机构按照香港工程建设模式要求购买职业责任险。</w:t>
      </w:r>
      <w:r>
        <w:rPr>
          <w:rFonts w:hint="eastAsia" w:ascii="仿宋_GB2312" w:hAnsi="仿宋_GB2312" w:eastAsia="仿宋_GB2312" w:cs="仿宋_GB2312"/>
          <w:b w:val="0"/>
          <w:bCs/>
          <w:color w:val="000000"/>
          <w:kern w:val="44"/>
          <w:sz w:val="32"/>
          <w:szCs w:val="32"/>
        </w:rPr>
        <w:t xml:space="preserve"> </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第十</w:t>
      </w:r>
      <w:r>
        <w:rPr>
          <w:rFonts w:hint="eastAsia" w:ascii="黑体" w:hAnsi="黑体" w:eastAsia="黑体" w:cs="黑体"/>
          <w:b w:val="0"/>
          <w:bCs/>
          <w:kern w:val="0"/>
          <w:sz w:val="32"/>
          <w:szCs w:val="32"/>
          <w:lang w:eastAsia="zh-Hans"/>
        </w:rPr>
        <w:t>四</w:t>
      </w:r>
      <w:r>
        <w:rPr>
          <w:rFonts w:hint="eastAsia" w:ascii="黑体" w:hAnsi="黑体" w:eastAsia="黑体" w:cs="黑体"/>
          <w:b w:val="0"/>
          <w:bCs/>
          <w:kern w:val="0"/>
          <w:sz w:val="32"/>
          <w:szCs w:val="32"/>
        </w:rPr>
        <w:t>条</w:t>
      </w:r>
      <w:r>
        <w:rPr>
          <w:rFonts w:hint="eastAsia" w:ascii="黑体" w:hAnsi="黑体" w:eastAsia="黑体" w:cs="黑体"/>
          <w:b/>
          <w:bCs/>
          <w:kern w:val="44"/>
          <w:sz w:val="32"/>
          <w:szCs w:val="32"/>
        </w:rPr>
        <w:t xml:space="preserve"> </w:t>
      </w:r>
      <w:r>
        <w:rPr>
          <w:rFonts w:hint="eastAsia" w:ascii="仿宋_GB2312" w:hAnsi="仿宋_GB2312" w:eastAsia="仿宋_GB2312" w:cs="仿宋_GB2312"/>
          <w:bCs/>
          <w:color w:val="000000"/>
          <w:kern w:val="44"/>
          <w:sz w:val="32"/>
          <w:szCs w:val="32"/>
        </w:rPr>
        <w:t>专业机构应当在每年12月31日之前向前海管理局报告其在前海合作区的执业情况。</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第十</w:t>
      </w:r>
      <w:r>
        <w:rPr>
          <w:rFonts w:hint="eastAsia" w:ascii="黑体" w:hAnsi="黑体" w:eastAsia="黑体" w:cs="黑体"/>
          <w:b w:val="0"/>
          <w:bCs/>
          <w:kern w:val="0"/>
          <w:sz w:val="32"/>
          <w:szCs w:val="32"/>
          <w:lang w:eastAsia="zh-Hans"/>
        </w:rPr>
        <w:t>五</w:t>
      </w:r>
      <w:r>
        <w:rPr>
          <w:rFonts w:hint="eastAsia" w:ascii="黑体" w:hAnsi="黑体" w:eastAsia="黑体" w:cs="黑体"/>
          <w:b w:val="0"/>
          <w:bCs/>
          <w:kern w:val="0"/>
          <w:sz w:val="32"/>
          <w:szCs w:val="32"/>
        </w:rPr>
        <w:t>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000000"/>
          <w:kern w:val="44"/>
          <w:sz w:val="32"/>
          <w:szCs w:val="32"/>
        </w:rPr>
        <w:t>专业机构在前海合作区内执业，应当遵守中华人民共和国的法律、法规、规章和相关技术标准、规范规定。</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ascii="Times New Roman" w:hAnsi="Times New Roman" w:eastAsia="仿宋"/>
          <w:bCs/>
          <w:kern w:val="44"/>
          <w:sz w:val="32"/>
          <w:szCs w:val="32"/>
        </w:rPr>
      </w:pPr>
      <w:r>
        <w:rPr>
          <w:rFonts w:hint="eastAsia" w:ascii="仿宋_GB2312" w:hAnsi="仿宋_GB2312" w:eastAsia="仿宋_GB2312" w:cs="仿宋_GB2312"/>
          <w:bCs/>
          <w:color w:val="000000"/>
          <w:kern w:val="44"/>
          <w:sz w:val="32"/>
          <w:szCs w:val="32"/>
        </w:rPr>
        <w:t>没有明确的国家、行业及地方技术标准和规范的，专业机构可以根据香港现行的技术标准规范、施工工艺或者最优工程实践提出技术方案，经前海管理局按规定组织评审并通过后，可以在建设项目中采用。</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第十</w:t>
      </w:r>
      <w:r>
        <w:rPr>
          <w:rFonts w:hint="eastAsia" w:ascii="黑体" w:hAnsi="黑体" w:eastAsia="黑体" w:cs="黑体"/>
          <w:b w:val="0"/>
          <w:bCs/>
          <w:kern w:val="0"/>
          <w:sz w:val="32"/>
          <w:szCs w:val="32"/>
          <w:lang w:eastAsia="zh-Hans"/>
        </w:rPr>
        <w:t>六</w:t>
      </w:r>
      <w:r>
        <w:rPr>
          <w:rFonts w:hint="eastAsia" w:ascii="黑体" w:hAnsi="黑体" w:eastAsia="黑体" w:cs="黑体"/>
          <w:b w:val="0"/>
          <w:bCs/>
          <w:kern w:val="0"/>
          <w:sz w:val="32"/>
          <w:szCs w:val="32"/>
        </w:rPr>
        <w:t>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000000"/>
          <w:kern w:val="44"/>
          <w:sz w:val="32"/>
          <w:szCs w:val="32"/>
        </w:rPr>
        <w:t>前海管理局应当与相关行业主管部门建立执法协作机制。前海管理局应当将专业机构的备案情况定期向相关行业主管部门通报。</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ascii="Times New Roman" w:hAnsi="Times New Roman" w:eastAsia="仿宋"/>
          <w:bCs/>
          <w:kern w:val="44"/>
          <w:sz w:val="32"/>
          <w:szCs w:val="32"/>
        </w:rPr>
      </w:pPr>
      <w:r>
        <w:rPr>
          <w:rFonts w:hint="eastAsia" w:ascii="仿宋_GB2312" w:hAnsi="仿宋_GB2312" w:eastAsia="仿宋_GB2312" w:cs="仿宋_GB2312"/>
          <w:bCs/>
          <w:color w:val="000000"/>
          <w:kern w:val="44"/>
          <w:sz w:val="32"/>
          <w:szCs w:val="32"/>
        </w:rPr>
        <w:t>前海管理局可以依法委托第三方专业机构对香港专业机构在前海合作区内的执业活动进行巡查，并将管理情况通报相关行业主管部门，相关行业主管部门应当将执法结果及时告知前海管理局。</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第十</w:t>
      </w:r>
      <w:r>
        <w:rPr>
          <w:rFonts w:hint="eastAsia" w:ascii="黑体" w:hAnsi="黑体" w:eastAsia="黑体" w:cs="黑体"/>
          <w:b w:val="0"/>
          <w:bCs/>
          <w:kern w:val="0"/>
          <w:sz w:val="32"/>
          <w:szCs w:val="32"/>
          <w:lang w:eastAsia="zh-Hans"/>
        </w:rPr>
        <w:t>七</w:t>
      </w:r>
      <w:r>
        <w:rPr>
          <w:rFonts w:hint="eastAsia" w:ascii="黑体" w:hAnsi="黑体" w:eastAsia="黑体" w:cs="黑体"/>
          <w:b w:val="0"/>
          <w:bCs/>
          <w:kern w:val="0"/>
          <w:sz w:val="32"/>
          <w:szCs w:val="32"/>
        </w:rPr>
        <w:t>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000000"/>
          <w:kern w:val="44"/>
          <w:sz w:val="32"/>
          <w:szCs w:val="32"/>
        </w:rPr>
        <w:t>专业机构未经备案执业、超越备案范围及期限执业</w:t>
      </w:r>
      <w:r>
        <w:rPr>
          <w:rFonts w:hint="eastAsia" w:ascii="仿宋_GB2312" w:hAnsi="仿宋_GB2312" w:eastAsia="仿宋_GB2312" w:cs="仿宋_GB2312"/>
          <w:bCs/>
          <w:color w:val="000000"/>
          <w:kern w:val="44"/>
          <w:sz w:val="32"/>
          <w:szCs w:val="32"/>
          <w:lang w:eastAsia="zh-Hans"/>
        </w:rPr>
        <w:t>或者违反相关法律法规及行业主管部门管理规定</w:t>
      </w:r>
      <w:r>
        <w:rPr>
          <w:rFonts w:hint="eastAsia" w:ascii="仿宋_GB2312" w:hAnsi="仿宋_GB2312" w:eastAsia="仿宋_GB2312" w:cs="仿宋_GB2312"/>
          <w:bCs/>
          <w:color w:val="000000"/>
          <w:kern w:val="44"/>
          <w:sz w:val="32"/>
          <w:szCs w:val="32"/>
        </w:rPr>
        <w:t>的，由前海管理局通报市、区住房和建设局，由其对专业机构的相关违法行为依法处罚。</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第十</w:t>
      </w:r>
      <w:r>
        <w:rPr>
          <w:rFonts w:hint="eastAsia" w:ascii="黑体" w:hAnsi="黑体" w:eastAsia="黑体" w:cs="黑体"/>
          <w:b w:val="0"/>
          <w:bCs/>
          <w:kern w:val="0"/>
          <w:sz w:val="32"/>
          <w:szCs w:val="32"/>
          <w:lang w:eastAsia="zh-Hans"/>
        </w:rPr>
        <w:t>八</w:t>
      </w:r>
      <w:r>
        <w:rPr>
          <w:rFonts w:hint="eastAsia" w:ascii="黑体" w:hAnsi="黑体" w:eastAsia="黑体" w:cs="黑体"/>
          <w:b w:val="0"/>
          <w:bCs/>
          <w:kern w:val="0"/>
          <w:sz w:val="32"/>
          <w:szCs w:val="32"/>
        </w:rPr>
        <w:t>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000000"/>
          <w:kern w:val="44"/>
          <w:sz w:val="32"/>
          <w:szCs w:val="32"/>
        </w:rPr>
        <w:t>专业机构依照法律法规规定被处以降低资质等级，或者隐瞒有关情况、提供虚假材料申请备案的，前海管理局应当撤销其备案，并在两年内不再接受其备案申请。</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专业机构依照法律法规规定被处以吊销资质证书、停业整顿等行政处罚，或者在前海合作区有拖欠劳工人员工资行为，或者有其他严重违反法律、法规、规章规定的行为的，前海管理局应当撤销其备案，并在五年内不再接受其备案申请。</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第十</w:t>
      </w:r>
      <w:r>
        <w:rPr>
          <w:rFonts w:hint="eastAsia" w:ascii="黑体" w:hAnsi="黑体" w:eastAsia="黑体" w:cs="黑体"/>
          <w:b w:val="0"/>
          <w:bCs/>
          <w:kern w:val="0"/>
          <w:sz w:val="32"/>
          <w:szCs w:val="32"/>
          <w:lang w:eastAsia="zh-Hans"/>
        </w:rPr>
        <w:t>九</w:t>
      </w:r>
      <w:r>
        <w:rPr>
          <w:rFonts w:hint="eastAsia" w:ascii="黑体" w:hAnsi="黑体" w:eastAsia="黑体" w:cs="黑体"/>
          <w:b w:val="0"/>
          <w:bCs/>
          <w:kern w:val="0"/>
          <w:sz w:val="32"/>
          <w:szCs w:val="32"/>
        </w:rPr>
        <w:t>条</w:t>
      </w:r>
      <w:r>
        <w:rPr>
          <w:rFonts w:hint="eastAsia" w:ascii="黑体" w:hAnsi="黑体" w:eastAsia="黑体" w:cs="黑体"/>
          <w:b/>
          <w:bCs/>
          <w:kern w:val="0"/>
          <w:sz w:val="32"/>
          <w:szCs w:val="32"/>
        </w:rPr>
        <w:t xml:space="preserve"> </w:t>
      </w:r>
      <w:r>
        <w:rPr>
          <w:rFonts w:hint="eastAsia" w:ascii="仿宋_GB2312" w:hAnsi="仿宋_GB2312" w:eastAsia="仿宋_GB2312" w:cs="仿宋_GB2312"/>
          <w:bCs/>
          <w:color w:val="000000"/>
          <w:kern w:val="44"/>
          <w:sz w:val="32"/>
          <w:szCs w:val="32"/>
        </w:rPr>
        <w:t>前海管理局应当与香港发展局密切合作，及时将专业机构的相关情况通报香港发展局，并由香港发展局根据其相关规定进行处理。</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前海管理局发现已备案的专业机构违反香港法律规定并受到香港发展局处罚的，有权对专业机构的备案情况及资质作出相应处理。</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 w:val="0"/>
          <w:bCs/>
          <w:color w:val="000000"/>
          <w:kern w:val="44"/>
          <w:sz w:val="32"/>
          <w:szCs w:val="32"/>
        </w:rPr>
      </w:pPr>
      <w:r>
        <w:rPr>
          <w:rFonts w:hint="eastAsia" w:ascii="仿宋_GB2312" w:hAnsi="仿宋_GB2312" w:eastAsia="仿宋_GB2312" w:cs="仿宋_GB2312"/>
          <w:bCs/>
          <w:color w:val="000000"/>
          <w:kern w:val="44"/>
          <w:sz w:val="32"/>
          <w:szCs w:val="32"/>
        </w:rPr>
        <w:t>专业机构有违法行为的和对前海合作区建筑业发展有突出贡献的，前海管理局应当依法将其纳入前海征信记录，通报香港发展局。</w:t>
      </w:r>
    </w:p>
    <w:p>
      <w:pPr>
        <w:keepNext w:val="0"/>
        <w:keepLines w:val="0"/>
        <w:pageBreakBefore w:val="0"/>
        <w:tabs>
          <w:tab w:val="left" w:pos="2480"/>
        </w:tabs>
        <w:kinsoku/>
        <w:overflowPunct/>
        <w:topLinePunct w:val="0"/>
        <w:autoSpaceDE/>
        <w:autoSpaceDN/>
        <w:bidi w:val="0"/>
        <w:adjustRightInd/>
        <w:spacing w:afterLines="0" w:line="560" w:lineRule="exact"/>
        <w:ind w:left="0" w:right="0" w:rightChars="0" w:firstLine="640" w:firstLineChars="200"/>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eastAsia="zh-Hans"/>
        </w:rPr>
        <w:t>二十</w:t>
      </w:r>
      <w:r>
        <w:rPr>
          <w:rFonts w:hint="eastAsia" w:ascii="黑体" w:hAnsi="黑体" w:eastAsia="黑体" w:cs="黑体"/>
          <w:b w:val="0"/>
          <w:bCs/>
          <w:kern w:val="0"/>
          <w:sz w:val="32"/>
          <w:szCs w:val="32"/>
        </w:rPr>
        <w:t>条</w:t>
      </w:r>
      <w:r>
        <w:rPr>
          <w:rFonts w:hint="eastAsia" w:ascii="黑体" w:hAnsi="黑体" w:eastAsia="黑体" w:cs="黑体"/>
          <w:bCs/>
          <w:kern w:val="44"/>
          <w:sz w:val="32"/>
          <w:szCs w:val="32"/>
        </w:rPr>
        <w:t xml:space="preserve"> </w:t>
      </w:r>
      <w:r>
        <w:rPr>
          <w:rFonts w:hint="eastAsia" w:ascii="仿宋_GB2312" w:hAnsi="仿宋_GB2312" w:eastAsia="仿宋_GB2312" w:cs="仿宋_GB2312"/>
          <w:bCs/>
          <w:color w:val="000000"/>
          <w:kern w:val="44"/>
          <w:sz w:val="32"/>
          <w:szCs w:val="32"/>
        </w:rPr>
        <w:t>本规定所称香港发展局认可名册，是指香港发展局公布的《香港建筑及有关顾问公司遴选委员顾问公司名单》《香港工程及有关顾问公司遴选委员顾问公司名单》《认可公共工程承建商名册（认可承建商名册）》，以及《认可公共工程物料供应商及专门承造商名册（供应商及专门承造商名册）》的最新版本。</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ascii="Times New Roman" w:hAnsi="Times New Roman" w:eastAsia="仿宋"/>
          <w:sz w:val="32"/>
          <w:szCs w:val="32"/>
        </w:rPr>
      </w:pPr>
      <w:r>
        <w:rPr>
          <w:rFonts w:hint="eastAsia" w:ascii="黑体" w:hAnsi="黑体" w:eastAsia="黑体" w:cs="黑体"/>
          <w:b w:val="0"/>
          <w:bCs/>
          <w:kern w:val="0"/>
          <w:sz w:val="32"/>
          <w:szCs w:val="32"/>
        </w:rPr>
        <w:t>第二十</w:t>
      </w:r>
      <w:r>
        <w:rPr>
          <w:rFonts w:hint="eastAsia" w:ascii="黑体" w:hAnsi="黑体" w:eastAsia="黑体" w:cs="黑体"/>
          <w:b w:val="0"/>
          <w:bCs/>
          <w:kern w:val="0"/>
          <w:sz w:val="32"/>
          <w:szCs w:val="32"/>
          <w:lang w:eastAsia="zh-Hans"/>
        </w:rPr>
        <w:t>一</w:t>
      </w:r>
      <w:r>
        <w:rPr>
          <w:rFonts w:hint="eastAsia" w:ascii="黑体" w:hAnsi="黑体" w:eastAsia="黑体" w:cs="黑体"/>
          <w:b w:val="0"/>
          <w:bCs/>
          <w:kern w:val="0"/>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bCs/>
          <w:color w:val="000000"/>
          <w:kern w:val="44"/>
          <w:sz w:val="32"/>
          <w:szCs w:val="32"/>
        </w:rPr>
        <w:t>本办法生效之前，已在前海合作区执业但未备案的专业机构，应当在本办法生效之日起90日内，向前海管理局申请备案。</w:t>
      </w:r>
    </w:p>
    <w:p>
      <w:pPr>
        <w:keepNext w:val="0"/>
        <w:keepLines w:val="0"/>
        <w:pageBreakBefore w:val="0"/>
        <w:widowControl/>
        <w:tabs>
          <w:tab w:val="left" w:pos="2480"/>
        </w:tabs>
        <w:kinsoku/>
        <w:overflowPunct/>
        <w:topLinePunct w:val="0"/>
        <w:autoSpaceDE/>
        <w:autoSpaceDN/>
        <w:bidi w:val="0"/>
        <w:adjustRightInd/>
        <w:spacing w:afterLines="0" w:line="560" w:lineRule="exact"/>
        <w:ind w:left="0" w:right="0" w:rightChars="0" w:firstLine="640" w:firstLineChars="200"/>
        <w:jc w:val="both"/>
        <w:textAlignment w:val="auto"/>
        <w:outlineLvl w:val="2"/>
        <w:rPr>
          <w:rFonts w:hint="eastAsia" w:ascii="仿宋_GB2312" w:hAnsi="仿宋_GB2312" w:eastAsia="仿宋_GB2312" w:cs="仿宋_GB2312"/>
          <w:bCs/>
          <w:color w:val="000000"/>
          <w:kern w:val="44"/>
          <w:sz w:val="32"/>
          <w:szCs w:val="32"/>
        </w:rPr>
      </w:pPr>
      <w:r>
        <w:rPr>
          <w:rFonts w:hint="eastAsia" w:ascii="黑体" w:hAnsi="黑体" w:eastAsia="黑体" w:cs="黑体"/>
          <w:b w:val="0"/>
          <w:bCs/>
          <w:kern w:val="0"/>
          <w:sz w:val="32"/>
          <w:szCs w:val="32"/>
        </w:rPr>
        <w:t>第二十</w:t>
      </w:r>
      <w:r>
        <w:rPr>
          <w:rFonts w:hint="eastAsia" w:ascii="黑体" w:hAnsi="黑体" w:eastAsia="黑体" w:cs="黑体"/>
          <w:b w:val="0"/>
          <w:bCs/>
          <w:kern w:val="0"/>
          <w:sz w:val="32"/>
          <w:szCs w:val="32"/>
          <w:lang w:eastAsia="zh-Hans"/>
        </w:rPr>
        <w:t>二</w:t>
      </w:r>
      <w:r>
        <w:rPr>
          <w:rFonts w:hint="eastAsia" w:ascii="黑体" w:hAnsi="黑体" w:eastAsia="黑体" w:cs="黑体"/>
          <w:b w:val="0"/>
          <w:bCs/>
          <w:kern w:val="0"/>
          <w:sz w:val="32"/>
          <w:szCs w:val="32"/>
        </w:rPr>
        <w:t>条</w:t>
      </w:r>
      <w:r>
        <w:rPr>
          <w:rFonts w:hint="eastAsia" w:ascii="黑体" w:hAnsi="黑体" w:eastAsia="黑体" w:cs="黑体"/>
          <w:b/>
          <w:kern w:val="44"/>
          <w:sz w:val="32"/>
          <w:szCs w:val="32"/>
        </w:rPr>
        <w:t xml:space="preserve"> </w:t>
      </w:r>
      <w:r>
        <w:rPr>
          <w:rFonts w:hint="eastAsia" w:ascii="仿宋_GB2312" w:hAnsi="仿宋_GB2312" w:eastAsia="仿宋_GB2312" w:cs="仿宋_GB2312"/>
          <w:bCs/>
          <w:color w:val="000000"/>
          <w:kern w:val="44"/>
          <w:sz w:val="32"/>
          <w:szCs w:val="32"/>
        </w:rPr>
        <w:t>本办法自2022年XX月XX日起实施，有效期5年。</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ascii="Times New Roman" w:hAnsi="Times New Roman" w:eastAsia="仿宋"/>
          <w:sz w:val="32"/>
          <w:szCs w:val="32"/>
        </w:rPr>
      </w:pPr>
      <w:r>
        <w:rPr>
          <w:rFonts w:ascii="Times New Roman" w:hAnsi="Times New Roman" w:eastAsia="仿宋"/>
          <w:kern w:val="0"/>
          <w:sz w:val="32"/>
          <w:szCs w:val="32"/>
        </w:rPr>
        <w:br w:type="page"/>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hint="eastAsia" w:ascii="仿宋_GB2312" w:hAnsi="仿宋_GB2312" w:eastAsia="仿宋_GB2312" w:cs="仿宋_GB2312"/>
          <w:bCs/>
          <w:color w:val="auto"/>
          <w:kern w:val="0"/>
          <w:sz w:val="32"/>
          <w:szCs w:val="32"/>
        </w:rPr>
      </w:pPr>
      <w:r>
        <w:rPr>
          <w:rFonts w:hint="eastAsia" w:ascii="Times New Roman" w:hAnsi="Times New Roman" w:eastAsia="仿宋"/>
          <w:sz w:val="32"/>
          <w:szCs w:val="32"/>
        </w:rPr>
        <w:t>附件：</w:t>
      </w:r>
      <w:r>
        <w:rPr>
          <w:rFonts w:hint="eastAsia" w:ascii="仿宋_GB2312" w:hAnsi="仿宋_GB2312" w:eastAsia="仿宋_GB2312" w:cs="仿宋_GB2312"/>
          <w:bCs/>
          <w:color w:val="auto"/>
          <w:kern w:val="0"/>
          <w:sz w:val="32"/>
          <w:szCs w:val="32"/>
        </w:rPr>
        <w:t>1.专业机构执业资质对标清单</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2.专业机构在前海合作区备案申请表</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3.专业人士职业责任专业保险提交承诺书</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4.专业机构在前海合作区延续备案申请表</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5.专业机构在前海合作区变更备案申请表</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ascii="Times New Roman" w:hAnsi="Times New Roman"/>
        </w:rPr>
      </w:pPr>
      <w:r>
        <w:rPr>
          <w:rFonts w:ascii="Times New Roman" w:hAnsi="Times New Roman" w:eastAsia="仿宋"/>
          <w:sz w:val="32"/>
          <w:szCs w:val="32"/>
        </w:rPr>
        <w:t xml:space="preserve">    </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textAlignment w:val="auto"/>
        <w:rPr>
          <w:rFonts w:ascii="Times New Roman" w:hAnsi="Times New Roman" w:eastAsia="仿宋"/>
          <w:sz w:val="32"/>
          <w:szCs w:val="32"/>
        </w:rPr>
      </w:pPr>
    </w:p>
    <w:p>
      <w:pPr>
        <w:keepNext w:val="0"/>
        <w:keepLines w:val="0"/>
        <w:pageBreakBefore w:val="0"/>
        <w:kinsoku/>
        <w:overflowPunct/>
        <w:topLinePunct w:val="0"/>
        <w:autoSpaceDE/>
        <w:autoSpaceDN/>
        <w:bidi w:val="0"/>
        <w:adjustRightInd/>
        <w:spacing w:afterLines="0" w:line="560" w:lineRule="exact"/>
        <w:ind w:left="0" w:right="0" w:rightChars="0" w:firstLine="420" w:firstLineChars="200"/>
        <w:textAlignment w:val="auto"/>
        <w:rPr>
          <w:rFonts w:ascii="Calibri" w:hAnsi="Calibri" w:eastAsia="宋体"/>
        </w:rPr>
      </w:pPr>
    </w:p>
    <w:p>
      <w:pPr>
        <w:pStyle w:val="2"/>
        <w:keepNext w:val="0"/>
        <w:keepLines w:val="0"/>
        <w:pageBreakBefore w:val="0"/>
        <w:numPr>
          <w:ilvl w:val="0"/>
          <w:numId w:val="0"/>
        </w:numPr>
        <w:kinsoku/>
        <w:overflowPunct/>
        <w:topLinePunct w:val="0"/>
        <w:autoSpaceDE/>
        <w:autoSpaceDN/>
        <w:bidi w:val="0"/>
        <w:adjustRightInd/>
        <w:spacing w:before="0" w:after="0" w:afterLines="0" w:line="560" w:lineRule="exact"/>
        <w:ind w:left="0" w:right="0" w:rightChars="0" w:firstLine="562" w:firstLineChars="200"/>
        <w:jc w:val="left"/>
        <w:textAlignment w:val="auto"/>
        <w:rPr>
          <w:rFonts w:hint="eastAsia" w:ascii="黑体" w:hAnsi="黑体" w:eastAsia="黑体" w:cs="黑体"/>
          <w:b w:val="0"/>
          <w:bCs w:val="0"/>
          <w:color w:val="auto"/>
          <w:kern w:val="44"/>
          <w:sz w:val="28"/>
          <w:szCs w:val="28"/>
          <w:lang w:val="en-US" w:eastAsia="zh-CN" w:bidi="ar-SA"/>
        </w:rPr>
      </w:pPr>
      <w:r>
        <w:rPr>
          <w:rFonts w:ascii="Times New Roman" w:hAnsi="Times New Roman" w:eastAsia="仿宋"/>
          <w:b/>
          <w:kern w:val="44"/>
          <w:sz w:val="28"/>
          <w:szCs w:val="28"/>
        </w:rPr>
        <w:br w:type="page"/>
      </w:r>
      <w:r>
        <w:rPr>
          <w:rFonts w:hint="eastAsia" w:ascii="黑体" w:hAnsi="黑体" w:eastAsia="黑体" w:cs="黑体"/>
          <w:b w:val="0"/>
          <w:bCs w:val="0"/>
          <w:color w:val="auto"/>
          <w:kern w:val="44"/>
          <w:sz w:val="28"/>
          <w:szCs w:val="28"/>
          <w:lang w:val="en-US" w:eastAsia="zh-CN" w:bidi="ar-SA"/>
        </w:rPr>
        <w:t>附</w:t>
      </w:r>
      <w:r>
        <w:rPr>
          <w:rFonts w:hint="default" w:ascii="黑体" w:hAnsi="黑体" w:eastAsia="黑体" w:cs="黑体"/>
          <w:b w:val="0"/>
          <w:bCs w:val="0"/>
          <w:color w:val="auto"/>
          <w:kern w:val="44"/>
          <w:sz w:val="28"/>
          <w:szCs w:val="28"/>
          <w:lang w:eastAsia="zh-CN" w:bidi="ar-SA"/>
        </w:rPr>
        <w:t>件</w:t>
      </w:r>
      <w:r>
        <w:rPr>
          <w:rFonts w:hint="eastAsia" w:ascii="黑体" w:hAnsi="黑体" w:eastAsia="黑体" w:cs="黑体"/>
          <w:b w:val="0"/>
          <w:bCs w:val="0"/>
          <w:color w:val="auto"/>
          <w:kern w:val="44"/>
          <w:sz w:val="28"/>
          <w:szCs w:val="28"/>
          <w:lang w:val="en-US" w:eastAsia="zh-CN" w:bidi="ar-SA"/>
        </w:rPr>
        <w:t>1</w:t>
      </w:r>
    </w:p>
    <w:p>
      <w:pPr>
        <w:keepNext w:val="0"/>
        <w:keepLines w:val="0"/>
        <w:pageBreakBefore w:val="0"/>
        <w:kinsoku/>
        <w:overflowPunct/>
        <w:topLinePunct w:val="0"/>
        <w:autoSpaceDE/>
        <w:autoSpaceDN/>
        <w:bidi w:val="0"/>
        <w:adjustRightInd/>
        <w:spacing w:afterLines="0" w:line="560" w:lineRule="exact"/>
        <w:ind w:left="0" w:right="0" w:rightChars="0" w:firstLine="640" w:firstLineChars="200"/>
        <w:jc w:val="center"/>
        <w:textAlignment w:val="auto"/>
        <w:outlineLvl w:val="0"/>
        <w:rPr>
          <w:rFonts w:hint="eastAsia" w:ascii="黑体" w:hAnsi="黑体" w:eastAsia="黑体" w:cs="黑体"/>
          <w:color w:val="auto"/>
          <w:kern w:val="44"/>
          <w:sz w:val="32"/>
          <w:szCs w:val="32"/>
        </w:rPr>
      </w:pPr>
      <w:r>
        <w:rPr>
          <w:rFonts w:hint="eastAsia" w:ascii="黑体" w:hAnsi="黑体" w:eastAsia="黑体" w:cs="黑体"/>
          <w:color w:val="auto"/>
          <w:kern w:val="44"/>
          <w:sz w:val="32"/>
          <w:szCs w:val="32"/>
        </w:rPr>
        <w:t>专业机构资质对标清单</w:t>
      </w:r>
    </w:p>
    <w:p>
      <w:pPr>
        <w:keepNext w:val="0"/>
        <w:keepLines w:val="0"/>
        <w:pageBreakBefore w:val="0"/>
        <w:kinsoku/>
        <w:overflowPunct/>
        <w:topLinePunct w:val="0"/>
        <w:autoSpaceDE/>
        <w:autoSpaceDN/>
        <w:bidi w:val="0"/>
        <w:adjustRightInd/>
        <w:snapToGrid/>
        <w:spacing w:afterLines="0" w:line="560" w:lineRule="exact"/>
        <w:ind w:left="0" w:right="0" w:rightChars="0" w:firstLine="562" w:firstLineChars="200"/>
        <w:jc w:val="both"/>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
          <w:bCs/>
          <w:color w:val="auto"/>
          <w:kern w:val="0"/>
          <w:sz w:val="28"/>
          <w:szCs w:val="28"/>
        </w:rPr>
        <w:t>附件1-1</w:t>
      </w:r>
      <w:r>
        <w:rPr>
          <w:rFonts w:hint="default" w:ascii="仿宋_GB2312" w:hAnsi="仿宋_GB2312" w:eastAsia="仿宋_GB2312" w:cs="仿宋_GB2312"/>
          <w:b/>
          <w:bCs/>
          <w:color w:val="auto"/>
          <w:kern w:val="0"/>
          <w:sz w:val="28"/>
          <w:szCs w:val="28"/>
        </w:rPr>
        <w:t xml:space="preserve"> </w:t>
      </w:r>
      <w:r>
        <w:rPr>
          <w:rFonts w:hint="eastAsia" w:ascii="仿宋_GB2312" w:hAnsi="仿宋_GB2312" w:eastAsia="仿宋_GB2312" w:cs="仿宋_GB2312"/>
          <w:bCs/>
          <w:color w:val="auto"/>
          <w:kern w:val="0"/>
          <w:sz w:val="28"/>
          <w:szCs w:val="28"/>
        </w:rPr>
        <w:t>香港建筑设计及有关顾问公司遴选委员会顾问公司名单（The List of Consultants of Architectural and Associated Consultants Selection Board，AACSB名单）</w:t>
      </w:r>
    </w:p>
    <w:tbl>
      <w:tblPr>
        <w:tblStyle w:val="12"/>
        <w:tblW w:w="8549" w:type="dxa"/>
        <w:tblInd w:w="0" w:type="dxa"/>
        <w:tblBorders>
          <w:top w:val="single" w:color="auto" w:sz="12" w:space="0"/>
          <w:left w:val="none" w:color="auto" w:sz="0" w:space="0"/>
          <w:bottom w:val="single" w:color="auto" w:sz="12" w:space="0"/>
          <w:right w:val="none" w:color="auto" w:sz="0" w:space="0"/>
          <w:insideH w:val="none" w:color="auto" w:sz="0" w:space="0"/>
          <w:insideV w:val="dashed" w:color="auto" w:sz="4" w:space="0"/>
        </w:tblBorders>
        <w:tblLayout w:type="autofit"/>
        <w:tblCellMar>
          <w:top w:w="57" w:type="dxa"/>
          <w:left w:w="108" w:type="dxa"/>
          <w:bottom w:w="57" w:type="dxa"/>
          <w:right w:w="108" w:type="dxa"/>
        </w:tblCellMar>
      </w:tblPr>
      <w:tblGrid>
        <w:gridCol w:w="2376"/>
        <w:gridCol w:w="1985"/>
        <w:gridCol w:w="2225"/>
        <w:gridCol w:w="1963"/>
      </w:tblGrid>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454" w:hRule="atLeast"/>
        </w:trPr>
        <w:tc>
          <w:tcPr>
            <w:tcW w:w="4361" w:type="dxa"/>
            <w:gridSpan w:val="2"/>
            <w:vAlign w:val="center"/>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ascii="Times New Roman" w:hAnsi="Times New Roman" w:eastAsia="仿宋"/>
                <w:b/>
                <w:sz w:val="24"/>
                <w:szCs w:val="24"/>
                <w:lang w:eastAsia="zh-TW"/>
              </w:rPr>
            </w:pPr>
            <w:r>
              <w:rPr>
                <w:rFonts w:hint="eastAsia" w:ascii="黑体" w:hAnsi="黑体" w:eastAsia="黑体" w:cs="黑体"/>
                <w:b w:val="0"/>
                <w:color w:val="auto"/>
                <w:kern w:val="44"/>
                <w:sz w:val="24"/>
                <w:szCs w:val="24"/>
                <w:lang w:eastAsia="zh-CN"/>
              </w:rPr>
              <w:t>AACSB名单分类</w:t>
            </w:r>
          </w:p>
        </w:tc>
        <w:tc>
          <w:tcPr>
            <w:tcW w:w="4188" w:type="dxa"/>
            <w:gridSpan w:val="2"/>
            <w:vMerge w:val="restart"/>
            <w:vAlign w:val="center"/>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ascii="Times New Roman" w:hAnsi="Times New Roman" w:eastAsia="仿宋"/>
                <w:b/>
                <w:sz w:val="24"/>
                <w:szCs w:val="24"/>
                <w:lang w:eastAsia="zh-TW"/>
              </w:rPr>
            </w:pPr>
            <w:r>
              <w:rPr>
                <w:rFonts w:hint="eastAsia" w:ascii="黑体" w:hAnsi="黑体" w:eastAsia="黑体" w:cs="黑体"/>
                <w:b w:val="0"/>
                <w:color w:val="auto"/>
                <w:kern w:val="44"/>
                <w:sz w:val="24"/>
                <w:szCs w:val="24"/>
                <w:lang w:eastAsia="zh-CN"/>
              </w:rPr>
              <w:t>对应内地企业资质</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454" w:hRule="atLeast"/>
        </w:trPr>
        <w:tc>
          <w:tcPr>
            <w:tcW w:w="2376" w:type="dxa"/>
            <w:tcBorders>
              <w:bottom w:val="single" w:color="auto" w:sz="12" w:space="0"/>
            </w:tcBorders>
            <w:vAlign w:val="center"/>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ascii="Times New Roman" w:hAnsi="Times New Roman" w:eastAsia="仿宋"/>
                <w:b/>
                <w:sz w:val="24"/>
                <w:szCs w:val="24"/>
                <w:lang w:eastAsia="zh-TW"/>
              </w:rPr>
            </w:pPr>
            <w:r>
              <w:rPr>
                <w:rFonts w:hint="eastAsia" w:ascii="黑体" w:hAnsi="黑体" w:eastAsia="黑体" w:cs="黑体"/>
                <w:b w:val="0"/>
                <w:color w:val="auto"/>
                <w:kern w:val="44"/>
                <w:sz w:val="24"/>
                <w:szCs w:val="24"/>
                <w:lang w:eastAsia="zh-CN"/>
              </w:rPr>
              <w:t>类别（Category）</w:t>
            </w:r>
          </w:p>
        </w:tc>
        <w:tc>
          <w:tcPr>
            <w:tcW w:w="1985" w:type="dxa"/>
            <w:tcBorders>
              <w:bottom w:val="single" w:color="auto" w:sz="12" w:space="0"/>
            </w:tcBorders>
            <w:vAlign w:val="center"/>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ascii="Times New Roman" w:hAnsi="Times New Roman" w:eastAsia="仿宋"/>
                <w:b/>
                <w:sz w:val="24"/>
                <w:szCs w:val="24"/>
                <w:lang w:eastAsia="zh-TW"/>
              </w:rPr>
            </w:pPr>
            <w:r>
              <w:rPr>
                <w:rFonts w:hint="eastAsia" w:ascii="黑体" w:hAnsi="黑体" w:eastAsia="黑体" w:cs="黑体"/>
                <w:b w:val="0"/>
                <w:color w:val="auto"/>
                <w:kern w:val="44"/>
                <w:sz w:val="24"/>
                <w:szCs w:val="24"/>
                <w:lang w:eastAsia="zh-CN"/>
              </w:rPr>
              <w:t>组别</w:t>
            </w:r>
            <w:r>
              <w:rPr>
                <w:rFonts w:hint="eastAsia" w:ascii="黑体" w:hAnsi="黑体" w:eastAsia="黑体" w:cs="黑体"/>
                <w:b w:val="0"/>
                <w:color w:val="auto"/>
                <w:kern w:val="44"/>
                <w:sz w:val="24"/>
                <w:szCs w:val="24"/>
                <w:vertAlign w:val="superscript"/>
              </w:rPr>
              <w:t>1</w:t>
            </w:r>
            <w:r>
              <w:rPr>
                <w:rFonts w:hint="eastAsia" w:ascii="黑体" w:hAnsi="黑体" w:eastAsia="黑体" w:cs="黑体"/>
                <w:b w:val="0"/>
                <w:color w:val="auto"/>
                <w:kern w:val="44"/>
                <w:sz w:val="24"/>
                <w:szCs w:val="24"/>
                <w:lang w:eastAsia="zh-CN"/>
              </w:rPr>
              <w:t>（Band）</w:t>
            </w:r>
          </w:p>
        </w:tc>
        <w:tc>
          <w:tcPr>
            <w:tcW w:w="4188" w:type="dxa"/>
            <w:gridSpan w:val="2"/>
            <w:vMerge w:val="continue"/>
            <w:tcBorders>
              <w:bottom w:val="single" w:color="auto" w:sz="12"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2" w:firstLineChars="200"/>
              <w:jc w:val="center"/>
              <w:textAlignment w:val="auto"/>
              <w:rPr>
                <w:rFonts w:ascii="Times New Roman" w:hAnsi="Times New Roman" w:eastAsia="仿宋"/>
                <w:b/>
                <w:sz w:val="24"/>
                <w:szCs w:val="24"/>
                <w:lang w:eastAsia="zh-TW"/>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restart"/>
            <w:tcBorders>
              <w:top w:val="single" w:color="auto" w:sz="12" w:space="0"/>
              <w:tl2br w:val="nil"/>
              <w:tr2bl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建筑</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ascii="Times New Roman" w:hAnsi="Times New Roman" w:eastAsia="仿宋"/>
                <w:sz w:val="24"/>
                <w:szCs w:val="24"/>
                <w:lang w:eastAsia="zh-TW"/>
              </w:rPr>
            </w:pPr>
            <w:r>
              <w:rPr>
                <w:rFonts w:hint="eastAsia" w:ascii="仿宋_GB2312" w:hAnsi="仿宋_GB2312" w:eastAsia="仿宋_GB2312" w:cs="仿宋_GB2312"/>
                <w:bCs/>
                <w:color w:val="auto"/>
                <w:kern w:val="0"/>
                <w:sz w:val="24"/>
                <w:szCs w:val="24"/>
                <w:lang w:eastAsia="zh-TW"/>
              </w:rPr>
              <w:t>Architectural</w:t>
            </w:r>
          </w:p>
        </w:tc>
        <w:tc>
          <w:tcPr>
            <w:tcW w:w="1985" w:type="dxa"/>
            <w:tcBorders>
              <w:top w:val="single" w:color="auto" w:sz="12" w:space="0"/>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第一组</w:t>
            </w:r>
          </w:p>
        </w:tc>
        <w:tc>
          <w:tcPr>
            <w:tcW w:w="2225" w:type="dxa"/>
            <w:vMerge w:val="restart"/>
            <w:tcBorders>
              <w:top w:val="single" w:color="auto" w:sz="12" w:space="0"/>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textAlignment w:val="auto"/>
              <w:rPr>
                <w:rFonts w:ascii="Times New Roman" w:hAnsi="Times New Roman" w:eastAsia="仿宋"/>
                <w:sz w:val="24"/>
                <w:szCs w:val="24"/>
              </w:rPr>
            </w:pPr>
            <w:r>
              <w:rPr>
                <w:rFonts w:hint="eastAsia" w:ascii="仿宋_GB2312" w:hAnsi="仿宋_GB2312" w:eastAsia="仿宋_GB2312" w:cs="仿宋_GB2312"/>
                <w:bCs/>
                <w:color w:val="auto"/>
                <w:kern w:val="0"/>
                <w:sz w:val="24"/>
                <w:szCs w:val="24"/>
                <w:lang w:eastAsia="zh-TW"/>
              </w:rPr>
              <w:t>建筑设计事务所甲级资质、工程监理房屋建筑工程专业甲级资质</w:t>
            </w:r>
          </w:p>
        </w:tc>
        <w:tc>
          <w:tcPr>
            <w:tcW w:w="1963" w:type="dxa"/>
            <w:vMerge w:val="restart"/>
            <w:tcBorders>
              <w:top w:val="single" w:color="auto" w:sz="12" w:space="0"/>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textAlignment w:val="auto"/>
              <w:rPr>
                <w:rFonts w:ascii="Times New Roman" w:hAnsi="Times New Roman" w:eastAsia="仿宋"/>
                <w:sz w:val="24"/>
                <w:szCs w:val="24"/>
              </w:rPr>
            </w:pPr>
            <w:r>
              <w:rPr>
                <w:rFonts w:hint="eastAsia" w:ascii="仿宋_GB2312" w:hAnsi="仿宋_GB2312" w:eastAsia="仿宋_GB2312" w:cs="仿宋_GB2312"/>
                <w:bCs/>
                <w:color w:val="auto"/>
                <w:kern w:val="0"/>
                <w:sz w:val="24"/>
                <w:szCs w:val="24"/>
                <w:lang w:eastAsia="zh-TW"/>
              </w:rPr>
              <w:t>同时取得三类设计事务所资质的企业可同时取得工程设计建筑行业甲级资质</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c>
          <w:tcPr>
            <w:tcW w:w="1985" w:type="dxa"/>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第二组</w:t>
            </w:r>
          </w:p>
        </w:tc>
        <w:tc>
          <w:tcPr>
            <w:tcW w:w="2225"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c>
          <w:tcPr>
            <w:tcW w:w="196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restart"/>
            <w:tcBorders>
              <w:tl2br w:val="nil"/>
              <w:tr2bl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结构工程</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Structural Engineering</w:t>
            </w:r>
          </w:p>
        </w:tc>
        <w:tc>
          <w:tcPr>
            <w:tcW w:w="1985" w:type="dxa"/>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第一组</w:t>
            </w:r>
          </w:p>
        </w:tc>
        <w:tc>
          <w:tcPr>
            <w:tcW w:w="2225" w:type="dxa"/>
            <w:vMerge w:val="restart"/>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结构设计事务所甲级资质、工程监理房屋建筑工程专业甲级资质</w:t>
            </w:r>
          </w:p>
        </w:tc>
        <w:tc>
          <w:tcPr>
            <w:tcW w:w="196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c>
          <w:tcPr>
            <w:tcW w:w="1985" w:type="dxa"/>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ascii="Times New Roman" w:hAnsi="Times New Roman" w:eastAsia="仿宋"/>
                <w:sz w:val="24"/>
                <w:szCs w:val="24"/>
                <w:lang w:eastAsia="zh-TW"/>
              </w:rPr>
            </w:pPr>
            <w:r>
              <w:rPr>
                <w:rFonts w:hint="eastAsia" w:ascii="仿宋_GB2312" w:hAnsi="仿宋_GB2312" w:eastAsia="仿宋_GB2312" w:cs="仿宋_GB2312"/>
                <w:bCs/>
                <w:color w:val="auto"/>
                <w:kern w:val="0"/>
                <w:sz w:val="24"/>
                <w:szCs w:val="24"/>
                <w:lang w:eastAsia="zh-TW"/>
              </w:rPr>
              <w:t>第二组</w:t>
            </w:r>
          </w:p>
        </w:tc>
        <w:tc>
          <w:tcPr>
            <w:tcW w:w="2225"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c>
          <w:tcPr>
            <w:tcW w:w="196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restart"/>
            <w:tcBorders>
              <w:tl2br w:val="nil"/>
              <w:tr2bl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屋宇装备</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ascii="Times New Roman" w:hAnsi="Times New Roman" w:eastAsia="仿宋"/>
                <w:sz w:val="24"/>
                <w:szCs w:val="24"/>
                <w:lang w:eastAsia="zh-TW"/>
              </w:rPr>
            </w:pPr>
            <w:r>
              <w:rPr>
                <w:rFonts w:hint="eastAsia" w:ascii="仿宋_GB2312" w:hAnsi="仿宋_GB2312" w:eastAsia="仿宋_GB2312" w:cs="仿宋_GB2312"/>
                <w:bCs/>
                <w:color w:val="auto"/>
                <w:kern w:val="0"/>
                <w:sz w:val="24"/>
                <w:szCs w:val="24"/>
                <w:lang w:eastAsia="zh-TW"/>
              </w:rPr>
              <w:t>Building Services</w:t>
            </w:r>
          </w:p>
        </w:tc>
        <w:tc>
          <w:tcPr>
            <w:tcW w:w="1985" w:type="dxa"/>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第一组</w:t>
            </w:r>
          </w:p>
        </w:tc>
        <w:tc>
          <w:tcPr>
            <w:tcW w:w="2225" w:type="dxa"/>
            <w:vMerge w:val="restart"/>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机电设计事务所甲级资质、工程监理机电安装工程专业甲级资质</w:t>
            </w:r>
          </w:p>
        </w:tc>
        <w:tc>
          <w:tcPr>
            <w:tcW w:w="196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c>
          <w:tcPr>
            <w:tcW w:w="1985" w:type="dxa"/>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ascii="Times New Roman" w:hAnsi="Times New Roman" w:eastAsia="仿宋"/>
                <w:sz w:val="24"/>
                <w:szCs w:val="24"/>
                <w:lang w:eastAsia="zh-TW"/>
              </w:rPr>
            </w:pPr>
            <w:r>
              <w:rPr>
                <w:rFonts w:hint="eastAsia" w:ascii="仿宋_GB2312" w:hAnsi="仿宋_GB2312" w:eastAsia="仿宋_GB2312" w:cs="仿宋_GB2312"/>
                <w:bCs/>
                <w:color w:val="auto"/>
                <w:kern w:val="0"/>
                <w:sz w:val="24"/>
                <w:szCs w:val="24"/>
                <w:lang w:eastAsia="zh-TW"/>
              </w:rPr>
              <w:t>第二组</w:t>
            </w:r>
          </w:p>
        </w:tc>
        <w:tc>
          <w:tcPr>
            <w:tcW w:w="2225"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c>
          <w:tcPr>
            <w:tcW w:w="196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13" w:hRule="atLeast"/>
        </w:trPr>
        <w:tc>
          <w:tcPr>
            <w:tcW w:w="2376" w:type="dxa"/>
            <w:tcBorders>
              <w:tl2br w:val="nil"/>
              <w:tr2bl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园林建筑</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ascii="Times New Roman" w:hAnsi="Times New Roman" w:eastAsia="仿宋"/>
                <w:sz w:val="24"/>
                <w:szCs w:val="24"/>
                <w:lang w:eastAsia="zh-TW"/>
              </w:rPr>
            </w:pPr>
            <w:r>
              <w:rPr>
                <w:rFonts w:hint="eastAsia" w:ascii="仿宋_GB2312" w:hAnsi="仿宋_GB2312" w:eastAsia="仿宋_GB2312" w:cs="仿宋_GB2312"/>
                <w:bCs/>
                <w:color w:val="auto"/>
                <w:kern w:val="0"/>
                <w:sz w:val="24"/>
                <w:szCs w:val="24"/>
                <w:lang w:eastAsia="zh-TW"/>
              </w:rPr>
              <w:t>Landscape Architectural</w:t>
            </w:r>
          </w:p>
        </w:tc>
        <w:tc>
          <w:tcPr>
            <w:tcW w:w="1985" w:type="dxa"/>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不分组</w:t>
            </w:r>
          </w:p>
        </w:tc>
        <w:tc>
          <w:tcPr>
            <w:tcW w:w="4188" w:type="dxa"/>
            <w:gridSpan w:val="2"/>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风景园林工程设计专项甲级资质</w:t>
            </w:r>
          </w:p>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工程监理市政公用工程专业甲级资质</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13" w:hRule="atLeast"/>
        </w:trPr>
        <w:tc>
          <w:tcPr>
            <w:tcW w:w="2376" w:type="dxa"/>
            <w:tcBorders>
              <w:bottom w:val="single" w:color="auto" w:sz="12"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建筑测量</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ascii="Times New Roman" w:hAnsi="Times New Roman" w:eastAsia="仿宋"/>
                <w:sz w:val="24"/>
                <w:szCs w:val="24"/>
                <w:lang w:eastAsia="zh-TW"/>
              </w:rPr>
            </w:pPr>
            <w:r>
              <w:rPr>
                <w:rFonts w:hint="eastAsia" w:ascii="仿宋_GB2312" w:hAnsi="仿宋_GB2312" w:eastAsia="仿宋_GB2312" w:cs="仿宋_GB2312"/>
                <w:bCs/>
                <w:color w:val="auto"/>
                <w:kern w:val="0"/>
                <w:sz w:val="24"/>
                <w:szCs w:val="24"/>
                <w:lang w:eastAsia="zh-TW"/>
              </w:rPr>
              <w:t>Building Surveying</w:t>
            </w:r>
          </w:p>
        </w:tc>
        <w:tc>
          <w:tcPr>
            <w:tcW w:w="1985" w:type="dxa"/>
            <w:tcBorders>
              <w:bottom w:val="single" w:color="auto" w:sz="12" w:space="0"/>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不分组</w:t>
            </w:r>
          </w:p>
        </w:tc>
        <w:tc>
          <w:tcPr>
            <w:tcW w:w="4188" w:type="dxa"/>
            <w:gridSpan w:val="2"/>
            <w:tcBorders>
              <w:bottom w:val="single" w:color="auto" w:sz="12" w:space="0"/>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工程监理房屋建筑工程专业甲级资质</w:t>
            </w:r>
          </w:p>
        </w:tc>
      </w:tr>
    </w:tbl>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right"/>
        <w:textAlignment w:val="auto"/>
        <w:rPr>
          <w:rFonts w:hint="default" w:ascii="Times New Roman" w:hAnsi="Times New Roman" w:eastAsia="仿宋"/>
          <w:sz w:val="24"/>
          <w:szCs w:val="24"/>
        </w:rPr>
      </w:pPr>
      <w:r>
        <w:rPr>
          <w:rFonts w:hint="eastAsia" w:ascii="黑体" w:hAnsi="黑体" w:eastAsia="黑体" w:cs="黑体"/>
          <w:color w:val="auto"/>
          <w:kern w:val="44"/>
          <w:sz w:val="24"/>
          <w:szCs w:val="24"/>
        </w:rPr>
        <w:t>（续上）</w:t>
      </w:r>
    </w:p>
    <w:tbl>
      <w:tblPr>
        <w:tblStyle w:val="12"/>
        <w:tblW w:w="8549" w:type="dxa"/>
        <w:tblInd w:w="0" w:type="dxa"/>
        <w:tblBorders>
          <w:top w:val="single" w:color="auto" w:sz="12" w:space="0"/>
          <w:left w:val="none" w:color="auto" w:sz="0" w:space="0"/>
          <w:bottom w:val="single" w:color="auto" w:sz="12" w:space="0"/>
          <w:right w:val="none" w:color="auto" w:sz="0" w:space="0"/>
          <w:insideH w:val="none" w:color="auto" w:sz="0" w:space="0"/>
          <w:insideV w:val="dashed" w:color="auto" w:sz="4" w:space="0"/>
        </w:tblBorders>
        <w:tblLayout w:type="autofit"/>
        <w:tblCellMar>
          <w:top w:w="57" w:type="dxa"/>
          <w:left w:w="108" w:type="dxa"/>
          <w:bottom w:w="57" w:type="dxa"/>
          <w:right w:w="108" w:type="dxa"/>
        </w:tblCellMar>
      </w:tblPr>
      <w:tblGrid>
        <w:gridCol w:w="2376"/>
        <w:gridCol w:w="1985"/>
        <w:gridCol w:w="4188"/>
      </w:tblGrid>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897" w:hRule="atLeast"/>
        </w:trPr>
        <w:tc>
          <w:tcPr>
            <w:tcW w:w="2376" w:type="dxa"/>
            <w:vMerge w:val="restart"/>
            <w:tcBorders>
              <w:tl2br w:val="nil"/>
              <w:tr2bl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工料测量</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Quantity Surveying</w:t>
            </w:r>
          </w:p>
        </w:tc>
        <w:tc>
          <w:tcPr>
            <w:tcW w:w="1985" w:type="dxa"/>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第一组</w:t>
            </w:r>
          </w:p>
        </w:tc>
        <w:tc>
          <w:tcPr>
            <w:tcW w:w="4188" w:type="dxa"/>
            <w:vMerge w:val="restart"/>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内地已取消工程造价咨询企业资质，不再对工程造价咨询企业提出资质方面要求</w:t>
            </w:r>
            <w:r>
              <w:rPr>
                <w:rFonts w:hint="eastAsia" w:ascii="仿宋_GB2312" w:hAnsi="仿宋_GB2312" w:eastAsia="仿宋_GB2312" w:cs="仿宋_GB2312"/>
                <w:bCs/>
                <w:color w:val="auto"/>
                <w:kern w:val="0"/>
                <w:sz w:val="24"/>
                <w:szCs w:val="24"/>
                <w:vertAlign w:val="superscript"/>
                <w:lang w:eastAsia="zh-TW"/>
              </w:rPr>
              <w:t>2</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897" w:hRule="atLeast"/>
        </w:trPr>
        <w:tc>
          <w:tcPr>
            <w:tcW w:w="2376" w:type="dxa"/>
            <w:vMerge w:val="continue"/>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20" w:firstLineChars="200"/>
              <w:jc w:val="center"/>
              <w:textAlignment w:val="auto"/>
            </w:pPr>
          </w:p>
        </w:tc>
        <w:tc>
          <w:tcPr>
            <w:tcW w:w="1985" w:type="dxa"/>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r>
              <w:rPr>
                <w:rFonts w:hint="eastAsia" w:ascii="Times New Roman" w:hAnsi="Times New Roman" w:eastAsia="仿宋"/>
                <w:sz w:val="24"/>
                <w:szCs w:val="24"/>
                <w:lang w:eastAsia="zh-TW"/>
              </w:rPr>
              <w:t>第二组</w:t>
            </w:r>
          </w:p>
        </w:tc>
        <w:tc>
          <w:tcPr>
            <w:tcW w:w="4188" w:type="dxa"/>
            <w:vMerge w:val="continue"/>
            <w:tcBorders>
              <w:tl2br w:val="nil"/>
              <w:tr2bl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eastAsia="zh-TW"/>
              </w:rPr>
            </w:pPr>
          </w:p>
        </w:tc>
      </w:tr>
    </w:tbl>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ascii="Times New Roman" w:hAnsi="Times New Roman" w:eastAsia="仿宋"/>
          <w:sz w:val="24"/>
          <w:szCs w:val="24"/>
        </w:rPr>
      </w:pPr>
    </w:p>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textAlignment w:val="auto"/>
        <w:rPr>
          <w:rFonts w:ascii="Times New Roman" w:hAnsi="Times New Roman" w:eastAsia="仿宋"/>
          <w:sz w:val="28"/>
          <w:szCs w:val="28"/>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1</w:t>
      </w:r>
      <w:r>
        <w:rPr>
          <w:rFonts w:hint="eastAsia" w:ascii="仿宋_GB2312" w:hAnsi="仿宋_GB2312" w:eastAsia="仿宋_GB2312" w:cs="仿宋_GB2312"/>
          <w:bCs/>
          <w:color w:val="auto"/>
          <w:kern w:val="0"/>
          <w:sz w:val="24"/>
          <w:szCs w:val="24"/>
          <w:lang w:eastAsia="zh-TW"/>
        </w:rPr>
        <w:t>：AACSB名册及分组规定参照香港建筑署网页为准：</w:t>
      </w:r>
    </w:p>
    <w:p>
      <w:pPr>
        <w:keepNext w:val="0"/>
        <w:keepLines w:val="0"/>
        <w:pageBreakBefore w:val="0"/>
        <w:widowControl/>
        <w:kinsoku/>
        <w:overflowPunct/>
        <w:topLinePunct w:val="0"/>
        <w:autoSpaceDE/>
        <w:autoSpaceDN/>
        <w:bidi w:val="0"/>
        <w:adjustRightInd/>
        <w:snapToGri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u w:val="single"/>
          <w:lang w:eastAsia="zh-TW"/>
        </w:rPr>
      </w:pPr>
      <w:r>
        <w:rPr>
          <w:rFonts w:hint="eastAsia" w:ascii="仿宋_GB2312" w:hAnsi="仿宋_GB2312" w:eastAsia="仿宋_GB2312" w:cs="仿宋_GB2312"/>
          <w:bCs/>
          <w:color w:val="auto"/>
          <w:kern w:val="0"/>
          <w:sz w:val="24"/>
          <w:szCs w:val="24"/>
          <w:u w:val="single"/>
          <w:lang w:eastAsia="zh-TW"/>
        </w:rPr>
        <w:fldChar w:fldCharType="begin"/>
      </w:r>
      <w:r>
        <w:rPr>
          <w:rFonts w:hint="eastAsia" w:ascii="仿宋_GB2312" w:hAnsi="仿宋_GB2312" w:eastAsia="仿宋_GB2312" w:cs="仿宋_GB2312"/>
          <w:bCs/>
          <w:color w:val="auto"/>
          <w:kern w:val="0"/>
          <w:sz w:val="24"/>
          <w:szCs w:val="24"/>
          <w:u w:val="single"/>
          <w:lang w:eastAsia="zh-TW"/>
        </w:rPr>
        <w:instrText xml:space="preserve"> HYPERLINK "https://sc.archsd.gov.hk/utf8/www.archsd.gov.hk/tc/consultants-contractors/consultants/list-of-consultants-of-aacsb/who-have-been-included.aspx?lang=sc" </w:instrText>
      </w:r>
      <w:r>
        <w:rPr>
          <w:rFonts w:hint="eastAsia" w:ascii="仿宋_GB2312" w:hAnsi="仿宋_GB2312" w:eastAsia="仿宋_GB2312" w:cs="仿宋_GB2312"/>
          <w:bCs/>
          <w:color w:val="auto"/>
          <w:kern w:val="0"/>
          <w:sz w:val="24"/>
          <w:szCs w:val="24"/>
          <w:u w:val="single"/>
          <w:lang w:eastAsia="zh-TW"/>
        </w:rPr>
        <w:fldChar w:fldCharType="separate"/>
      </w:r>
      <w:r>
        <w:rPr>
          <w:rStyle w:val="13"/>
          <w:rFonts w:hint="eastAsia" w:ascii="仿宋_GB2312" w:hAnsi="仿宋_GB2312" w:eastAsia="仿宋_GB2312" w:cs="仿宋_GB2312"/>
          <w:bCs/>
          <w:color w:val="auto"/>
          <w:kern w:val="0"/>
          <w:sz w:val="24"/>
          <w:szCs w:val="24"/>
          <w:u w:val="single"/>
          <w:lang w:eastAsia="zh-TW"/>
        </w:rPr>
        <w:t>https://sc.archsd.gov.hk/utf8/www.archsd.gov.hk/tc/consultants-contractors/consultants/list-of-consultants-of-aacsb/who-have-been-included.aspx?lang=sc</w:t>
      </w:r>
      <w:r>
        <w:rPr>
          <w:rStyle w:val="13"/>
          <w:rFonts w:hint="eastAsia" w:ascii="仿宋_GB2312" w:hAnsi="仿宋_GB2312" w:eastAsia="仿宋_GB2312" w:cs="仿宋_GB2312"/>
          <w:bCs/>
          <w:color w:val="auto"/>
          <w:kern w:val="0"/>
          <w:sz w:val="24"/>
          <w:szCs w:val="24"/>
          <w:u w:val="single"/>
          <w:lang w:eastAsia="zh-TW"/>
        </w:rPr>
        <w:fldChar w:fldCharType="end"/>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2</w:t>
      </w:r>
      <w:r>
        <w:rPr>
          <w:rFonts w:hint="eastAsia" w:ascii="仿宋_GB2312" w:hAnsi="仿宋_GB2312" w:eastAsia="仿宋_GB2312" w:cs="仿宋_GB2312"/>
          <w:bCs/>
          <w:color w:val="auto"/>
          <w:kern w:val="0"/>
          <w:sz w:val="24"/>
          <w:szCs w:val="24"/>
          <w:lang w:eastAsia="zh-TW"/>
        </w:rPr>
        <w:t>：详见《国务院关于取消一批行政许可事项的决定》</w:t>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3</w:t>
      </w:r>
      <w:r>
        <w:rPr>
          <w:rFonts w:hint="eastAsia" w:ascii="仿宋_GB2312" w:hAnsi="仿宋_GB2312" w:eastAsia="仿宋_GB2312" w:cs="仿宋_GB2312"/>
          <w:bCs/>
          <w:color w:val="auto"/>
          <w:kern w:val="0"/>
          <w:sz w:val="24"/>
          <w:szCs w:val="24"/>
          <w:lang w:eastAsia="zh-TW"/>
        </w:rPr>
        <w:t>：通过对标清单取得建筑设计、结构工程设计以及机电设计事务所甲级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如，取得建筑设计事务所甲级资质的专业机构可以将结构工程设计以及机电设计分包给其他有资质机构。</w:t>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4</w:t>
      </w:r>
      <w:r>
        <w:rPr>
          <w:rFonts w:hint="eastAsia" w:ascii="仿宋_GB2312" w:hAnsi="仿宋_GB2312" w:eastAsia="仿宋_GB2312" w:cs="仿宋_GB2312"/>
          <w:bCs/>
          <w:color w:val="auto"/>
          <w:kern w:val="0"/>
          <w:sz w:val="24"/>
          <w:szCs w:val="24"/>
          <w:lang w:eastAsia="zh-TW"/>
        </w:rPr>
        <w:t xml:space="preserve">：在投标阶段，投标单位可自行组成联合体投标，且其中至少一家投标单位已获得相应的专业资质备案。若联合体投标单位同时包含建筑、结构工程以及屋宇装备专业，可 参与需要具备工程设计建筑行业甲级资质的工程项目投标。若联合体被确认为相应工程项目的中标单位，则其成员单位均需在确定承接工程后的2个月内，申请办理并完成相关的资质备案手续。 </w:t>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5</w:t>
      </w:r>
      <w:r>
        <w:rPr>
          <w:rFonts w:hint="eastAsia" w:ascii="仿宋_GB2312" w:hAnsi="仿宋_GB2312" w:eastAsia="仿宋_GB2312" w:cs="仿宋_GB2312"/>
          <w:bCs/>
          <w:color w:val="auto"/>
          <w:kern w:val="0"/>
          <w:sz w:val="24"/>
          <w:szCs w:val="24"/>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widowControl/>
        <w:kinsoku/>
        <w:overflowPunct/>
        <w:topLinePunct w:val="0"/>
        <w:autoSpaceDE/>
        <w:autoSpaceDN/>
        <w:bidi w:val="0"/>
        <w:adjustRightInd/>
        <w:snapToGrid w:val="0"/>
        <w:spacing w:after="0" w:afterLines="0" w:line="560" w:lineRule="exact"/>
        <w:ind w:left="0" w:right="0" w:rightChars="0" w:firstLine="560" w:firstLineChars="200"/>
        <w:jc w:val="both"/>
        <w:textAlignment w:val="auto"/>
        <w:rPr>
          <w:rFonts w:hint="eastAsia" w:ascii="黑体" w:hAnsi="黑体" w:eastAsia="黑体" w:cs="黑体"/>
          <w:color w:val="auto"/>
          <w:kern w:val="44"/>
          <w:sz w:val="28"/>
          <w:szCs w:val="28"/>
        </w:rPr>
      </w:pPr>
      <w:r>
        <w:rPr>
          <w:rFonts w:ascii="Times New Roman" w:hAnsi="Times New Roman" w:eastAsia="仿宋"/>
          <w:kern w:val="0"/>
          <w:sz w:val="28"/>
          <w:szCs w:val="28"/>
        </w:rPr>
        <w:br w:type="page"/>
      </w:r>
      <w:r>
        <w:rPr>
          <w:rFonts w:hint="eastAsia" w:ascii="仿宋_GB2312" w:hAnsi="仿宋_GB2312" w:eastAsia="仿宋_GB2312" w:cs="仿宋_GB2312"/>
          <w:b/>
          <w:bCs w:val="0"/>
          <w:color w:val="auto"/>
          <w:kern w:val="0"/>
          <w:sz w:val="28"/>
          <w:szCs w:val="28"/>
        </w:rPr>
        <w:t>附件1-2</w:t>
      </w:r>
      <w:r>
        <w:rPr>
          <w:rFonts w:hint="default" w:ascii="仿宋_GB2312" w:hAnsi="仿宋_GB2312" w:eastAsia="仿宋_GB2312" w:cs="仿宋_GB2312"/>
          <w:b/>
          <w:bCs w:val="0"/>
          <w:color w:val="auto"/>
          <w:kern w:val="0"/>
          <w:sz w:val="28"/>
          <w:szCs w:val="28"/>
        </w:rPr>
        <w:t xml:space="preserve"> </w:t>
      </w:r>
      <w:r>
        <w:rPr>
          <w:rFonts w:hint="eastAsia" w:ascii="仿宋_GB2312" w:hAnsi="仿宋_GB2312" w:eastAsia="仿宋_GB2312" w:cs="仿宋_GB2312"/>
          <w:bCs/>
          <w:color w:val="auto"/>
          <w:kern w:val="0"/>
          <w:sz w:val="28"/>
          <w:szCs w:val="28"/>
        </w:rPr>
        <w:t>香港工程设计及有关顾问公司遴选委员会顾问公司名单（The List of Consultants of Engineering &amp; Associated Consultants Selection Board，EACSB名单）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770"/>
        <w:gridCol w:w="1984"/>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blHeader/>
          <w:jc w:val="center"/>
        </w:trPr>
        <w:tc>
          <w:tcPr>
            <w:tcW w:w="4754" w:type="dxa"/>
            <w:gridSpan w:val="2"/>
            <w:tcBorders>
              <w:top w:val="single" w:color="auto" w:sz="12" w:space="0"/>
              <w:left w:val="nil"/>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eastAsia="zh-CN"/>
              </w:rPr>
            </w:pPr>
            <w:r>
              <w:rPr>
                <w:rFonts w:hint="eastAsia" w:ascii="黑体" w:hAnsi="黑体" w:eastAsia="黑体" w:cs="黑体"/>
                <w:b w:val="0"/>
                <w:color w:val="auto"/>
                <w:kern w:val="44"/>
                <w:sz w:val="24"/>
                <w:szCs w:val="24"/>
                <w:lang w:val="en-GB" w:eastAsia="zh-CN"/>
              </w:rPr>
              <w:t>EACSB名单分类</w:t>
            </w:r>
          </w:p>
        </w:tc>
        <w:tc>
          <w:tcPr>
            <w:tcW w:w="3628" w:type="dxa"/>
            <w:vMerge w:val="restart"/>
            <w:tcBorders>
              <w:top w:val="single" w:color="auto" w:sz="12" w:space="0"/>
              <w:left w:val="double" w:color="auto" w:sz="4" w:space="0"/>
              <w:bottom w:val="single" w:color="auto" w:sz="12" w:space="0"/>
              <w:right w:val="nil"/>
            </w:tcBorders>
            <w:vAlign w:val="center"/>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ascii="Times New Roman" w:hAnsi="Times New Roman" w:eastAsia="仿宋"/>
                <w:b/>
                <w:sz w:val="24"/>
                <w:szCs w:val="24"/>
                <w:lang w:val="en-GB" w:eastAsia="zh-TW"/>
              </w:rPr>
            </w:pPr>
            <w:r>
              <w:rPr>
                <w:rFonts w:hint="eastAsia" w:ascii="黑体" w:hAnsi="黑体" w:eastAsia="黑体" w:cs="黑体"/>
                <w:b w:val="0"/>
                <w:color w:val="auto"/>
                <w:kern w:val="44"/>
                <w:sz w:val="24"/>
                <w:szCs w:val="24"/>
                <w:lang w:val="en-GB" w:eastAsia="zh-CN"/>
              </w:rPr>
              <w:t>对应内地企业资质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blHeader/>
          <w:jc w:val="center"/>
        </w:trPr>
        <w:tc>
          <w:tcPr>
            <w:tcW w:w="2770" w:type="dxa"/>
            <w:tcBorders>
              <w:top w:val="dotted" w:color="auto" w:sz="4" w:space="0"/>
              <w:left w:val="nil"/>
              <w:bottom w:val="single" w:color="auto" w:sz="12"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eastAsia="zh-CN"/>
              </w:rPr>
            </w:pPr>
            <w:r>
              <w:rPr>
                <w:rFonts w:hint="eastAsia" w:ascii="黑体" w:hAnsi="黑体" w:eastAsia="黑体" w:cs="黑体"/>
                <w:b w:val="0"/>
                <w:color w:val="auto"/>
                <w:kern w:val="44"/>
                <w:sz w:val="24"/>
                <w:szCs w:val="24"/>
                <w:lang w:val="en-GB" w:eastAsia="zh-CN"/>
              </w:rPr>
              <w:t>类别（Category）</w:t>
            </w:r>
          </w:p>
        </w:tc>
        <w:tc>
          <w:tcPr>
            <w:tcW w:w="1984" w:type="dxa"/>
            <w:tcBorders>
              <w:top w:val="dotted" w:color="auto" w:sz="4" w:space="0"/>
              <w:left w:val="dotted" w:color="auto" w:sz="4" w:space="0"/>
              <w:bottom w:val="single" w:color="auto" w:sz="12"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eastAsia="zh-CN"/>
              </w:rPr>
            </w:pPr>
            <w:r>
              <w:rPr>
                <w:rFonts w:hint="eastAsia" w:ascii="黑体" w:hAnsi="黑体" w:eastAsia="黑体" w:cs="黑体"/>
                <w:b w:val="0"/>
                <w:color w:val="auto"/>
                <w:kern w:val="44"/>
                <w:sz w:val="24"/>
                <w:szCs w:val="24"/>
                <w:lang w:val="en-GB" w:eastAsia="zh-CN"/>
              </w:rPr>
              <w:t>组别</w:t>
            </w:r>
            <w:r>
              <w:rPr>
                <w:rFonts w:hint="eastAsia" w:ascii="黑体" w:hAnsi="黑体" w:eastAsia="黑体" w:cs="黑体"/>
                <w:b w:val="0"/>
                <w:color w:val="auto"/>
                <w:kern w:val="44"/>
                <w:sz w:val="24"/>
                <w:szCs w:val="24"/>
                <w:vertAlign w:val="superscript"/>
                <w:lang w:val="en-GB" w:eastAsia="zh-CN"/>
              </w:rPr>
              <w:t>1</w:t>
            </w:r>
            <w:r>
              <w:rPr>
                <w:rFonts w:hint="eastAsia" w:ascii="黑体" w:hAnsi="黑体" w:eastAsia="黑体" w:cs="黑体"/>
                <w:b w:val="0"/>
                <w:color w:val="auto"/>
                <w:kern w:val="44"/>
                <w:sz w:val="24"/>
                <w:szCs w:val="24"/>
                <w:lang w:val="en-GB" w:eastAsia="zh-CN"/>
              </w:rPr>
              <w:t>（Band）</w:t>
            </w:r>
          </w:p>
        </w:tc>
        <w:tc>
          <w:tcPr>
            <w:tcW w:w="3628" w:type="dxa"/>
            <w:vMerge w:val="continue"/>
            <w:tcBorders>
              <w:top w:val="single" w:color="auto" w:sz="12" w:space="0"/>
              <w:left w:val="double" w:color="auto" w:sz="4" w:space="0"/>
              <w:bottom w:val="single" w:color="auto" w:sz="12" w:space="0"/>
              <w:right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2" w:firstLineChars="200"/>
              <w:jc w:val="left"/>
              <w:textAlignment w:val="auto"/>
              <w:rPr>
                <w:rFonts w:ascii="Times New Roman" w:hAnsi="Times New Roman" w:eastAsia="仿宋"/>
                <w:b/>
                <w:sz w:val="24"/>
                <w:szCs w:val="24"/>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770" w:type="dxa"/>
            <w:vMerge w:val="restart"/>
            <w:tcBorders>
              <w:top w:val="single" w:color="auto" w:sz="12"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基建及发展</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ascii="Times New Roman" w:hAnsi="Times New Roman" w:eastAsia="仿宋"/>
                <w:sz w:val="24"/>
                <w:szCs w:val="24"/>
                <w:lang w:val="en-GB" w:eastAsia="zh-TW"/>
              </w:rPr>
            </w:pPr>
            <w:r>
              <w:rPr>
                <w:rFonts w:hint="eastAsia" w:ascii="仿宋_GB2312" w:hAnsi="仿宋_GB2312" w:eastAsia="仿宋_GB2312" w:cs="仿宋_GB2312"/>
                <w:bCs/>
                <w:color w:val="auto"/>
                <w:kern w:val="0"/>
                <w:sz w:val="24"/>
                <w:szCs w:val="24"/>
                <w:lang w:val="en-GB" w:eastAsia="zh-TW"/>
              </w:rPr>
              <w:t>Civil Infrastructure and Development (CE)</w:t>
            </w:r>
          </w:p>
        </w:tc>
        <w:tc>
          <w:tcPr>
            <w:tcW w:w="1984" w:type="dxa"/>
            <w:tcBorders>
              <w:top w:val="single" w:color="auto" w:sz="12"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single" w:color="auto" w:sz="12"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eastAsia="zh-TW"/>
              </w:rPr>
              <w:t>工程设计</w:t>
            </w:r>
            <w:r>
              <w:rPr>
                <w:rFonts w:hint="eastAsia" w:ascii="仿宋_GB2312" w:hAnsi="仿宋_GB2312" w:eastAsia="仿宋_GB2312" w:cs="仿宋_GB2312"/>
                <w:bCs/>
                <w:color w:val="auto"/>
                <w:kern w:val="0"/>
                <w:sz w:val="24"/>
                <w:szCs w:val="24"/>
                <w:lang w:val="en-GB" w:eastAsia="zh-TW"/>
              </w:rPr>
              <w:t>市政</w:t>
            </w:r>
            <w:r>
              <w:rPr>
                <w:rFonts w:hint="eastAsia" w:ascii="仿宋_GB2312" w:hAnsi="仿宋_GB2312" w:eastAsia="仿宋_GB2312" w:cs="仿宋_GB2312"/>
                <w:bCs/>
                <w:color w:val="auto"/>
                <w:kern w:val="0"/>
                <w:sz w:val="24"/>
                <w:szCs w:val="24"/>
                <w:lang w:eastAsia="zh-TW"/>
              </w:rPr>
              <w:t>行业</w:t>
            </w:r>
            <w:r>
              <w:rPr>
                <w:rFonts w:hint="eastAsia" w:ascii="仿宋_GB2312" w:hAnsi="仿宋_GB2312" w:eastAsia="仿宋_GB2312" w:cs="仿宋_GB2312"/>
                <w:bCs/>
                <w:color w:val="auto"/>
                <w:kern w:val="0"/>
                <w:sz w:val="24"/>
                <w:szCs w:val="24"/>
                <w:lang w:val="en-GB" w:eastAsia="zh-TW"/>
              </w:rPr>
              <w:t>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0" w:type="auto"/>
            <w:vMerge w:val="continue"/>
            <w:tcBorders>
              <w:top w:val="single" w:color="auto" w:sz="12"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lang w:val="en-GB"/>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eastAsia="zh-TW"/>
              </w:rPr>
              <w:t>工程设计</w:t>
            </w:r>
            <w:r>
              <w:rPr>
                <w:rFonts w:hint="eastAsia" w:ascii="仿宋_GB2312" w:hAnsi="仿宋_GB2312" w:eastAsia="仿宋_GB2312" w:cs="仿宋_GB2312"/>
                <w:bCs/>
                <w:color w:val="auto"/>
                <w:kern w:val="0"/>
                <w:sz w:val="24"/>
                <w:szCs w:val="24"/>
                <w:lang w:val="en-GB" w:eastAsia="zh-TW"/>
              </w:rPr>
              <w:t>市政</w:t>
            </w:r>
            <w:r>
              <w:rPr>
                <w:rFonts w:hint="eastAsia" w:ascii="仿宋_GB2312" w:hAnsi="仿宋_GB2312" w:eastAsia="仿宋_GB2312" w:cs="仿宋_GB2312"/>
                <w:bCs/>
                <w:color w:val="auto"/>
                <w:kern w:val="0"/>
                <w:sz w:val="24"/>
                <w:szCs w:val="24"/>
                <w:lang w:eastAsia="zh-TW"/>
              </w:rPr>
              <w:t>行业</w:t>
            </w:r>
            <w:r>
              <w:rPr>
                <w:rFonts w:hint="eastAsia" w:ascii="仿宋_GB2312" w:hAnsi="仿宋_GB2312" w:eastAsia="仿宋_GB2312" w:cs="仿宋_GB2312"/>
                <w:bCs/>
                <w:color w:val="auto"/>
                <w:kern w:val="0"/>
                <w:sz w:val="24"/>
                <w:szCs w:val="24"/>
                <w:lang w:val="en-GB" w:eastAsia="zh-TW"/>
              </w:rPr>
              <w:t>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0" w:type="auto"/>
            <w:vMerge w:val="continue"/>
            <w:tcBorders>
              <w:top w:val="single" w:color="auto" w:sz="12"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lang w:val="en-GB"/>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第三组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eastAsia="zh-TW"/>
              </w:rPr>
              <w:t>工程设计</w:t>
            </w:r>
            <w:r>
              <w:rPr>
                <w:rFonts w:hint="eastAsia" w:ascii="仿宋_GB2312" w:hAnsi="仿宋_GB2312" w:eastAsia="仿宋_GB2312" w:cs="仿宋_GB2312"/>
                <w:bCs/>
                <w:color w:val="auto"/>
                <w:kern w:val="0"/>
                <w:sz w:val="24"/>
                <w:szCs w:val="24"/>
                <w:lang w:val="en-GB" w:eastAsia="zh-TW"/>
              </w:rPr>
              <w:t>市政</w:t>
            </w:r>
            <w:r>
              <w:rPr>
                <w:rFonts w:hint="eastAsia" w:ascii="仿宋_GB2312" w:hAnsi="仿宋_GB2312" w:eastAsia="仿宋_GB2312" w:cs="仿宋_GB2312"/>
                <w:bCs/>
                <w:color w:val="auto"/>
                <w:kern w:val="0"/>
                <w:sz w:val="24"/>
                <w:szCs w:val="24"/>
                <w:lang w:eastAsia="zh-TW"/>
              </w:rPr>
              <w:t>行业</w:t>
            </w:r>
            <w:r>
              <w:rPr>
                <w:rFonts w:hint="eastAsia" w:ascii="仿宋_GB2312" w:hAnsi="仿宋_GB2312" w:eastAsia="仿宋_GB2312" w:cs="仿宋_GB2312"/>
                <w:bCs/>
                <w:color w:val="auto"/>
                <w:kern w:val="0"/>
                <w:sz w:val="24"/>
                <w:szCs w:val="24"/>
                <w:lang w:val="en-GB" w:eastAsia="zh-TW"/>
              </w:rPr>
              <w:t>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770" w:type="dxa"/>
            <w:vMerge w:val="restart"/>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排水及污水</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Drainage and</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Sewerage (DS)</w:t>
            </w: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市政行业排水工程专业</w:t>
            </w:r>
            <w:r>
              <w:rPr>
                <w:rFonts w:hint="eastAsia" w:ascii="仿宋_GB2312" w:hAnsi="仿宋_GB2312" w:eastAsia="仿宋_GB2312" w:cs="仿宋_GB2312"/>
                <w:bCs/>
                <w:color w:val="auto"/>
                <w:kern w:val="0"/>
                <w:sz w:val="24"/>
                <w:szCs w:val="24"/>
                <w:lang w:eastAsia="zh-TW"/>
              </w:rPr>
              <w:t>丙</w:t>
            </w:r>
            <w:r>
              <w:rPr>
                <w:rFonts w:hint="eastAsia" w:ascii="仿宋_GB2312" w:hAnsi="仿宋_GB2312" w:eastAsia="仿宋_GB2312" w:cs="仿宋_GB2312"/>
                <w:bCs/>
                <w:color w:val="auto"/>
                <w:kern w:val="0"/>
                <w:sz w:val="24"/>
                <w:szCs w:val="24"/>
                <w:lang w:val="en-GB" w:eastAsia="zh-TW"/>
              </w:rPr>
              <w:t>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市政行业排水工程专业乙级资质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第三组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市政行业排水工程专业甲级资质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2770" w:type="dxa"/>
            <w:vMerge w:val="restart"/>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机电</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Electrical and</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Mechanical (EM)</w:t>
            </w: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机电设计事务所甲级资质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机电安装工程监理甲级资质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机电设计事务所甲级资质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机电安装工程监理甲级资质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770" w:type="dxa"/>
            <w:vMerge w:val="restart"/>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环境</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Environmental (EP)</w:t>
            </w: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环境工程设计专项乙级资质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环境工程设计专项甲级资质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770" w:type="dxa"/>
            <w:vMerge w:val="restart"/>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岩土和斜坡</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Geotechnical and</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Slope (GE)</w:t>
            </w: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工程勘察岩土工程专业乙级资质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工程勘察岩土工程专业乙级资质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第三组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工程勘察岩土工程专业甲级资质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770" w:type="dxa"/>
            <w:vMerge w:val="restart"/>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道路和相关结构</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Roads and Associated</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Structures (HY)</w:t>
            </w: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市政行业道路工程专业丙级资质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市政行业道路工程专业乙级资质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第三组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市政行业道路工程专业甲级资质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95" w:hRule="atLeast"/>
          <w:jc w:val="center"/>
        </w:trPr>
        <w:tc>
          <w:tcPr>
            <w:tcW w:w="2770" w:type="dxa"/>
            <w:vMerge w:val="restart"/>
            <w:tcBorders>
              <w:top w:val="dotted" w:color="auto" w:sz="4" w:space="0"/>
              <w:left w:val="nil"/>
              <w:bottom w:val="single" w:color="auto" w:sz="12" w:space="0"/>
              <w:right w:val="dotted" w:color="auto" w:sz="4" w:space="0"/>
            </w:tcBorders>
            <w:vAlign w:val="center"/>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城市规划</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Town Planning (TP)</w:t>
            </w: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乙级城乡规划编制单位资质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2" w:hRule="atLeast"/>
          <w:jc w:val="center"/>
        </w:trPr>
        <w:tc>
          <w:tcPr>
            <w:tcW w:w="0" w:type="auto"/>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甲级城乡规划编制单位资质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770" w:type="dxa"/>
            <w:vMerge w:val="restart"/>
            <w:tcBorders>
              <w:top w:val="dotted" w:color="auto" w:sz="4" w:space="0"/>
              <w:left w:val="nil"/>
              <w:right w:val="dotted" w:color="auto" w:sz="4" w:space="0"/>
            </w:tcBorders>
            <w:vAlign w:val="center"/>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交通运输</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Traffic and Transport (TT)</w:t>
            </w: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市政行业公共交通工程专业乙级资质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770" w:type="dxa"/>
            <w:vMerge w:val="continue"/>
            <w:tcBorders>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lang w:val="en-GB"/>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市政行业公共交通工程专业甲级资质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770" w:type="dxa"/>
            <w:vMerge w:val="restart"/>
            <w:tcBorders>
              <w:top w:val="dotted" w:color="auto" w:sz="4" w:space="0"/>
              <w:left w:val="nil"/>
              <w:right w:val="dotted" w:color="auto" w:sz="4" w:space="0"/>
            </w:tcBorders>
            <w:vAlign w:val="center"/>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水务</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Waterworks (WS)</w:t>
            </w: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第一组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市政行业给/排水工程专业丙级资质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770" w:type="dxa"/>
            <w:vMerge w:val="continue"/>
            <w:tcBorders>
              <w:left w:val="nil"/>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984"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第二组</w:t>
            </w:r>
          </w:p>
        </w:tc>
        <w:tc>
          <w:tcPr>
            <w:tcW w:w="3628" w:type="dxa"/>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市政行业给/排水工程专业乙级资质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770" w:type="dxa"/>
            <w:vMerge w:val="continue"/>
            <w:tcBorders>
              <w:left w:val="nil"/>
              <w:bottom w:val="single" w:color="auto" w:sz="12"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lang w:val="en-GB"/>
              </w:rPr>
            </w:pPr>
          </w:p>
        </w:tc>
        <w:tc>
          <w:tcPr>
            <w:tcW w:w="1984" w:type="dxa"/>
            <w:tcBorders>
              <w:top w:val="dotted" w:color="auto" w:sz="4" w:space="0"/>
              <w:left w:val="dotted" w:color="auto" w:sz="4" w:space="0"/>
              <w:bottom w:val="single" w:color="auto" w:sz="12"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第三组</w:t>
            </w:r>
          </w:p>
        </w:tc>
        <w:tc>
          <w:tcPr>
            <w:tcW w:w="3628" w:type="dxa"/>
            <w:tcBorders>
              <w:top w:val="dotted" w:color="auto" w:sz="4" w:space="0"/>
              <w:left w:val="double" w:color="auto" w:sz="4" w:space="0"/>
              <w:bottom w:val="single" w:color="auto" w:sz="12"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市政行业给/排水工程专业甲级资质</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市政公用工程监理甲级资质</w:t>
            </w:r>
          </w:p>
        </w:tc>
      </w:tr>
    </w:tbl>
    <w:p>
      <w:pPr>
        <w:keepNext w:val="0"/>
        <w:keepLines w:val="0"/>
        <w:pageBreakBefore w:val="0"/>
        <w:kinsoku/>
        <w:overflowPunct/>
        <w:topLinePunct w:val="0"/>
        <w:autoSpaceDE/>
        <w:autoSpaceDN/>
        <w:bidi w:val="0"/>
        <w:adjustRightInd/>
        <w:snapToGrid w:val="0"/>
        <w:spacing w:afterLines="0" w:line="560" w:lineRule="exact"/>
        <w:ind w:left="0" w:right="0" w:rightChars="0" w:firstLine="560" w:firstLineChars="200"/>
        <w:textAlignment w:val="auto"/>
        <w:rPr>
          <w:rFonts w:ascii="Times New Roman" w:hAnsi="Times New Roman" w:eastAsia="仿宋"/>
          <w:sz w:val="28"/>
          <w:szCs w:val="28"/>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kern w:val="0"/>
          <w:sz w:val="28"/>
          <w:szCs w:val="28"/>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1</w:t>
      </w:r>
      <w:r>
        <w:rPr>
          <w:rFonts w:hint="eastAsia" w:ascii="仿宋_GB2312" w:hAnsi="仿宋_GB2312" w:eastAsia="仿宋_GB2312" w:cs="仿宋_GB2312"/>
          <w:bCs/>
          <w:color w:val="auto"/>
          <w:kern w:val="0"/>
          <w:sz w:val="24"/>
          <w:szCs w:val="24"/>
          <w:lang w:eastAsia="zh-TW"/>
        </w:rPr>
        <w:t>：EACSB名册及分组规定参照香港土木工程拓展署网页为准：</w:t>
      </w:r>
      <w:r>
        <w:rPr>
          <w:rFonts w:hint="eastAsia" w:ascii="仿宋_GB2312" w:hAnsi="仿宋_GB2312" w:eastAsia="仿宋_GB2312" w:cs="仿宋_GB2312"/>
          <w:bCs/>
          <w:color w:val="auto"/>
          <w:kern w:val="0"/>
          <w:sz w:val="24"/>
          <w:szCs w:val="24"/>
          <w:u w:val="single"/>
          <w:lang w:eastAsia="zh-TW"/>
        </w:rPr>
        <w:fldChar w:fldCharType="begin"/>
      </w:r>
      <w:r>
        <w:rPr>
          <w:rFonts w:hint="eastAsia" w:ascii="仿宋_GB2312" w:hAnsi="仿宋_GB2312" w:eastAsia="仿宋_GB2312" w:cs="仿宋_GB2312"/>
          <w:bCs/>
          <w:color w:val="auto"/>
          <w:kern w:val="0"/>
          <w:sz w:val="24"/>
          <w:szCs w:val="24"/>
          <w:u w:val="single"/>
          <w:lang w:eastAsia="zh-TW"/>
        </w:rPr>
        <w:instrText xml:space="preserve"> HYPERLINK "https://www.cedd.gov.hk/sc/publications/eacsb-handbook/index.html" </w:instrText>
      </w:r>
      <w:r>
        <w:rPr>
          <w:rFonts w:hint="eastAsia" w:ascii="仿宋_GB2312" w:hAnsi="仿宋_GB2312" w:eastAsia="仿宋_GB2312" w:cs="仿宋_GB2312"/>
          <w:bCs/>
          <w:color w:val="auto"/>
          <w:kern w:val="0"/>
          <w:sz w:val="24"/>
          <w:szCs w:val="24"/>
          <w:u w:val="single"/>
          <w:lang w:eastAsia="zh-TW"/>
        </w:rPr>
        <w:fldChar w:fldCharType="separate"/>
      </w:r>
      <w:r>
        <w:rPr>
          <w:rStyle w:val="13"/>
          <w:rFonts w:hint="eastAsia" w:ascii="仿宋_GB2312" w:hAnsi="仿宋_GB2312" w:eastAsia="仿宋_GB2312" w:cs="仿宋_GB2312"/>
          <w:bCs/>
          <w:color w:val="auto"/>
          <w:kern w:val="0"/>
          <w:sz w:val="24"/>
          <w:szCs w:val="24"/>
          <w:u w:val="single"/>
          <w:lang w:eastAsia="zh-TW"/>
        </w:rPr>
        <w:t>https://www.cedd.gov.hk/sc/publications/eacsb-handbook/index.html</w:t>
      </w:r>
      <w:r>
        <w:rPr>
          <w:rStyle w:val="13"/>
          <w:rFonts w:hint="eastAsia" w:ascii="仿宋_GB2312" w:hAnsi="仿宋_GB2312" w:eastAsia="仿宋_GB2312" w:cs="仿宋_GB2312"/>
          <w:bCs/>
          <w:color w:val="auto"/>
          <w:kern w:val="0"/>
          <w:sz w:val="24"/>
          <w:szCs w:val="24"/>
          <w:u w:val="single"/>
          <w:lang w:eastAsia="zh-TW"/>
        </w:rPr>
        <w:fldChar w:fldCharType="end"/>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2</w:t>
      </w:r>
      <w:r>
        <w:rPr>
          <w:rFonts w:hint="eastAsia" w:ascii="仿宋_GB2312" w:hAnsi="仿宋_GB2312" w:eastAsia="仿宋_GB2312" w:cs="仿宋_GB2312"/>
          <w:bCs/>
          <w:color w:val="auto"/>
          <w:kern w:val="0"/>
          <w:sz w:val="24"/>
          <w:szCs w:val="24"/>
          <w:lang w:eastAsia="zh-TW"/>
        </w:rPr>
        <w:t>：通过对标清单取得建筑设计、结构工程设计以及机电设计事务所甲级资质的企业，可以根据工程的类别和性质作为承包方对建筑工程项目的设计实行总包。承包方应当自行完成建筑工程本专业的设计业务，并在保证整个建筑工</w:t>
      </w:r>
      <w:r>
        <w:rPr>
          <w:rFonts w:hint="eastAsia" w:ascii="Times New Roman" w:hAnsi="Times New Roman" w:eastAsia="仿宋"/>
          <w:sz w:val="24"/>
          <w:szCs w:val="24"/>
        </w:rPr>
        <w:t>程</w:t>
      </w:r>
      <w:r>
        <w:rPr>
          <w:rFonts w:hint="eastAsia" w:ascii="仿宋_GB2312" w:hAnsi="仿宋_GB2312" w:eastAsia="仿宋_GB2312" w:cs="仿宋_GB2312"/>
          <w:bCs/>
          <w:color w:val="auto"/>
          <w:kern w:val="0"/>
          <w:sz w:val="24"/>
          <w:szCs w:val="24"/>
          <w:lang w:eastAsia="zh-TW"/>
        </w:rPr>
        <w:t>项目完整性的前提下，经发包方同意，将其他部分专业设计业务发包给具有相应资质的分包方。如，取得机电设计事务所甲级资质的专业机构可以将建筑工程设计以及结构设计分包给其他有资质机构。注</w:t>
      </w:r>
      <w:r>
        <w:rPr>
          <w:rFonts w:hint="eastAsia" w:ascii="仿宋_GB2312" w:hAnsi="仿宋_GB2312" w:eastAsia="仿宋_GB2312" w:cs="仿宋_GB2312"/>
          <w:bCs/>
          <w:color w:val="auto"/>
          <w:kern w:val="0"/>
          <w:sz w:val="24"/>
          <w:szCs w:val="24"/>
          <w:vertAlign w:val="baseline"/>
          <w:lang w:eastAsia="zh-TW"/>
        </w:rPr>
        <w:t>3</w:t>
      </w:r>
      <w:r>
        <w:rPr>
          <w:rFonts w:hint="eastAsia" w:ascii="仿宋_GB2312" w:hAnsi="仿宋_GB2312" w:eastAsia="仿宋_GB2312" w:cs="仿宋_GB2312"/>
          <w:bCs/>
          <w:color w:val="auto"/>
          <w:kern w:val="0"/>
          <w:sz w:val="24"/>
          <w:szCs w:val="24"/>
          <w:lang w:eastAsia="zh-TW"/>
        </w:rPr>
        <w:t xml:space="preserve">：在投标阶段，投标单位可自行组成联合体投标，且其中至少一家投标单位已获得相应的专业资质备案。若联合体投标单位同时包含建筑、结构工程以及屋宇装备专业，可 参与需要具备工程设计建筑行业甲级资质的工程项目投标。若联合体被确认为相应工程项目的中标单位，则其成员单位均需在确定承接工程后的2个月内，申请办理并完成相关的资质备案手续。 </w:t>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3</w:t>
      </w:r>
      <w:r>
        <w:rPr>
          <w:rFonts w:hint="eastAsia" w:ascii="仿宋_GB2312" w:hAnsi="仿宋_GB2312" w:eastAsia="仿宋_GB2312" w:cs="仿宋_GB2312"/>
          <w:bCs/>
          <w:color w:val="auto"/>
          <w:kern w:val="0"/>
          <w:sz w:val="24"/>
          <w:szCs w:val="24"/>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4</w:t>
      </w:r>
      <w:r>
        <w:rPr>
          <w:rFonts w:hint="eastAsia" w:ascii="仿宋_GB2312" w:hAnsi="仿宋_GB2312" w:eastAsia="仿宋_GB2312" w:cs="仿宋_GB2312"/>
          <w:bCs/>
          <w:color w:val="auto"/>
          <w:kern w:val="0"/>
          <w:sz w:val="24"/>
          <w:szCs w:val="24"/>
          <w:lang w:eastAsia="zh-TW"/>
        </w:rPr>
        <w:t>：具备市政公用工程监理资质的企业可以开展相应类别建设工程的项目管理、技术咨询等业务。</w:t>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ascii="Times New Roman" w:hAnsi="Times New Roman" w:eastAsia="仿宋"/>
          <w:sz w:val="24"/>
          <w:szCs w:val="24"/>
        </w:rPr>
      </w:pPr>
    </w:p>
    <w:p>
      <w:pPr>
        <w:keepNext w:val="0"/>
        <w:keepLines w:val="0"/>
        <w:pageBreakBefore w:val="0"/>
        <w:widowControl/>
        <w:kinsoku/>
        <w:overflowPunct/>
        <w:topLinePunct w:val="0"/>
        <w:autoSpaceDE/>
        <w:autoSpaceDN/>
        <w:bidi w:val="0"/>
        <w:adjustRightInd/>
        <w:spacing w:afterLines="0" w:line="560" w:lineRule="exact"/>
        <w:ind w:left="0" w:right="0" w:rightChars="0" w:firstLine="560" w:firstLineChars="200"/>
        <w:jc w:val="left"/>
        <w:textAlignment w:val="auto"/>
        <w:rPr>
          <w:rFonts w:ascii="Times New Roman" w:hAnsi="Times New Roman" w:eastAsia="仿宋"/>
          <w:kern w:val="0"/>
          <w:sz w:val="28"/>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60" w:charSpace="0"/>
        </w:sectPr>
      </w:pPr>
    </w:p>
    <w:p>
      <w:pPr>
        <w:keepNext w:val="0"/>
        <w:keepLines w:val="0"/>
        <w:pageBreakBefore w:val="0"/>
        <w:widowControl/>
        <w:kinsoku/>
        <w:overflowPunct/>
        <w:topLinePunct w:val="0"/>
        <w:autoSpaceDE/>
        <w:autoSpaceDN/>
        <w:bidi w:val="0"/>
        <w:adjustRightInd/>
        <w:snapToGrid w:val="0"/>
        <w:spacing w:after="0" w:afterLines="0" w:line="560" w:lineRule="exact"/>
        <w:ind w:left="0" w:right="0" w:rightChars="0" w:firstLine="562" w:firstLineChars="200"/>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
          <w:bCs w:val="0"/>
          <w:color w:val="auto"/>
          <w:kern w:val="0"/>
          <w:sz w:val="28"/>
          <w:szCs w:val="28"/>
        </w:rPr>
        <w:t>附件1-3</w:t>
      </w:r>
      <w:r>
        <w:rPr>
          <w:rFonts w:hint="default" w:ascii="仿宋_GB2312" w:hAnsi="仿宋_GB2312" w:eastAsia="仿宋_GB2312" w:cs="仿宋_GB2312"/>
          <w:b/>
          <w:bCs w:val="0"/>
          <w:color w:val="auto"/>
          <w:kern w:val="0"/>
          <w:sz w:val="28"/>
          <w:szCs w:val="28"/>
        </w:rPr>
        <w:t xml:space="preserve"> </w:t>
      </w:r>
      <w:r>
        <w:rPr>
          <w:rFonts w:hint="eastAsia" w:ascii="仿宋_GB2312" w:hAnsi="仿宋_GB2312" w:eastAsia="仿宋_GB2312" w:cs="仿宋_GB2312"/>
          <w:bCs/>
          <w:color w:val="auto"/>
          <w:kern w:val="0"/>
          <w:sz w:val="28"/>
          <w:szCs w:val="28"/>
        </w:rPr>
        <w:t>认可公共工程承建商（认可承建商）名册（The List of Approved Contractors for Public Works）</w:t>
      </w: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3" w:type="dxa"/>
          <w:left w:w="108" w:type="dxa"/>
          <w:bottom w:w="43" w:type="dxa"/>
          <w:right w:w="108" w:type="dxa"/>
        </w:tblCellMar>
      </w:tblPr>
      <w:tblGrid>
        <w:gridCol w:w="2010"/>
        <w:gridCol w:w="210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blHeader/>
          <w:jc w:val="center"/>
        </w:trPr>
        <w:tc>
          <w:tcPr>
            <w:tcW w:w="4111" w:type="dxa"/>
            <w:gridSpan w:val="2"/>
            <w:tcBorders>
              <w:top w:val="single" w:color="auto" w:sz="12" w:space="0"/>
              <w:left w:val="nil"/>
              <w:bottom w:val="dotted" w:color="auto" w:sz="4" w:space="0"/>
              <w:right w:val="double" w:color="auto" w:sz="4" w:space="0"/>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eastAsia="zh-CN"/>
              </w:rPr>
            </w:pPr>
            <w:r>
              <w:rPr>
                <w:rFonts w:hint="eastAsia" w:ascii="黑体" w:hAnsi="黑体" w:eastAsia="黑体" w:cs="黑体"/>
                <w:b w:val="0"/>
                <w:color w:val="auto"/>
                <w:kern w:val="44"/>
                <w:sz w:val="24"/>
                <w:szCs w:val="24"/>
                <w:lang w:val="en-GB" w:eastAsia="zh-CN"/>
              </w:rPr>
              <w:t>认可承建商名册分类</w:t>
            </w:r>
          </w:p>
        </w:tc>
        <w:tc>
          <w:tcPr>
            <w:tcW w:w="4536" w:type="dxa"/>
            <w:vMerge w:val="restart"/>
            <w:tcBorders>
              <w:top w:val="single" w:color="auto" w:sz="12" w:space="0"/>
              <w:left w:val="double" w:color="auto" w:sz="4" w:space="0"/>
              <w:bottom w:val="single" w:color="auto" w:sz="12" w:space="0"/>
              <w:right w:val="nil"/>
            </w:tcBorders>
            <w:vAlign w:val="center"/>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ascii="Times New Roman" w:hAnsi="Times New Roman" w:eastAsia="仿宋"/>
                <w:sz w:val="24"/>
                <w:szCs w:val="24"/>
                <w:lang w:eastAsia="zh-TW"/>
              </w:rPr>
            </w:pPr>
            <w:r>
              <w:rPr>
                <w:rFonts w:hint="eastAsia" w:ascii="黑体" w:hAnsi="黑体" w:eastAsia="黑体" w:cs="黑体"/>
                <w:b w:val="0"/>
                <w:color w:val="auto"/>
                <w:kern w:val="44"/>
                <w:sz w:val="24"/>
                <w:szCs w:val="24"/>
                <w:lang w:val="en-GB" w:eastAsia="zh-CN"/>
              </w:rPr>
              <w:t>对应内地企业资质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blHeader/>
          <w:jc w:val="center"/>
        </w:trPr>
        <w:tc>
          <w:tcPr>
            <w:tcW w:w="2010" w:type="dxa"/>
            <w:tcBorders>
              <w:top w:val="dotted" w:color="auto" w:sz="4" w:space="0"/>
              <w:left w:val="nil"/>
              <w:bottom w:val="single" w:color="auto" w:sz="12" w:space="0"/>
              <w:right w:val="dotted" w:color="auto" w:sz="4" w:space="0"/>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eastAsia="zh-CN"/>
              </w:rPr>
            </w:pPr>
            <w:r>
              <w:rPr>
                <w:rFonts w:hint="eastAsia" w:ascii="黑体" w:hAnsi="黑体" w:eastAsia="黑体" w:cs="黑体"/>
                <w:b w:val="0"/>
                <w:color w:val="auto"/>
                <w:kern w:val="44"/>
                <w:sz w:val="24"/>
                <w:szCs w:val="24"/>
                <w:lang w:val="en-GB" w:eastAsia="zh-CN"/>
              </w:rPr>
              <w:t>类</w:t>
            </w:r>
            <w:r>
              <w:rPr>
                <w:rFonts w:hint="default" w:ascii="黑体" w:hAnsi="黑体" w:eastAsia="黑体" w:cs="黑体"/>
                <w:b w:val="0"/>
                <w:color w:val="auto"/>
                <w:kern w:val="44"/>
                <w:sz w:val="24"/>
                <w:szCs w:val="24"/>
                <w:lang w:eastAsia="zh-CN"/>
              </w:rPr>
              <w:t>别</w:t>
            </w:r>
            <w:r>
              <w:rPr>
                <w:rFonts w:hint="eastAsia" w:ascii="黑体" w:hAnsi="黑体" w:eastAsia="黑体" w:cs="黑体"/>
                <w:b w:val="0"/>
                <w:color w:val="auto"/>
                <w:kern w:val="44"/>
                <w:sz w:val="24"/>
                <w:szCs w:val="24"/>
                <w:lang w:val="en-GB" w:eastAsia="zh-CN"/>
              </w:rPr>
              <w:t>（Category）</w:t>
            </w:r>
          </w:p>
        </w:tc>
        <w:tc>
          <w:tcPr>
            <w:tcW w:w="2101" w:type="dxa"/>
            <w:tcBorders>
              <w:top w:val="dotted" w:color="auto" w:sz="4" w:space="0"/>
              <w:left w:val="dotted" w:color="auto" w:sz="4" w:space="0"/>
              <w:bottom w:val="single" w:color="auto" w:sz="12" w:space="0"/>
              <w:right w:val="double" w:color="auto" w:sz="4" w:space="0"/>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eastAsia="zh-CN"/>
              </w:rPr>
            </w:pPr>
            <w:r>
              <w:rPr>
                <w:rFonts w:hint="eastAsia" w:ascii="黑体" w:hAnsi="黑体" w:eastAsia="黑体" w:cs="黑体"/>
                <w:b w:val="0"/>
                <w:color w:val="auto"/>
                <w:kern w:val="44"/>
                <w:sz w:val="24"/>
                <w:szCs w:val="24"/>
                <w:lang w:val="en-GB" w:eastAsia="zh-CN"/>
              </w:rPr>
              <w:t>组别</w:t>
            </w:r>
            <w:r>
              <w:rPr>
                <w:rFonts w:hint="eastAsia" w:ascii="黑体" w:hAnsi="黑体" w:eastAsia="黑体" w:cs="黑体"/>
                <w:b w:val="0"/>
                <w:color w:val="auto"/>
                <w:kern w:val="44"/>
                <w:sz w:val="24"/>
                <w:szCs w:val="24"/>
                <w:vertAlign w:val="superscript"/>
                <w:lang w:val="en-GB" w:eastAsia="zh-CN"/>
              </w:rPr>
              <w:t>1</w:t>
            </w:r>
            <w:r>
              <w:rPr>
                <w:rFonts w:hint="eastAsia" w:ascii="黑体" w:hAnsi="黑体" w:eastAsia="黑体" w:cs="黑体"/>
                <w:b w:val="0"/>
                <w:color w:val="auto"/>
                <w:kern w:val="44"/>
                <w:sz w:val="24"/>
                <w:szCs w:val="24"/>
                <w:lang w:val="en-GB" w:eastAsia="zh-CN"/>
              </w:rPr>
              <w:t>（Band）</w:t>
            </w:r>
          </w:p>
        </w:tc>
        <w:tc>
          <w:tcPr>
            <w:tcW w:w="0" w:type="auto"/>
            <w:vMerge w:val="continue"/>
            <w:tcBorders>
              <w:top w:val="single" w:color="auto" w:sz="12" w:space="0"/>
              <w:left w:val="double" w:color="auto" w:sz="4" w:space="0"/>
              <w:bottom w:val="single" w:color="auto" w:sz="12" w:space="0"/>
              <w:right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10" w:type="dxa"/>
            <w:vMerge w:val="restart"/>
            <w:tcBorders>
              <w:top w:val="single" w:color="auto" w:sz="12"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ascii="Times New Roman" w:hAnsi="Times New Roman" w:eastAsia="仿宋"/>
                <w:sz w:val="24"/>
                <w:szCs w:val="24"/>
                <w:lang w:eastAsia="zh-TW"/>
              </w:rPr>
            </w:pPr>
            <w:r>
              <w:rPr>
                <w:rFonts w:hint="eastAsia" w:ascii="仿宋_GB2312" w:hAnsi="仿宋_GB2312" w:eastAsia="仿宋_GB2312" w:cs="仿宋_GB2312"/>
                <w:bCs/>
                <w:color w:val="auto"/>
                <w:kern w:val="0"/>
                <w:sz w:val="24"/>
                <w:szCs w:val="24"/>
                <w:lang w:val="en-GB" w:eastAsia="zh-TW"/>
              </w:rPr>
              <w:t>Buildings</w:t>
            </w:r>
          </w:p>
        </w:tc>
        <w:tc>
          <w:tcPr>
            <w:tcW w:w="2101" w:type="dxa"/>
            <w:tcBorders>
              <w:top w:val="single" w:color="auto" w:sz="12"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甲组/甲组试用期</w:t>
            </w:r>
          </w:p>
        </w:tc>
        <w:tc>
          <w:tcPr>
            <w:tcW w:w="4536" w:type="dxa"/>
            <w:tcBorders>
              <w:top w:val="single" w:color="auto" w:sz="12"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建筑工程施工总承包企业二级及以下资质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10" w:type="dxa"/>
            <w:vMerge w:val="continue"/>
            <w:tcBorders>
              <w:top w:val="single" w:color="auto" w:sz="12"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乙组/乙组试用期</w:t>
            </w:r>
          </w:p>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丙组试用期</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建筑工程施工总承包企业一级资质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10" w:type="dxa"/>
            <w:vMerge w:val="continue"/>
            <w:tcBorders>
              <w:top w:val="single" w:color="auto" w:sz="12"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建筑工程施工总承包企业特级资质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10" w:type="dxa"/>
            <w:vMerge w:val="restart"/>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道路及渠务</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Roads and Drainage</w:t>
            </w: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甲组/甲组试用期</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公路工程/市政公用工程（不含给水工程）施工总承包企业二级及以下资质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10" w:type="dxa"/>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乙组/乙组试用期</w:t>
            </w:r>
          </w:p>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丙组试用期</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r>
              <w:rPr>
                <w:rFonts w:hint="eastAsia" w:ascii="仿宋_GB2312" w:hAnsi="仿宋_GB2312" w:eastAsia="仿宋_GB2312" w:cs="仿宋_GB2312"/>
                <w:bCs/>
                <w:color w:val="auto"/>
                <w:kern w:val="0"/>
                <w:sz w:val="24"/>
                <w:szCs w:val="24"/>
                <w:lang w:val="en-GB" w:eastAsia="zh-TW"/>
              </w:rPr>
              <w:t>公路工程/市政公用工程（不含给水工程）施工总承包企业一级资质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10" w:type="dxa"/>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r>
              <w:rPr>
                <w:rFonts w:hint="eastAsia" w:ascii="仿宋_GB2312" w:hAnsi="仿宋_GB2312" w:eastAsia="仿宋_GB2312" w:cs="仿宋_GB2312"/>
                <w:bCs/>
                <w:color w:val="auto"/>
                <w:kern w:val="0"/>
                <w:sz w:val="24"/>
                <w:szCs w:val="24"/>
                <w:lang w:val="en-GB" w:eastAsia="zh-TW"/>
              </w:rPr>
              <w:t>公路工程/市政公用工程（不含给水工程）施工总承包企业特级资质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10" w:type="dxa"/>
            <w:vMerge w:val="restart"/>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海港工程</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Port Works</w:t>
            </w: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乙组/乙组试用期</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丙组试用期</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r>
              <w:rPr>
                <w:rFonts w:hint="eastAsia" w:ascii="仿宋_GB2312" w:hAnsi="仿宋_GB2312" w:eastAsia="仿宋_GB2312" w:cs="仿宋_GB2312"/>
                <w:bCs/>
                <w:color w:val="auto"/>
                <w:kern w:val="0"/>
                <w:sz w:val="24"/>
                <w:szCs w:val="24"/>
                <w:lang w:val="en-GB" w:eastAsia="zh-TW"/>
              </w:rPr>
              <w:t>港口与航道工程施工总承包企业一级及以下资质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555" w:hRule="atLeast"/>
          <w:jc w:val="center"/>
        </w:trPr>
        <w:tc>
          <w:tcPr>
            <w:tcW w:w="2010" w:type="dxa"/>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港口与航道工程施工总承包企业特级资质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730" w:hRule="atLeast"/>
          <w:jc w:val="center"/>
        </w:trPr>
        <w:tc>
          <w:tcPr>
            <w:tcW w:w="2010" w:type="dxa"/>
            <w:vMerge w:val="restart"/>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地盘平整</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Site Formation</w:t>
            </w: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乙组/乙组试用期</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丙组试用期</w:t>
            </w:r>
          </w:p>
        </w:tc>
        <w:tc>
          <w:tcPr>
            <w:tcW w:w="4536" w:type="dxa"/>
            <w:vMerge w:val="restart"/>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土石方工程专业承包资质已取消，在相应专业工程承发包过程中，不再作资质要求，由施工总承包企业分包给具有一定技术实力和管理能力且取得公司法人《营业执照》的企业</w:t>
            </w:r>
            <w:r>
              <w:rPr>
                <w:rFonts w:hint="eastAsia" w:ascii="仿宋_GB2312" w:hAnsi="仿宋_GB2312" w:eastAsia="仿宋_GB2312" w:cs="仿宋_GB2312"/>
                <w:bCs/>
                <w:color w:val="auto"/>
                <w:kern w:val="0"/>
                <w:sz w:val="24"/>
                <w:szCs w:val="24"/>
                <w:vertAlign w:val="superscript"/>
                <w:lang w:val="en-GB"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730" w:hRule="atLeast"/>
          <w:jc w:val="center"/>
        </w:trPr>
        <w:tc>
          <w:tcPr>
            <w:tcW w:w="2010" w:type="dxa"/>
            <w:vMerge w:val="continue"/>
            <w:tcBorders>
              <w:top w:val="dotted" w:color="auto" w:sz="4" w:space="0"/>
              <w:left w:val="nil"/>
              <w:bottom w:val="dotted" w:color="auto" w:sz="4"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w:t>
            </w:r>
          </w:p>
        </w:tc>
        <w:tc>
          <w:tcPr>
            <w:tcW w:w="0" w:type="auto"/>
            <w:vMerge w:val="continue"/>
            <w:tcBorders>
              <w:top w:val="dotted" w:color="auto" w:sz="4" w:space="0"/>
              <w:left w:val="double" w:color="auto" w:sz="4" w:space="0"/>
              <w:bottom w:val="dotted" w:color="auto" w:sz="4" w:space="0"/>
              <w:right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13" w:hRule="atLeast"/>
          <w:jc w:val="center"/>
        </w:trPr>
        <w:tc>
          <w:tcPr>
            <w:tcW w:w="2010" w:type="dxa"/>
            <w:vMerge w:val="restart"/>
            <w:tcBorders>
              <w:top w:val="dotted" w:color="auto" w:sz="4" w:space="0"/>
              <w:left w:val="nil"/>
              <w:bottom w:val="single" w:color="auto" w:sz="12"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水务工程</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Waterworks</w:t>
            </w: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甲组/甲组试用期</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市政公用工程施工总承包企业二级资质（仅限给水工程）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13" w:hRule="atLeast"/>
          <w:jc w:val="center"/>
        </w:trPr>
        <w:tc>
          <w:tcPr>
            <w:tcW w:w="2010" w:type="dxa"/>
            <w:vMerge w:val="continue"/>
            <w:tcBorders>
              <w:top w:val="dotted" w:color="auto" w:sz="4" w:space="0"/>
              <w:left w:val="nil"/>
              <w:bottom w:val="single" w:color="auto" w:sz="12"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2101"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乙组/乙组试用期</w:t>
            </w:r>
          </w:p>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丙组试用期</w:t>
            </w:r>
          </w:p>
        </w:tc>
        <w:tc>
          <w:tcPr>
            <w:tcW w:w="453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市政公用工程施工总承包企业一级资质（仅限给水工程）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13" w:hRule="atLeast"/>
          <w:jc w:val="center"/>
        </w:trPr>
        <w:tc>
          <w:tcPr>
            <w:tcW w:w="2010" w:type="dxa"/>
            <w:vMerge w:val="continue"/>
            <w:tcBorders>
              <w:top w:val="dotted" w:color="auto" w:sz="4" w:space="0"/>
              <w:left w:val="nil"/>
              <w:bottom w:val="single" w:color="auto" w:sz="12"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2101" w:type="dxa"/>
            <w:tcBorders>
              <w:top w:val="dotted" w:color="auto" w:sz="4" w:space="0"/>
              <w:left w:val="dotted" w:color="auto" w:sz="4" w:space="0"/>
              <w:bottom w:val="single" w:color="auto" w:sz="12"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丙组</w:t>
            </w:r>
          </w:p>
        </w:tc>
        <w:tc>
          <w:tcPr>
            <w:tcW w:w="4536" w:type="dxa"/>
            <w:tcBorders>
              <w:top w:val="dotted" w:color="auto" w:sz="4" w:space="0"/>
              <w:left w:val="double" w:color="auto" w:sz="4" w:space="0"/>
              <w:bottom w:val="single" w:color="auto" w:sz="12"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市政公用工程施工总承包企业特级资质（仅限给水工程）</w:t>
            </w:r>
          </w:p>
        </w:tc>
      </w:tr>
    </w:tbl>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1</w:t>
      </w:r>
      <w:r>
        <w:rPr>
          <w:rFonts w:hint="eastAsia" w:ascii="仿宋_GB2312" w:hAnsi="仿宋_GB2312" w:eastAsia="仿宋_GB2312" w:cs="仿宋_GB2312"/>
          <w:bCs/>
          <w:color w:val="auto"/>
          <w:kern w:val="0"/>
          <w:sz w:val="24"/>
          <w:szCs w:val="24"/>
          <w:lang w:eastAsia="zh-TW"/>
        </w:rPr>
        <w:t>：详见《建筑业企业资质管理规定和资质标准实施意见》第三十三条：</w:t>
      </w:r>
    </w:p>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u w:val="single"/>
          <w:lang w:eastAsia="zh-TW"/>
        </w:rPr>
      </w:pPr>
      <w:r>
        <w:rPr>
          <w:rFonts w:hint="eastAsia" w:ascii="仿宋_GB2312" w:hAnsi="仿宋_GB2312" w:eastAsia="仿宋_GB2312" w:cs="仿宋_GB2312"/>
          <w:bCs/>
          <w:color w:val="auto"/>
          <w:kern w:val="0"/>
          <w:sz w:val="24"/>
          <w:szCs w:val="24"/>
          <w:u w:val="single"/>
          <w:lang w:eastAsia="zh-TW"/>
        </w:rPr>
        <w:fldChar w:fldCharType="begin"/>
      </w:r>
      <w:r>
        <w:rPr>
          <w:rFonts w:hint="eastAsia" w:ascii="仿宋_GB2312" w:hAnsi="仿宋_GB2312" w:eastAsia="仿宋_GB2312" w:cs="仿宋_GB2312"/>
          <w:bCs/>
          <w:color w:val="auto"/>
          <w:kern w:val="0"/>
          <w:sz w:val="24"/>
          <w:szCs w:val="24"/>
          <w:u w:val="single"/>
          <w:lang w:eastAsia="zh-TW"/>
        </w:rPr>
        <w:instrText xml:space="preserve"> HYPERLINK "http://www.gov.cn/gongbao/content/2015/content_2868873.htm" </w:instrText>
      </w:r>
      <w:r>
        <w:rPr>
          <w:rFonts w:hint="eastAsia" w:ascii="仿宋_GB2312" w:hAnsi="仿宋_GB2312" w:eastAsia="仿宋_GB2312" w:cs="仿宋_GB2312"/>
          <w:bCs/>
          <w:color w:val="auto"/>
          <w:kern w:val="0"/>
          <w:sz w:val="24"/>
          <w:szCs w:val="24"/>
          <w:u w:val="single"/>
          <w:lang w:eastAsia="zh-TW"/>
        </w:rPr>
        <w:fldChar w:fldCharType="separate"/>
      </w:r>
      <w:r>
        <w:rPr>
          <w:rStyle w:val="13"/>
          <w:rFonts w:hint="eastAsia" w:ascii="仿宋_GB2312" w:hAnsi="仿宋_GB2312" w:eastAsia="仿宋_GB2312" w:cs="仿宋_GB2312"/>
          <w:bCs/>
          <w:color w:val="auto"/>
          <w:kern w:val="0"/>
          <w:sz w:val="24"/>
          <w:szCs w:val="24"/>
          <w:u w:val="single"/>
          <w:lang w:eastAsia="zh-TW"/>
        </w:rPr>
        <w:t>http://www.gov.cn/gongbao/content/2015/content_2868873.htm</w:t>
      </w:r>
      <w:r>
        <w:rPr>
          <w:rStyle w:val="13"/>
          <w:rFonts w:hint="eastAsia" w:ascii="仿宋_GB2312" w:hAnsi="仿宋_GB2312" w:eastAsia="仿宋_GB2312" w:cs="仿宋_GB2312"/>
          <w:bCs/>
          <w:color w:val="auto"/>
          <w:kern w:val="0"/>
          <w:sz w:val="24"/>
          <w:szCs w:val="24"/>
          <w:u w:val="single"/>
          <w:lang w:eastAsia="zh-TW"/>
        </w:rPr>
        <w:fldChar w:fldCharType="end"/>
      </w:r>
    </w:p>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left"/>
        <w:textAlignment w:val="auto"/>
        <w:rPr>
          <w:rStyle w:val="15"/>
          <w:rFonts w:ascii="Times New Roman" w:hAnsi="Times New Roman" w:eastAsia="仿宋"/>
          <w:color w:val="auto"/>
          <w:sz w:val="24"/>
          <w:szCs w:val="24"/>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2</w:t>
      </w:r>
      <w:r>
        <w:rPr>
          <w:rFonts w:hint="eastAsia" w:ascii="仿宋_GB2312" w:hAnsi="仿宋_GB2312" w:eastAsia="仿宋_GB2312" w:cs="仿宋_GB2312"/>
          <w:bCs/>
          <w:color w:val="auto"/>
          <w:kern w:val="0"/>
          <w:sz w:val="24"/>
          <w:szCs w:val="24"/>
          <w:lang w:eastAsia="zh-TW"/>
        </w:rPr>
        <w:t>：认可公共工程承建商名册及分组规定参照香港发展局网页为准：</w:t>
      </w:r>
      <w:r>
        <w:rPr>
          <w:rFonts w:hint="eastAsia" w:ascii="仿宋_GB2312" w:hAnsi="仿宋_GB2312" w:eastAsia="仿宋_GB2312" w:cs="仿宋_GB2312"/>
          <w:bCs/>
          <w:color w:val="auto"/>
          <w:kern w:val="0"/>
          <w:sz w:val="24"/>
          <w:szCs w:val="24"/>
          <w:u w:val="single"/>
          <w:lang w:eastAsia="zh-TW"/>
        </w:rPr>
        <w:fldChar w:fldCharType="begin"/>
      </w:r>
      <w:r>
        <w:rPr>
          <w:rFonts w:hint="eastAsia" w:ascii="仿宋_GB2312" w:hAnsi="仿宋_GB2312" w:eastAsia="仿宋_GB2312" w:cs="仿宋_GB2312"/>
          <w:bCs/>
          <w:color w:val="auto"/>
          <w:kern w:val="0"/>
          <w:sz w:val="24"/>
          <w:szCs w:val="24"/>
          <w:u w:val="single"/>
          <w:lang w:eastAsia="zh-TW"/>
        </w:rPr>
        <w:instrText xml:space="preserve"> HYPERLINK "https://sc.devb.gov.hk/TuniS/www.devb.gov.hk/Contractor.aspx?section=80&amp;lang=2" </w:instrText>
      </w:r>
      <w:r>
        <w:rPr>
          <w:rFonts w:hint="eastAsia" w:ascii="仿宋_GB2312" w:hAnsi="仿宋_GB2312" w:eastAsia="仿宋_GB2312" w:cs="仿宋_GB2312"/>
          <w:bCs/>
          <w:color w:val="auto"/>
          <w:kern w:val="0"/>
          <w:sz w:val="24"/>
          <w:szCs w:val="24"/>
          <w:u w:val="single"/>
          <w:lang w:eastAsia="zh-TW"/>
        </w:rPr>
        <w:fldChar w:fldCharType="separate"/>
      </w:r>
      <w:r>
        <w:rPr>
          <w:rStyle w:val="13"/>
          <w:rFonts w:hint="eastAsia" w:ascii="仿宋_GB2312" w:hAnsi="仿宋_GB2312" w:eastAsia="仿宋_GB2312" w:cs="仿宋_GB2312"/>
          <w:bCs/>
          <w:color w:val="auto"/>
          <w:kern w:val="0"/>
          <w:sz w:val="24"/>
          <w:szCs w:val="24"/>
          <w:u w:val="single"/>
          <w:lang w:eastAsia="zh-TW"/>
        </w:rPr>
        <w:t>https://sc.devb.gov.hk/TuniS/www.devb.gov.hk/Contractor.aspx?section=80&amp;lang=2</w:t>
      </w:r>
      <w:r>
        <w:rPr>
          <w:rStyle w:val="13"/>
          <w:rFonts w:hint="eastAsia" w:ascii="仿宋_GB2312" w:hAnsi="仿宋_GB2312" w:eastAsia="仿宋_GB2312" w:cs="仿宋_GB2312"/>
          <w:bCs/>
          <w:color w:val="auto"/>
          <w:kern w:val="0"/>
          <w:sz w:val="24"/>
          <w:szCs w:val="24"/>
          <w:u w:val="single"/>
          <w:lang w:eastAsia="zh-TW"/>
        </w:rPr>
        <w:fldChar w:fldCharType="end"/>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3</w:t>
      </w:r>
      <w:r>
        <w:rPr>
          <w:rFonts w:hint="eastAsia" w:ascii="仿宋_GB2312" w:hAnsi="仿宋_GB2312" w:eastAsia="仿宋_GB2312" w:cs="仿宋_GB2312"/>
          <w:bCs/>
          <w:color w:val="auto"/>
          <w:kern w:val="0"/>
          <w:sz w:val="24"/>
          <w:szCs w:val="24"/>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left"/>
        <w:textAlignment w:val="auto"/>
        <w:rPr>
          <w:rStyle w:val="15"/>
          <w:rFonts w:ascii="Times New Roman" w:hAnsi="Times New Roman" w:eastAsia="仿宋"/>
          <w:color w:val="auto"/>
          <w:sz w:val="24"/>
          <w:szCs w:val="24"/>
        </w:rPr>
      </w:pPr>
    </w:p>
    <w:p>
      <w:pPr>
        <w:keepNext w:val="0"/>
        <w:keepLines w:val="0"/>
        <w:pageBreakBefore w:val="0"/>
        <w:kinsoku/>
        <w:overflowPunct/>
        <w:topLinePunct w:val="0"/>
        <w:autoSpaceDE/>
        <w:autoSpaceDN/>
        <w:bidi w:val="0"/>
        <w:adjustRightInd/>
        <w:snapToGrid w:val="0"/>
        <w:spacing w:afterLines="0" w:line="560" w:lineRule="exact"/>
        <w:ind w:left="0" w:right="0" w:rightChars="0" w:firstLine="560" w:firstLineChars="200"/>
        <w:jc w:val="left"/>
        <w:textAlignment w:val="auto"/>
        <w:rPr>
          <w:rFonts w:ascii="Times New Roman" w:hAnsi="Times New Roman" w:eastAsia="仿宋"/>
          <w:sz w:val="28"/>
          <w:szCs w:val="28"/>
        </w:rPr>
      </w:pPr>
      <w:r>
        <w:rPr>
          <w:rFonts w:ascii="Times New Roman" w:hAnsi="Times New Roman" w:eastAsia="仿宋"/>
          <w:sz w:val="28"/>
          <w:szCs w:val="28"/>
        </w:rPr>
        <w:br w:type="page"/>
      </w:r>
      <w:r>
        <w:rPr>
          <w:rFonts w:hint="eastAsia" w:ascii="仿宋_GB2312" w:hAnsi="仿宋_GB2312" w:eastAsia="仿宋_GB2312" w:cs="仿宋_GB2312"/>
          <w:b/>
          <w:bCs w:val="0"/>
          <w:color w:val="auto"/>
          <w:kern w:val="0"/>
          <w:sz w:val="28"/>
          <w:szCs w:val="28"/>
        </w:rPr>
        <w:t>附件1-4</w:t>
      </w:r>
      <w:r>
        <w:rPr>
          <w:rFonts w:hint="default" w:ascii="仿宋_GB2312" w:hAnsi="仿宋_GB2312" w:eastAsia="仿宋_GB2312" w:cs="仿宋_GB2312"/>
          <w:bCs/>
          <w:color w:val="auto"/>
          <w:kern w:val="0"/>
          <w:sz w:val="28"/>
          <w:szCs w:val="28"/>
        </w:rPr>
        <w:t xml:space="preserve"> </w:t>
      </w:r>
      <w:r>
        <w:rPr>
          <w:rFonts w:hint="eastAsia" w:ascii="仿宋_GB2312" w:hAnsi="仿宋_GB2312" w:eastAsia="仿宋_GB2312" w:cs="仿宋_GB2312"/>
          <w:bCs/>
          <w:color w:val="auto"/>
          <w:kern w:val="0"/>
          <w:sz w:val="28"/>
          <w:szCs w:val="28"/>
        </w:rPr>
        <w:t>认可公共工程物料供应商及专门承造商（供应商及专门承造商）名册（The List of Approved Suppliers of Materials and Specialist Contractors for Public Works）</w:t>
      </w:r>
    </w:p>
    <w:tbl>
      <w:tblPr>
        <w:tblStyle w:val="12"/>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966"/>
        <w:gridCol w:w="1325"/>
        <w:gridCol w:w="2956"/>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blHeader/>
          <w:jc w:val="center"/>
        </w:trPr>
        <w:tc>
          <w:tcPr>
            <w:tcW w:w="4291" w:type="dxa"/>
            <w:gridSpan w:val="2"/>
            <w:tcBorders>
              <w:top w:val="single" w:color="auto" w:sz="12" w:space="0"/>
              <w:left w:val="nil"/>
              <w:bottom w:val="single" w:color="auto" w:sz="4" w:space="0"/>
              <w:right w:val="double" w:color="auto" w:sz="4" w:space="0"/>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rPr>
            </w:pPr>
            <w:r>
              <w:rPr>
                <w:rFonts w:hint="eastAsia" w:ascii="黑体" w:hAnsi="黑体" w:eastAsia="黑体" w:cs="黑体"/>
                <w:b w:val="0"/>
                <w:color w:val="auto"/>
                <w:kern w:val="44"/>
                <w:sz w:val="24"/>
                <w:szCs w:val="24"/>
                <w:lang w:val="en-GB"/>
              </w:rPr>
              <w:t>供应商及专门承造商名册分类</w:t>
            </w:r>
          </w:p>
        </w:tc>
        <w:tc>
          <w:tcPr>
            <w:tcW w:w="4603" w:type="dxa"/>
            <w:gridSpan w:val="2"/>
            <w:vMerge w:val="restart"/>
            <w:tcBorders>
              <w:top w:val="single" w:color="auto" w:sz="12" w:space="0"/>
              <w:left w:val="double" w:color="auto" w:sz="4" w:space="0"/>
              <w:bottom w:val="nil"/>
              <w:right w:val="nil"/>
            </w:tcBorders>
            <w:vAlign w:val="center"/>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ascii="仿宋" w:hAnsi="仿宋" w:eastAsia="仿宋"/>
                <w:b/>
                <w:sz w:val="24"/>
                <w:szCs w:val="24"/>
                <w:lang w:eastAsia="zh-TW"/>
              </w:rPr>
            </w:pPr>
            <w:r>
              <w:rPr>
                <w:rFonts w:hint="eastAsia" w:ascii="黑体" w:hAnsi="黑体" w:eastAsia="黑体" w:cs="黑体"/>
                <w:b w:val="0"/>
                <w:color w:val="auto"/>
                <w:kern w:val="44"/>
                <w:sz w:val="24"/>
                <w:szCs w:val="24"/>
                <w:lang w:val="en-GB" w:eastAsia="zh-CN"/>
              </w:rPr>
              <w:t>对应内地企业资质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1" w:hRule="atLeast"/>
          <w:tblHeader/>
          <w:jc w:val="center"/>
        </w:trPr>
        <w:tc>
          <w:tcPr>
            <w:tcW w:w="2966" w:type="dxa"/>
            <w:tcBorders>
              <w:top w:val="single" w:color="auto" w:sz="4" w:space="0"/>
              <w:left w:val="nil"/>
              <w:bottom w:val="single" w:color="auto" w:sz="12" w:space="0"/>
              <w:right w:val="nil"/>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eastAsia="zh-CN"/>
              </w:rPr>
            </w:pPr>
            <w:r>
              <w:rPr>
                <w:rFonts w:hint="eastAsia" w:ascii="黑体" w:hAnsi="黑体" w:eastAsia="黑体" w:cs="黑体"/>
                <w:b w:val="0"/>
                <w:color w:val="auto"/>
                <w:kern w:val="44"/>
                <w:sz w:val="24"/>
                <w:szCs w:val="24"/>
                <w:lang w:val="en-GB" w:eastAsia="zh-CN"/>
              </w:rPr>
              <w:t>类别（Category）</w:t>
            </w:r>
          </w:p>
        </w:tc>
        <w:tc>
          <w:tcPr>
            <w:tcW w:w="1325" w:type="dxa"/>
            <w:tcBorders>
              <w:top w:val="single" w:color="auto" w:sz="4" w:space="0"/>
              <w:left w:val="nil"/>
              <w:bottom w:val="single" w:color="auto" w:sz="12" w:space="0"/>
              <w:right w:val="double" w:color="auto" w:sz="4" w:space="0"/>
            </w:tcBorders>
          </w:tcPr>
          <w:p>
            <w:pPr>
              <w:keepNext w:val="0"/>
              <w:keepLines w:val="0"/>
              <w:pageBreakBefore w:val="0"/>
              <w:kinsoku/>
              <w:overflowPunct/>
              <w:topLinePunct w:val="0"/>
              <w:autoSpaceDE/>
              <w:autoSpaceDN/>
              <w:bidi w:val="0"/>
              <w:adjustRightInd/>
              <w:spacing w:before="0" w:beforeAutospacing="0" w:after="0" w:afterLines="0" w:afterAutospacing="0" w:line="560" w:lineRule="exact"/>
              <w:ind w:left="0" w:right="0" w:rightChars="0" w:firstLine="480" w:firstLineChars="200"/>
              <w:jc w:val="center"/>
              <w:textAlignment w:val="auto"/>
              <w:rPr>
                <w:rFonts w:hint="eastAsia" w:ascii="黑体" w:hAnsi="黑体" w:eastAsia="黑体" w:cs="黑体"/>
                <w:b w:val="0"/>
                <w:color w:val="auto"/>
                <w:kern w:val="44"/>
                <w:sz w:val="24"/>
                <w:szCs w:val="24"/>
                <w:lang w:val="en-GB" w:eastAsia="zh-CN"/>
              </w:rPr>
            </w:pPr>
            <w:r>
              <w:rPr>
                <w:rFonts w:hint="eastAsia" w:ascii="黑体" w:hAnsi="黑体" w:eastAsia="黑体" w:cs="黑体"/>
                <w:b w:val="0"/>
                <w:color w:val="auto"/>
                <w:kern w:val="44"/>
                <w:sz w:val="24"/>
                <w:szCs w:val="24"/>
                <w:lang w:val="en-GB" w:eastAsia="zh-CN"/>
              </w:rPr>
              <w:t>组别</w:t>
            </w:r>
            <w:r>
              <w:rPr>
                <w:rFonts w:hint="eastAsia" w:ascii="黑体" w:hAnsi="黑体" w:eastAsia="黑体" w:cs="黑体"/>
                <w:b w:val="0"/>
                <w:color w:val="auto"/>
                <w:kern w:val="44"/>
                <w:sz w:val="24"/>
                <w:szCs w:val="24"/>
                <w:vertAlign w:val="superscript"/>
                <w:lang w:val="en-GB" w:eastAsia="zh-CN"/>
              </w:rPr>
              <w:t>1</w:t>
            </w:r>
            <w:r>
              <w:rPr>
                <w:rFonts w:hint="eastAsia" w:ascii="黑体" w:hAnsi="黑体" w:eastAsia="黑体" w:cs="黑体"/>
                <w:b w:val="0"/>
                <w:color w:val="auto"/>
                <w:kern w:val="44"/>
                <w:sz w:val="24"/>
                <w:szCs w:val="24"/>
                <w:lang w:val="en-GB" w:eastAsia="zh-CN"/>
              </w:rPr>
              <w:t>（Band）</w:t>
            </w:r>
          </w:p>
        </w:tc>
        <w:tc>
          <w:tcPr>
            <w:tcW w:w="4603" w:type="dxa"/>
            <w:gridSpan w:val="2"/>
            <w:vMerge w:val="continue"/>
            <w:tcBorders>
              <w:top w:val="nil"/>
              <w:left w:val="double" w:color="auto" w:sz="4" w:space="0"/>
              <w:bottom w:val="single" w:color="auto" w:sz="12" w:space="0"/>
              <w:right w:val="nil"/>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left"/>
              <w:textAlignment w:val="auto"/>
              <w:rPr>
                <w:rFonts w:ascii="仿宋" w:hAnsi="仿宋" w:eastAsia="仿宋" w:cs="Arial"/>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8" w:hRule="atLeast"/>
          <w:jc w:val="center"/>
        </w:trPr>
        <w:tc>
          <w:tcPr>
            <w:tcW w:w="2966" w:type="dxa"/>
            <w:vMerge w:val="restart"/>
            <w:tcBorders>
              <w:top w:val="single" w:color="auto" w:sz="12" w:space="0"/>
              <w:left w:val="nil"/>
              <w:bottom w:val="single" w:color="000000" w:sz="12"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电气装置</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Electrical Installation</w:t>
            </w:r>
          </w:p>
        </w:tc>
        <w:tc>
          <w:tcPr>
            <w:tcW w:w="1325" w:type="dxa"/>
            <w:tcBorders>
              <w:top w:val="single" w:color="auto" w:sz="12"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第III组</w:t>
            </w:r>
          </w:p>
        </w:tc>
        <w:tc>
          <w:tcPr>
            <w:tcW w:w="2956" w:type="dxa"/>
            <w:tcBorders>
              <w:top w:val="single" w:color="auto" w:sz="12"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建筑机电安装专业承包企业一级资质</w:t>
            </w:r>
          </w:p>
        </w:tc>
        <w:tc>
          <w:tcPr>
            <w:tcW w:w="1647" w:type="dxa"/>
            <w:vMerge w:val="restart"/>
            <w:tcBorders>
              <w:top w:val="single" w:color="auto" w:sz="12" w:space="0"/>
              <w:left w:val="double"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r>
              <w:rPr>
                <w:rFonts w:hint="eastAsia" w:ascii="仿宋_GB2312" w:hAnsi="仿宋_GB2312" w:eastAsia="仿宋_GB2312" w:cs="仿宋_GB2312"/>
                <w:bCs/>
                <w:color w:val="auto"/>
                <w:kern w:val="0"/>
                <w:sz w:val="24"/>
                <w:szCs w:val="24"/>
                <w:lang w:val="en-GB" w:eastAsia="zh-TW"/>
              </w:rPr>
              <w:t>同时取得电气装置、空调装置、水管装置三类最高级别资质的企业可同时取得机电工程施工总承包企业一级资质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8" w:hRule="atLeast"/>
          <w:jc w:val="center"/>
        </w:trPr>
        <w:tc>
          <w:tcPr>
            <w:tcW w:w="2966" w:type="dxa"/>
            <w:vMerge w:val="continue"/>
            <w:tcBorders>
              <w:top w:val="single" w:color="000000" w:sz="12" w:space="0"/>
              <w:left w:val="nil"/>
              <w:bottom w:val="single" w:color="000000" w:sz="12"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第II组</w:t>
            </w:r>
          </w:p>
        </w:tc>
        <w:tc>
          <w:tcPr>
            <w:tcW w:w="295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建筑机电安装专业承包企业二级资质</w:t>
            </w:r>
          </w:p>
        </w:tc>
        <w:tc>
          <w:tcPr>
            <w:tcW w:w="1647" w:type="dxa"/>
            <w:vMerge w:val="continue"/>
            <w:tcBorders>
              <w:left w:val="double"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8" w:hRule="atLeast"/>
          <w:jc w:val="center"/>
        </w:trPr>
        <w:tc>
          <w:tcPr>
            <w:tcW w:w="2966" w:type="dxa"/>
            <w:vMerge w:val="continue"/>
            <w:tcBorders>
              <w:top w:val="single" w:color="000000" w:sz="12" w:space="0"/>
              <w:left w:val="nil"/>
              <w:bottom w:val="single" w:color="000000" w:sz="12"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第I组</w:t>
            </w:r>
          </w:p>
        </w:tc>
        <w:tc>
          <w:tcPr>
            <w:tcW w:w="295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建筑机电安装专业承包企业三级资质</w:t>
            </w:r>
          </w:p>
        </w:tc>
        <w:tc>
          <w:tcPr>
            <w:tcW w:w="1647" w:type="dxa"/>
            <w:vMerge w:val="continue"/>
            <w:tcBorders>
              <w:left w:val="double"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4" w:hRule="atLeast"/>
          <w:jc w:val="center"/>
        </w:trPr>
        <w:tc>
          <w:tcPr>
            <w:tcW w:w="2966" w:type="dxa"/>
            <w:vMerge w:val="restart"/>
            <w:tcBorders>
              <w:top w:val="single" w:color="000000" w:sz="12" w:space="0"/>
              <w:left w:val="nil"/>
              <w:bottom w:val="single" w:color="000000" w:sz="12"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空调装置</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Air-conditioning Installation</w:t>
            </w: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第II组</w:t>
            </w:r>
          </w:p>
        </w:tc>
        <w:tc>
          <w:tcPr>
            <w:tcW w:w="295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建筑机电安装专业承包企业一级资质</w:t>
            </w:r>
          </w:p>
        </w:tc>
        <w:tc>
          <w:tcPr>
            <w:tcW w:w="1647" w:type="dxa"/>
            <w:vMerge w:val="continue"/>
            <w:tcBorders>
              <w:left w:val="double"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4" w:hRule="atLeast"/>
          <w:jc w:val="center"/>
        </w:trPr>
        <w:tc>
          <w:tcPr>
            <w:tcW w:w="2966" w:type="dxa"/>
            <w:vMerge w:val="continue"/>
            <w:tcBorders>
              <w:top w:val="single" w:color="000000" w:sz="12" w:space="0"/>
              <w:left w:val="nil"/>
              <w:bottom w:val="single" w:color="000000" w:sz="12"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第I组</w:t>
            </w:r>
          </w:p>
        </w:tc>
        <w:tc>
          <w:tcPr>
            <w:tcW w:w="295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建筑机电安装专业承包企业二级资质</w:t>
            </w:r>
          </w:p>
        </w:tc>
        <w:tc>
          <w:tcPr>
            <w:tcW w:w="1647" w:type="dxa"/>
            <w:vMerge w:val="continue"/>
            <w:tcBorders>
              <w:left w:val="double"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2966" w:type="dxa"/>
            <w:vMerge w:val="restart"/>
            <w:tcBorders>
              <w:top w:val="single" w:color="000000" w:sz="12" w:space="0"/>
              <w:left w:val="nil"/>
              <w:bottom w:val="single" w:color="000000" w:sz="12"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水管装置</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Plumbing Installation</w:t>
            </w: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第II组</w:t>
            </w:r>
          </w:p>
        </w:tc>
        <w:tc>
          <w:tcPr>
            <w:tcW w:w="295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建筑机电安装专业承包企业一级资质</w:t>
            </w:r>
          </w:p>
        </w:tc>
        <w:tc>
          <w:tcPr>
            <w:tcW w:w="1647" w:type="dxa"/>
            <w:vMerge w:val="continue"/>
            <w:tcBorders>
              <w:left w:val="double"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2966" w:type="dxa"/>
            <w:vMerge w:val="continue"/>
            <w:tcBorders>
              <w:top w:val="single" w:color="000000" w:sz="12" w:space="0"/>
              <w:left w:val="nil"/>
              <w:bottom w:val="single" w:color="000000" w:sz="12"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第I组</w:t>
            </w:r>
          </w:p>
        </w:tc>
        <w:tc>
          <w:tcPr>
            <w:tcW w:w="2956" w:type="dxa"/>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建筑机电安装专业承包企业二级资质</w:t>
            </w:r>
          </w:p>
        </w:tc>
        <w:tc>
          <w:tcPr>
            <w:tcW w:w="1647" w:type="dxa"/>
            <w:vMerge w:val="continue"/>
            <w:tcBorders>
              <w:left w:val="double"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2966" w:type="dxa"/>
            <w:vMerge w:val="restart"/>
            <w:tcBorders>
              <w:top w:val="single" w:color="000000" w:sz="12" w:space="0"/>
              <w:left w:val="nil"/>
              <w:bottom w:val="single" w:color="000000" w:sz="12"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消防装置</w:t>
            </w:r>
          </w:p>
          <w:p>
            <w:pPr>
              <w:keepNext w:val="0"/>
              <w:keepLines w:val="0"/>
              <w:pageBreakBefore w:val="0"/>
              <w:kinsoku/>
              <w:overflowPunct/>
              <w:topLinePunct w:val="0"/>
              <w:autoSpaceDE/>
              <w:autoSpaceDN/>
              <w:bidi w:val="0"/>
              <w:adjustRightInd/>
              <w:spacing w:afterLines="0" w:line="560" w:lineRule="exact"/>
              <w:ind w:left="0" w:right="0" w:rightChars="0" w:firstLine="412"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spacing w:val="-17"/>
                <w:kern w:val="0"/>
                <w:sz w:val="24"/>
                <w:szCs w:val="24"/>
                <w:lang w:val="en-GB" w:eastAsia="zh-TW"/>
              </w:rPr>
              <w:t>Fire</w:t>
            </w:r>
            <w:r>
              <w:rPr>
                <w:rFonts w:hint="default" w:ascii="仿宋_GB2312" w:hAnsi="仿宋_GB2312" w:eastAsia="仿宋_GB2312" w:cs="仿宋_GB2312"/>
                <w:bCs/>
                <w:color w:val="auto"/>
                <w:spacing w:val="-17"/>
                <w:kern w:val="0"/>
                <w:sz w:val="24"/>
                <w:szCs w:val="24"/>
                <w:lang w:eastAsia="zh-TW"/>
              </w:rPr>
              <w:t xml:space="preserve"> </w:t>
            </w:r>
            <w:r>
              <w:rPr>
                <w:rFonts w:hint="eastAsia" w:ascii="仿宋_GB2312" w:hAnsi="仿宋_GB2312" w:eastAsia="仿宋_GB2312" w:cs="仿宋_GB2312"/>
                <w:bCs/>
                <w:color w:val="auto"/>
                <w:spacing w:val="-17"/>
                <w:kern w:val="0"/>
                <w:sz w:val="24"/>
                <w:szCs w:val="24"/>
                <w:lang w:val="en-GB" w:eastAsia="zh-TW"/>
              </w:rPr>
              <w:t>Service</w:t>
            </w:r>
            <w:r>
              <w:rPr>
                <w:rFonts w:hint="default" w:ascii="仿宋_GB2312" w:hAnsi="仿宋_GB2312" w:eastAsia="仿宋_GB2312" w:cs="仿宋_GB2312"/>
                <w:bCs/>
                <w:color w:val="auto"/>
                <w:spacing w:val="-17"/>
                <w:kern w:val="0"/>
                <w:sz w:val="24"/>
                <w:szCs w:val="24"/>
                <w:lang w:eastAsia="zh-TW"/>
              </w:rPr>
              <w:t xml:space="preserve"> </w:t>
            </w:r>
            <w:r>
              <w:rPr>
                <w:rFonts w:hint="eastAsia" w:ascii="仿宋_GB2312" w:hAnsi="仿宋_GB2312" w:eastAsia="仿宋_GB2312" w:cs="仿宋_GB2312"/>
                <w:bCs/>
                <w:color w:val="auto"/>
                <w:spacing w:val="-17"/>
                <w:kern w:val="0"/>
                <w:sz w:val="24"/>
                <w:szCs w:val="24"/>
                <w:lang w:val="en-GB" w:eastAsia="zh-TW"/>
              </w:rPr>
              <w:t>Installation</w:t>
            </w: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第II组</w:t>
            </w:r>
          </w:p>
        </w:tc>
        <w:tc>
          <w:tcPr>
            <w:tcW w:w="4603" w:type="dxa"/>
            <w:gridSpan w:val="2"/>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消防设施工程专业承包一级资质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2966" w:type="dxa"/>
            <w:vMerge w:val="continue"/>
            <w:tcBorders>
              <w:top w:val="single" w:color="000000" w:sz="12" w:space="0"/>
              <w:left w:val="nil"/>
              <w:bottom w:val="single" w:color="000000" w:sz="12" w:space="0"/>
              <w:right w:val="dotted"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第I组</w:t>
            </w:r>
          </w:p>
        </w:tc>
        <w:tc>
          <w:tcPr>
            <w:tcW w:w="4603" w:type="dxa"/>
            <w:gridSpan w:val="2"/>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消防设施工程专业承包二级资质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tcBorders>
              <w:top w:val="single" w:color="000000" w:sz="12"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工业用途电气装置</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Industrial Type Electrical Installation</w:t>
            </w: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不分组</w:t>
            </w:r>
          </w:p>
        </w:tc>
        <w:tc>
          <w:tcPr>
            <w:tcW w:w="4603" w:type="dxa"/>
            <w:gridSpan w:val="2"/>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城市及道路照明工程专业承包一级资质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1" w:hRule="atLeast"/>
          <w:jc w:val="center"/>
        </w:trPr>
        <w:tc>
          <w:tcPr>
            <w:tcW w:w="2966" w:type="dxa"/>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升降机、自动梯及乘客输送带装置</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Lift, Escalator and Passenger Conveyor</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Installation</w:t>
            </w: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不分组</w:t>
            </w:r>
          </w:p>
        </w:tc>
        <w:tc>
          <w:tcPr>
            <w:tcW w:w="4603" w:type="dxa"/>
            <w:gridSpan w:val="2"/>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特种设备安装改造维修单位资格许可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tcBorders>
              <w:top w:val="dotted" w:color="auto" w:sz="4" w:space="0"/>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低压电开关柜装置</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Low Voltage Cubicle Switchboard Installation</w:t>
            </w:r>
          </w:p>
        </w:tc>
        <w:tc>
          <w:tcPr>
            <w:tcW w:w="1325" w:type="dxa"/>
            <w:tcBorders>
              <w:top w:val="dotted" w:color="auto" w:sz="4" w:space="0"/>
              <w:left w:val="dotted" w:color="auto" w:sz="4" w:space="0"/>
              <w:bottom w:val="dotted" w:color="auto" w:sz="4" w:space="0"/>
              <w:right w:val="double"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不分组</w:t>
            </w:r>
          </w:p>
        </w:tc>
        <w:tc>
          <w:tcPr>
            <w:tcW w:w="4603" w:type="dxa"/>
            <w:gridSpan w:val="2"/>
            <w:tcBorders>
              <w:top w:val="dotted" w:color="auto" w:sz="4" w:space="0"/>
              <w:left w:val="double" w:color="auto" w:sz="4" w:space="0"/>
              <w:bottom w:val="dotted" w:color="auto" w:sz="4" w:space="0"/>
              <w:right w:val="nil"/>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ascii="Times New Roman" w:hAnsi="Times New Roman" w:eastAsia="仿宋"/>
                <w:sz w:val="24"/>
                <w:szCs w:val="24"/>
              </w:rPr>
            </w:pPr>
            <w:r>
              <w:rPr>
                <w:rFonts w:hint="eastAsia" w:ascii="仿宋_GB2312" w:hAnsi="仿宋_GB2312" w:eastAsia="仿宋_GB2312" w:cs="仿宋_GB2312"/>
                <w:bCs/>
                <w:color w:val="auto"/>
                <w:kern w:val="0"/>
                <w:sz w:val="24"/>
                <w:szCs w:val="24"/>
                <w:lang w:val="en-GB" w:eastAsia="zh-TW"/>
              </w:rPr>
              <w:t>建筑机电安装工程专业承包一级资质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2966" w:type="dxa"/>
            <w:vMerge w:val="restart"/>
            <w:tcBorders>
              <w:top w:val="dotted" w:color="auto" w:sz="4" w:space="0"/>
              <w:left w:val="nil"/>
              <w:right w:val="dotted"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场地勘探工程</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Ground Investigation Field Work</w:t>
            </w:r>
          </w:p>
        </w:tc>
        <w:tc>
          <w:tcPr>
            <w:tcW w:w="1325"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第II组</w:t>
            </w:r>
          </w:p>
        </w:tc>
        <w:tc>
          <w:tcPr>
            <w:tcW w:w="4603" w:type="dxa"/>
            <w:gridSpan w:val="2"/>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工程勘察行业岩土工程勘察/工程测量专业甲级资质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vMerge w:val="continue"/>
            <w:tcBorders>
              <w:left w:val="nil"/>
              <w:bottom w:val="dotted" w:color="auto" w:sz="4" w:space="0"/>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325"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第I组</w:t>
            </w:r>
          </w:p>
        </w:tc>
        <w:tc>
          <w:tcPr>
            <w:tcW w:w="4603" w:type="dxa"/>
            <w:gridSpan w:val="2"/>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工程勘察行业岩土工程勘察/工程测量专业乙级资质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vMerge w:val="restart"/>
            <w:tcBorders>
              <w:top w:val="dotted" w:color="auto" w:sz="4" w:space="0"/>
              <w:left w:val="nil"/>
              <w:right w:val="dotted"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土地打桩</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Land Piling</w:t>
            </w:r>
          </w:p>
        </w:tc>
        <w:tc>
          <w:tcPr>
            <w:tcW w:w="1325"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第II组</w:t>
            </w:r>
          </w:p>
        </w:tc>
        <w:tc>
          <w:tcPr>
            <w:tcW w:w="4603" w:type="dxa"/>
            <w:gridSpan w:val="2"/>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地基基础工程专业承包一级资质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0" w:hRule="atLeast"/>
          <w:jc w:val="center"/>
        </w:trPr>
        <w:tc>
          <w:tcPr>
            <w:tcW w:w="2966" w:type="dxa"/>
            <w:vMerge w:val="continue"/>
            <w:tcBorders>
              <w:left w:val="nil"/>
              <w:right w:val="dotted" w:color="auto" w:sz="4" w:space="0"/>
            </w:tcBorders>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p>
        </w:tc>
        <w:tc>
          <w:tcPr>
            <w:tcW w:w="1325"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第I组</w:t>
            </w:r>
          </w:p>
        </w:tc>
        <w:tc>
          <w:tcPr>
            <w:tcW w:w="4603" w:type="dxa"/>
            <w:gridSpan w:val="2"/>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地基基础工程专业承包二级资质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tcBorders>
              <w:left w:val="nil"/>
              <w:right w:val="dotted"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钢结构工程</w:t>
            </w:r>
          </w:p>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Structural Steelwork</w:t>
            </w:r>
          </w:p>
        </w:tc>
        <w:tc>
          <w:tcPr>
            <w:tcW w:w="1325" w:type="dxa"/>
            <w:tcBorders>
              <w:top w:val="dotted" w:color="auto" w:sz="4" w:space="0"/>
              <w:left w:val="dotted" w:color="auto" w:sz="4" w:space="0"/>
              <w:bottom w:val="dotted" w:color="auto" w:sz="4" w:space="0"/>
              <w:right w:val="double" w:color="auto" w:sz="4" w:space="0"/>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不分组</w:t>
            </w:r>
          </w:p>
        </w:tc>
        <w:tc>
          <w:tcPr>
            <w:tcW w:w="4603" w:type="dxa"/>
            <w:gridSpan w:val="2"/>
            <w:tcBorders>
              <w:top w:val="dotted" w:color="auto" w:sz="4" w:space="0"/>
              <w:left w:val="double" w:color="auto" w:sz="4" w:space="0"/>
              <w:bottom w:val="dotted" w:color="auto" w:sz="4"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钢结构工程专业承包一级资质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tcBorders>
              <w:left w:val="nil"/>
              <w:bottom w:val="single" w:color="000000" w:sz="12" w:space="0"/>
              <w:right w:val="dotted" w:color="auto" w:sz="4" w:space="0"/>
            </w:tcBorders>
            <w:vAlign w:val="center"/>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rPr>
            </w:pPr>
            <w:r>
              <w:rPr>
                <w:rFonts w:hint="eastAsia" w:ascii="仿宋_GB2312" w:hAnsi="仿宋_GB2312" w:eastAsia="仿宋_GB2312" w:cs="仿宋_GB2312"/>
                <w:bCs/>
                <w:color w:val="auto"/>
                <w:kern w:val="0"/>
                <w:sz w:val="24"/>
                <w:szCs w:val="24"/>
                <w:lang w:val="en-GB" w:eastAsia="zh-TW"/>
              </w:rPr>
              <w:t>全包室内设计及装修工程</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Turn-key Interior Design and Fitting-out Works</w:t>
            </w:r>
          </w:p>
        </w:tc>
        <w:tc>
          <w:tcPr>
            <w:tcW w:w="1325" w:type="dxa"/>
            <w:tcBorders>
              <w:top w:val="dotted" w:color="auto" w:sz="4" w:space="0"/>
              <w:left w:val="dotted" w:color="auto" w:sz="4" w:space="0"/>
              <w:bottom w:val="single" w:color="000000" w:sz="12" w:space="0"/>
              <w:right w:val="double" w:color="auto" w:sz="4" w:space="0"/>
            </w:tcBorders>
            <w:vAlign w:val="top"/>
          </w:tcPr>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center"/>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不分组</w:t>
            </w:r>
          </w:p>
        </w:tc>
        <w:tc>
          <w:tcPr>
            <w:tcW w:w="4603" w:type="dxa"/>
            <w:gridSpan w:val="2"/>
            <w:tcBorders>
              <w:top w:val="dotted" w:color="auto" w:sz="4" w:space="0"/>
              <w:left w:val="double" w:color="auto" w:sz="4" w:space="0"/>
              <w:bottom w:val="single" w:color="000000" w:sz="12" w:space="0"/>
              <w:right w:val="nil"/>
            </w:tcBorders>
            <w:vAlign w:val="top"/>
          </w:tcPr>
          <w:p>
            <w:pPr>
              <w:keepNext w:val="0"/>
              <w:keepLines w:val="0"/>
              <w:pageBreakBefore w:val="0"/>
              <w:kinsoku/>
              <w:overflowPunct/>
              <w:topLinePunct w:val="0"/>
              <w:autoSpaceDE/>
              <w:autoSpaceDN/>
              <w:bidi w:val="0"/>
              <w:adjustRightInd/>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val="en-GB" w:eastAsia="zh-TW" w:bidi="ar-SA"/>
              </w:rPr>
            </w:pPr>
            <w:r>
              <w:rPr>
                <w:rFonts w:hint="eastAsia" w:ascii="仿宋_GB2312" w:hAnsi="仿宋_GB2312" w:eastAsia="仿宋_GB2312" w:cs="仿宋_GB2312"/>
                <w:bCs/>
                <w:color w:val="auto"/>
                <w:kern w:val="0"/>
                <w:sz w:val="24"/>
                <w:szCs w:val="24"/>
                <w:lang w:val="en-GB" w:eastAsia="zh-TW"/>
              </w:rPr>
              <w:t>建筑装修装饰工程专业承包一级资质</w:t>
            </w:r>
          </w:p>
        </w:tc>
      </w:tr>
    </w:tbl>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Times New Roman" w:hAnsi="Times New Roman" w:eastAsia="仿宋"/>
          <w:sz w:val="24"/>
          <w:szCs w:val="24"/>
        </w:rPr>
      </w:pPr>
    </w:p>
    <w:p>
      <w:pPr>
        <w:keepNext w:val="0"/>
        <w:keepLines w:val="0"/>
        <w:pageBreakBefore w:val="0"/>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1</w:t>
      </w:r>
      <w:r>
        <w:rPr>
          <w:rFonts w:hint="eastAsia" w:ascii="仿宋_GB2312" w:hAnsi="仿宋_GB2312" w:eastAsia="仿宋_GB2312" w:cs="仿宋_GB2312"/>
          <w:bCs/>
          <w:color w:val="auto"/>
          <w:kern w:val="0"/>
          <w:sz w:val="24"/>
          <w:szCs w:val="24"/>
          <w:lang w:eastAsia="zh-TW"/>
        </w:rPr>
        <w:t>：认可公共工程物料供应商及专门承造商名册及分组规定参照香港发展局网页为准</w:t>
      </w:r>
      <w:r>
        <w:rPr>
          <w:rFonts w:hint="eastAsia" w:ascii="仿宋_GB2312" w:hAnsi="仿宋_GB2312" w:eastAsia="仿宋_GB2312" w:cs="仿宋_GB2312"/>
          <w:bCs/>
          <w:color w:val="auto"/>
          <w:kern w:val="0"/>
          <w:sz w:val="24"/>
          <w:szCs w:val="24"/>
          <w:u w:val="single"/>
          <w:lang w:eastAsia="zh-TW"/>
        </w:rPr>
        <w:fldChar w:fldCharType="begin"/>
      </w:r>
      <w:r>
        <w:rPr>
          <w:rFonts w:hint="eastAsia" w:ascii="仿宋_GB2312" w:hAnsi="仿宋_GB2312" w:eastAsia="仿宋_GB2312" w:cs="仿宋_GB2312"/>
          <w:bCs/>
          <w:color w:val="auto"/>
          <w:kern w:val="0"/>
          <w:sz w:val="24"/>
          <w:szCs w:val="24"/>
          <w:u w:val="single"/>
          <w:lang w:eastAsia="zh-TW"/>
        </w:rPr>
        <w:instrText xml:space="preserve"> HYPERLINK "https://sc.devb.gov.hk/TuniS/www.devb.gov.hk/Supplier.aspx?section=83&amp;lang=2&amp;id=80" </w:instrText>
      </w:r>
      <w:r>
        <w:rPr>
          <w:rFonts w:hint="eastAsia" w:ascii="仿宋_GB2312" w:hAnsi="仿宋_GB2312" w:eastAsia="仿宋_GB2312" w:cs="仿宋_GB2312"/>
          <w:bCs/>
          <w:color w:val="auto"/>
          <w:kern w:val="0"/>
          <w:sz w:val="24"/>
          <w:szCs w:val="24"/>
          <w:u w:val="single"/>
          <w:lang w:eastAsia="zh-TW"/>
        </w:rPr>
        <w:fldChar w:fldCharType="separate"/>
      </w:r>
      <w:r>
        <w:rPr>
          <w:rStyle w:val="13"/>
          <w:rFonts w:hint="eastAsia" w:ascii="仿宋_GB2312" w:hAnsi="仿宋_GB2312" w:eastAsia="仿宋_GB2312" w:cs="仿宋_GB2312"/>
          <w:bCs/>
          <w:color w:val="auto"/>
          <w:kern w:val="0"/>
          <w:sz w:val="24"/>
          <w:szCs w:val="24"/>
          <w:u w:val="single"/>
          <w:lang w:eastAsia="zh-TW"/>
        </w:rPr>
        <w:t>https://sc.devb.gov.hk/TuniS/www.devb.gov.hk/Supplier.aspx?section=83&amp;lang=2&amp;id=80</w:t>
      </w:r>
      <w:r>
        <w:rPr>
          <w:rStyle w:val="13"/>
          <w:rFonts w:hint="eastAsia" w:ascii="仿宋_GB2312" w:hAnsi="仿宋_GB2312" w:eastAsia="仿宋_GB2312" w:cs="仿宋_GB2312"/>
          <w:bCs/>
          <w:color w:val="auto"/>
          <w:kern w:val="0"/>
          <w:sz w:val="24"/>
          <w:szCs w:val="24"/>
          <w:u w:val="single"/>
          <w:lang w:eastAsia="zh-TW"/>
        </w:rPr>
        <w:fldChar w:fldCharType="end"/>
      </w:r>
    </w:p>
    <w:p>
      <w:pPr>
        <w:keepNext w:val="0"/>
        <w:keepLines w:val="0"/>
        <w:pageBreakBefore w:val="0"/>
        <w:widowControl/>
        <w:kinsoku/>
        <w:overflowPunct/>
        <w:topLinePunct w:val="0"/>
        <w:autoSpaceDE/>
        <w:autoSpaceDN/>
        <w:bidi w:val="0"/>
        <w:adjustRightInd/>
        <w:snapToGrid w:val="0"/>
        <w:spacing w:afterLines="0" w:line="560" w:lineRule="exact"/>
        <w:ind w:left="0" w:right="0" w:rightChars="0" w:firstLine="480" w:firstLineChars="200"/>
        <w:jc w:val="left"/>
        <w:textAlignment w:val="auto"/>
        <w:rPr>
          <w:rFonts w:hint="eastAsia" w:ascii="仿宋_GB2312" w:hAnsi="仿宋_GB2312" w:eastAsia="仿宋_GB2312" w:cs="仿宋_GB2312"/>
          <w:bCs/>
          <w:color w:val="auto"/>
          <w:kern w:val="0"/>
          <w:sz w:val="24"/>
          <w:szCs w:val="24"/>
          <w:lang w:eastAsia="zh-TW"/>
        </w:rPr>
      </w:pPr>
      <w:r>
        <w:rPr>
          <w:rFonts w:hint="eastAsia" w:ascii="仿宋_GB2312" w:hAnsi="仿宋_GB2312" w:eastAsia="仿宋_GB2312" w:cs="仿宋_GB2312"/>
          <w:bCs/>
          <w:color w:val="auto"/>
          <w:kern w:val="0"/>
          <w:sz w:val="24"/>
          <w:szCs w:val="24"/>
          <w:lang w:eastAsia="zh-TW"/>
        </w:rPr>
        <w:t>注</w:t>
      </w:r>
      <w:r>
        <w:rPr>
          <w:rFonts w:hint="eastAsia" w:ascii="仿宋_GB2312" w:hAnsi="仿宋_GB2312" w:eastAsia="仿宋_GB2312" w:cs="仿宋_GB2312"/>
          <w:bCs/>
          <w:color w:val="auto"/>
          <w:kern w:val="0"/>
          <w:sz w:val="24"/>
          <w:szCs w:val="24"/>
          <w:vertAlign w:val="baseline"/>
          <w:lang w:eastAsia="zh-TW"/>
        </w:rPr>
        <w:t>2</w:t>
      </w:r>
      <w:r>
        <w:rPr>
          <w:rFonts w:hint="eastAsia" w:ascii="仿宋_GB2312" w:hAnsi="仿宋_GB2312" w:eastAsia="仿宋_GB2312" w:cs="仿宋_GB2312"/>
          <w:bCs/>
          <w:color w:val="auto"/>
          <w:kern w:val="0"/>
          <w:sz w:val="24"/>
          <w:szCs w:val="24"/>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kinsoku/>
        <w:overflowPunct/>
        <w:topLinePunct w:val="0"/>
        <w:autoSpaceDE/>
        <w:autoSpaceDN/>
        <w:bidi w:val="0"/>
        <w:adjustRightInd/>
        <w:snapToGrid w:val="0"/>
        <w:spacing w:afterLines="0" w:line="560" w:lineRule="exact"/>
        <w:ind w:left="0" w:right="0" w:rightChars="0" w:firstLine="560" w:firstLineChars="200"/>
        <w:jc w:val="left"/>
        <w:textAlignment w:val="auto"/>
        <w:rPr>
          <w:rFonts w:ascii="Times New Roman" w:hAnsi="Times New Roman" w:eastAsia="仿宋"/>
          <w:sz w:val="28"/>
          <w:szCs w:val="28"/>
        </w:rPr>
      </w:pPr>
    </w:p>
    <w:p>
      <w:pPr>
        <w:keepNext w:val="0"/>
        <w:keepLines w:val="0"/>
        <w:pageBreakBefore w:val="0"/>
        <w:kinsoku/>
        <w:overflowPunct/>
        <w:topLinePunct w:val="0"/>
        <w:autoSpaceDE/>
        <w:autoSpaceDN/>
        <w:bidi w:val="0"/>
        <w:adjustRightInd/>
        <w:spacing w:afterLines="0" w:line="560" w:lineRule="exact"/>
        <w:ind w:left="0" w:right="0" w:rightChars="0" w:firstLine="562" w:firstLineChars="200"/>
        <w:jc w:val="left"/>
        <w:textAlignment w:val="auto"/>
        <w:rPr>
          <w:rFonts w:hint="default" w:ascii="Times New Roman" w:hAnsi="Times New Roman" w:eastAsia="仿宋"/>
          <w:b/>
          <w:kern w:val="44"/>
          <w:sz w:val="28"/>
          <w:szCs w:val="28"/>
        </w:rPr>
      </w:pPr>
      <w:r>
        <w:rPr>
          <w:rFonts w:ascii="Times New Roman" w:hAnsi="Times New Roman" w:eastAsia="仿宋"/>
          <w:b/>
          <w:kern w:val="44"/>
          <w:sz w:val="28"/>
          <w:szCs w:val="28"/>
        </w:rPr>
        <w:br w:type="page"/>
      </w:r>
      <w:r>
        <w:rPr>
          <w:rFonts w:hint="eastAsia" w:ascii="黑体" w:hAnsi="黑体" w:eastAsia="黑体" w:cs="黑体"/>
          <w:b w:val="0"/>
          <w:color w:val="auto"/>
          <w:kern w:val="44"/>
          <w:sz w:val="28"/>
          <w:szCs w:val="28"/>
        </w:rPr>
        <w:t>附件2</w:t>
      </w:r>
    </w:p>
    <w:p>
      <w:pPr>
        <w:keepNext w:val="0"/>
        <w:keepLines w:val="0"/>
        <w:pageBreakBefore w:val="0"/>
        <w:kinsoku/>
        <w:overflowPunct/>
        <w:topLinePunct w:val="0"/>
        <w:autoSpaceDE/>
        <w:autoSpaceDN/>
        <w:bidi w:val="0"/>
        <w:adjustRightInd/>
        <w:spacing w:after="0" w:afterLines="0" w:line="560" w:lineRule="exact"/>
        <w:ind w:left="0" w:right="0" w:rightChars="0" w:firstLine="640" w:firstLineChars="200"/>
        <w:jc w:val="center"/>
        <w:textAlignment w:val="auto"/>
        <w:rPr>
          <w:rFonts w:hint="eastAsia" w:ascii="黑体" w:hAnsi="黑体" w:eastAsia="黑体" w:cs="黑体"/>
          <w:b w:val="0"/>
          <w:bCs w:val="0"/>
          <w:color w:val="auto"/>
          <w:kern w:val="44"/>
          <w:sz w:val="32"/>
          <w:szCs w:val="32"/>
        </w:rPr>
      </w:pPr>
      <w:r>
        <w:rPr>
          <w:rFonts w:hint="eastAsia" w:ascii="黑体" w:hAnsi="黑体" w:eastAsia="黑体" w:cs="黑体"/>
          <w:b w:val="0"/>
          <w:bCs w:val="0"/>
          <w:color w:val="auto"/>
          <w:kern w:val="44"/>
          <w:sz w:val="32"/>
          <w:szCs w:val="32"/>
        </w:rPr>
        <w:t>香港工程建设领域专业机构在前海合作区备案申请表</w:t>
      </w:r>
    </w:p>
    <w:tbl>
      <w:tblPr>
        <w:tblStyle w:val="12"/>
        <w:tblW w:w="9497" w:type="dxa"/>
        <w:jc w:val="center"/>
        <w:tblLayout w:type="fixed"/>
        <w:tblCellMar>
          <w:top w:w="0" w:type="dxa"/>
          <w:left w:w="108" w:type="dxa"/>
          <w:bottom w:w="0" w:type="dxa"/>
          <w:right w:w="108" w:type="dxa"/>
        </w:tblCellMar>
      </w:tblPr>
      <w:tblGrid>
        <w:gridCol w:w="1520"/>
        <w:gridCol w:w="854"/>
        <w:gridCol w:w="2469"/>
        <w:gridCol w:w="2279"/>
        <w:gridCol w:w="2375"/>
      </w:tblGrid>
      <w:tr>
        <w:tblPrEx>
          <w:tblCellMar>
            <w:top w:w="0" w:type="dxa"/>
            <w:left w:w="108" w:type="dxa"/>
            <w:bottom w:w="0" w:type="dxa"/>
            <w:right w:w="108" w:type="dxa"/>
          </w:tblCellMar>
        </w:tblPrEx>
        <w:trPr>
          <w:trHeight w:val="397" w:hRule="atLeast"/>
          <w:jc w:val="center"/>
        </w:trPr>
        <w:tc>
          <w:tcPr>
            <w:tcW w:w="1520" w:type="dxa"/>
            <w:vMerge w:val="restart"/>
            <w:tcBorders>
              <w:top w:val="single" w:color="auto" w:sz="2"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机构名称</w:t>
            </w:r>
          </w:p>
        </w:tc>
        <w:tc>
          <w:tcPr>
            <w:tcW w:w="854" w:type="dxa"/>
            <w:tcBorders>
              <w:top w:val="single" w:color="auto" w:sz="2"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中文</w:t>
            </w:r>
          </w:p>
        </w:tc>
        <w:tc>
          <w:tcPr>
            <w:tcW w:w="2469"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香港商业登记号</w:t>
            </w:r>
          </w:p>
        </w:tc>
        <w:tc>
          <w:tcPr>
            <w:tcW w:w="2375"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854" w:type="dxa"/>
            <w:tcBorders>
              <w:top w:val="single" w:color="auto" w:sz="2"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英文</w:t>
            </w:r>
          </w:p>
        </w:tc>
        <w:tc>
          <w:tcPr>
            <w:tcW w:w="2469"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香港商业登记地址</w:t>
            </w:r>
          </w:p>
        </w:tc>
        <w:tc>
          <w:tcPr>
            <w:tcW w:w="2375"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生效日期</w:t>
            </w:r>
          </w:p>
        </w:tc>
        <w:tc>
          <w:tcPr>
            <w:tcW w:w="24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届满日期</w:t>
            </w:r>
          </w:p>
        </w:tc>
        <w:tc>
          <w:tcPr>
            <w:tcW w:w="23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rPr>
              <w:t>香港办公地址</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联系电话（含区号）</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电子邮箱</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传真（含区号）</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rPr>
              <w:t>专业机构荣誉（若有）</w:t>
            </w:r>
          </w:p>
        </w:tc>
        <w:tc>
          <w:tcPr>
            <w:tcW w:w="71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97" w:hRule="atLeast"/>
          <w:jc w:val="center"/>
        </w:trPr>
        <w:tc>
          <w:tcPr>
            <w:tcW w:w="1520" w:type="dxa"/>
            <w:vMerge w:val="restart"/>
            <w:tcBorders>
              <w:top w:val="nil"/>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机构负责人</w:t>
            </w:r>
          </w:p>
        </w:tc>
        <w:tc>
          <w:tcPr>
            <w:tcW w:w="8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中文</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性别</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8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英文</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eastAsia="zh-CN"/>
              </w:rPr>
              <w:t>职务</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香港居民身份证号</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来往内地通行证号</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rPr>
              <w:t>机构驻</w:t>
            </w:r>
            <w:r>
              <w:rPr>
                <w:rFonts w:hint="eastAsia" w:ascii="仿宋_GB2312" w:hAnsi="仿宋_GB2312" w:eastAsia="仿宋_GB2312" w:cs="仿宋_GB2312"/>
                <w:bCs/>
                <w:color w:val="auto"/>
                <w:kern w:val="0"/>
                <w:sz w:val="24"/>
                <w:szCs w:val="24"/>
                <w:lang w:eastAsia="zh-CN"/>
              </w:rPr>
              <w:t>前海</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负责人</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中文</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性别</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英文</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职务</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eastAsia="zh-CN"/>
              </w:rPr>
              <w:t>香港居民身份证号</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来往内地通行证号</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联系电话（含区号）</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移动电话（含区号）</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电子邮箱</w:t>
            </w:r>
          </w:p>
        </w:tc>
        <w:tc>
          <w:tcPr>
            <w:tcW w:w="24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传真（含区号）</w:t>
            </w:r>
          </w:p>
        </w:tc>
        <w:tc>
          <w:tcPr>
            <w:tcW w:w="2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通讯地址</w:t>
            </w:r>
          </w:p>
        </w:tc>
        <w:tc>
          <w:tcPr>
            <w:tcW w:w="7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1483"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备案申请授权人姓名</w:t>
            </w:r>
          </w:p>
        </w:tc>
        <w:tc>
          <w:tcPr>
            <w:tcW w:w="2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身份证明文件类型/号码</w:t>
            </w:r>
          </w:p>
        </w:tc>
        <w:tc>
          <w:tcPr>
            <w:tcW w:w="2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97" w:hRule="atLeast"/>
          <w:jc w:val="center"/>
        </w:trPr>
        <w:tc>
          <w:tcPr>
            <w:tcW w:w="48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企业职业责任专业保险是否覆盖大湾区内地城市</w:t>
            </w:r>
          </w:p>
        </w:tc>
        <w:tc>
          <w:tcPr>
            <w:tcW w:w="4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leftChars="0" w:right="0" w:rightChars="0" w:firstLine="480" w:firstLineChars="200"/>
              <w:jc w:val="left"/>
              <w:textAlignment w:val="auto"/>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eastAsia="zh-CN"/>
              </w:rPr>
              <w:t>是</w:t>
            </w: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eastAsia="zh-CN"/>
              </w:rPr>
              <w:t>否</w:t>
            </w:r>
          </w:p>
        </w:tc>
      </w:tr>
      <w:tr>
        <w:tblPrEx>
          <w:tblCellMar>
            <w:top w:w="0" w:type="dxa"/>
            <w:left w:w="108" w:type="dxa"/>
            <w:bottom w:w="0" w:type="dxa"/>
            <w:right w:w="108" w:type="dxa"/>
          </w:tblCellMar>
        </w:tblPrEx>
        <w:trPr>
          <w:trHeight w:val="397" w:hRule="atLeast"/>
          <w:jc w:val="center"/>
        </w:trPr>
        <w:tc>
          <w:tcPr>
            <w:tcW w:w="48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符合省级备案的企业是否同时申请省级备案</w:t>
            </w:r>
          </w:p>
        </w:tc>
        <w:tc>
          <w:tcPr>
            <w:tcW w:w="4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leftChars="0" w:right="0" w:rightChars="0" w:firstLine="480" w:firstLineChars="200"/>
              <w:jc w:val="left"/>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eastAsia="zh-CN"/>
              </w:rPr>
              <w:t>是</w:t>
            </w: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eastAsia="zh-CN"/>
              </w:rPr>
              <w:t>否</w:t>
            </w: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 w:hAnsi="仿宋" w:eastAsia="仿宋" w:cs="仿宋"/>
                <w:color w:val="000000"/>
                <w:kern w:val="0"/>
                <w:sz w:val="20"/>
                <w:szCs w:val="20"/>
              </w:rPr>
            </w:pPr>
            <w:r>
              <w:rPr>
                <w:rFonts w:hint="eastAsia" w:ascii="仿宋_GB2312" w:hAnsi="仿宋_GB2312" w:eastAsia="仿宋_GB2312" w:cs="仿宋_GB2312"/>
                <w:bCs/>
                <w:color w:val="auto"/>
                <w:kern w:val="0"/>
                <w:sz w:val="24"/>
                <w:szCs w:val="24"/>
              </w:rPr>
              <w:t>在港所属认可名册/名单（参见附件1）</w:t>
            </w:r>
          </w:p>
        </w:tc>
        <w:tc>
          <w:tcPr>
            <w:tcW w:w="7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□建筑及有关顾问公司遴选委员会顾问公司名单（AACSB）</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□工程及有关顾问公司遴选委员会顾问公司名单（EACSB）</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□认可公共工程承建商名册</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□认可公共工程物料供应商及专门承造商名册</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 w:hAnsi="仿宋" w:eastAsia="仿宋" w:cs="仿宋"/>
                <w:color w:val="000000"/>
                <w:sz w:val="20"/>
                <w:szCs w:val="20"/>
              </w:rPr>
            </w:pPr>
            <w:r>
              <w:rPr>
                <w:rFonts w:hint="eastAsia" w:ascii="仿宋_GB2312" w:hAnsi="仿宋_GB2312" w:eastAsia="仿宋_GB2312" w:cs="仿宋_GB2312"/>
                <w:bCs/>
                <w:color w:val="auto"/>
                <w:kern w:val="0"/>
                <w:sz w:val="24"/>
                <w:szCs w:val="24"/>
              </w:rPr>
              <w:t>类别：</w:t>
            </w:r>
            <w:r>
              <w:rPr>
                <w:rFonts w:hint="eastAsia" w:ascii="仿宋" w:hAnsi="仿宋" w:eastAsia="仿宋" w:cs="仿宋"/>
                <w:color w:val="000000"/>
                <w:kern w:val="0"/>
                <w:sz w:val="20"/>
                <w:szCs w:val="20"/>
              </w:rPr>
              <w:t xml:space="preserve">_____________          </w:t>
            </w:r>
            <w:r>
              <w:rPr>
                <w:rFonts w:hint="eastAsia" w:ascii="仿宋_GB2312" w:hAnsi="仿宋_GB2312" w:eastAsia="仿宋_GB2312" w:cs="仿宋_GB2312"/>
                <w:bCs/>
                <w:color w:val="auto"/>
                <w:kern w:val="0"/>
                <w:sz w:val="24"/>
                <w:szCs w:val="24"/>
              </w:rPr>
              <w:t xml:space="preserve"> 组别：</w:t>
            </w:r>
            <w:r>
              <w:rPr>
                <w:rFonts w:hint="eastAsia" w:ascii="仿宋" w:hAnsi="仿宋" w:eastAsia="仿宋" w:cs="仿宋"/>
                <w:color w:val="000000"/>
                <w:kern w:val="0"/>
                <w:sz w:val="20"/>
                <w:szCs w:val="20"/>
              </w:rPr>
              <w:t>_____________</w:t>
            </w: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拟申请备案业务范围及资质等级（参见附件1）</w:t>
            </w:r>
          </w:p>
        </w:tc>
        <w:tc>
          <w:tcPr>
            <w:tcW w:w="7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rPr>
              <w:t>执业专业人士</w:t>
            </w:r>
            <w:r>
              <w:rPr>
                <w:rFonts w:hint="eastAsia" w:ascii="仿宋_GB2312" w:hAnsi="仿宋_GB2312" w:eastAsia="仿宋_GB2312" w:cs="仿宋_GB2312"/>
                <w:bCs/>
                <w:color w:val="auto"/>
                <w:kern w:val="0"/>
                <w:sz w:val="24"/>
                <w:szCs w:val="24"/>
                <w:lang w:eastAsia="zh-CN"/>
              </w:rPr>
              <w:t>情况</w:t>
            </w:r>
          </w:p>
        </w:tc>
        <w:tc>
          <w:tcPr>
            <w:tcW w:w="7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（执业专业类型、人数）</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lang w:eastAsia="zh-CN"/>
              </w:rPr>
            </w:pP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专业机构代表性业绩（若有）</w:t>
            </w:r>
          </w:p>
        </w:tc>
        <w:tc>
          <w:tcPr>
            <w:tcW w:w="7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eastAsia="zh-CN"/>
              </w:rPr>
              <w:t>包含</w:t>
            </w:r>
            <w:r>
              <w:rPr>
                <w:rFonts w:hint="eastAsia" w:ascii="仿宋_GB2312" w:hAnsi="仿宋_GB2312" w:eastAsia="仿宋_GB2312" w:cs="仿宋_GB2312"/>
                <w:bCs/>
                <w:color w:val="auto"/>
                <w:kern w:val="0"/>
                <w:sz w:val="24"/>
                <w:szCs w:val="24"/>
              </w:rPr>
              <w:t>项目名称、</w:t>
            </w:r>
            <w:r>
              <w:rPr>
                <w:rFonts w:hint="eastAsia" w:ascii="仿宋_GB2312" w:hAnsi="仿宋_GB2312" w:eastAsia="仿宋_GB2312" w:cs="仿宋_GB2312"/>
                <w:bCs/>
                <w:color w:val="auto"/>
                <w:kern w:val="0"/>
                <w:sz w:val="24"/>
                <w:szCs w:val="24"/>
                <w:lang w:eastAsia="zh-CN"/>
              </w:rPr>
              <w:t>项目地址、服务内容、工程合同额、完成时间，</w:t>
            </w:r>
            <w:r>
              <w:rPr>
                <w:rFonts w:hint="eastAsia" w:ascii="仿宋_GB2312" w:hAnsi="仿宋_GB2312" w:eastAsia="仿宋_GB2312" w:cs="仿宋_GB2312"/>
                <w:bCs/>
                <w:color w:val="auto"/>
                <w:kern w:val="0"/>
                <w:sz w:val="24"/>
                <w:szCs w:val="24"/>
              </w:rPr>
              <w:t>可附页）</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在前海开展项目情况（若有）</w:t>
            </w:r>
          </w:p>
        </w:tc>
        <w:tc>
          <w:tcPr>
            <w:tcW w:w="7123"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eastAsia="zh-CN"/>
              </w:rPr>
              <w:t>包含</w:t>
            </w:r>
            <w:r>
              <w:rPr>
                <w:rFonts w:hint="eastAsia" w:ascii="仿宋_GB2312" w:hAnsi="仿宋_GB2312" w:eastAsia="仿宋_GB2312" w:cs="仿宋_GB2312"/>
                <w:bCs/>
                <w:color w:val="auto"/>
                <w:kern w:val="0"/>
                <w:sz w:val="24"/>
                <w:szCs w:val="24"/>
              </w:rPr>
              <w:t>项目名称、</w:t>
            </w:r>
            <w:r>
              <w:rPr>
                <w:rFonts w:hint="eastAsia" w:ascii="仿宋_GB2312" w:hAnsi="仿宋_GB2312" w:eastAsia="仿宋_GB2312" w:cs="仿宋_GB2312"/>
                <w:bCs/>
                <w:color w:val="auto"/>
                <w:kern w:val="0"/>
                <w:sz w:val="24"/>
                <w:szCs w:val="24"/>
                <w:lang w:eastAsia="zh-CN"/>
              </w:rPr>
              <w:t>项目地址、服务内容、工程合同额、完成时间，</w:t>
            </w:r>
            <w:r>
              <w:rPr>
                <w:rFonts w:hint="eastAsia" w:ascii="仿宋_GB2312" w:hAnsi="仿宋_GB2312" w:eastAsia="仿宋_GB2312" w:cs="仿宋_GB2312"/>
                <w:bCs/>
                <w:color w:val="auto"/>
                <w:kern w:val="0"/>
                <w:sz w:val="24"/>
                <w:szCs w:val="24"/>
              </w:rPr>
              <w:t>可附页）</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获取内地注册资格情况</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（若有）</w:t>
            </w:r>
          </w:p>
        </w:tc>
        <w:tc>
          <w:tcPr>
            <w:tcW w:w="7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97" w:hRule="atLeast"/>
          <w:jc w:val="center"/>
        </w:trPr>
        <w:tc>
          <w:tcPr>
            <w:tcW w:w="949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 w:hAnsi="仿宋" w:eastAsia="仿宋" w:cs="仿宋"/>
                <w:color w:val="000000"/>
                <w:kern w:val="0"/>
                <w:sz w:val="20"/>
                <w:szCs w:val="20"/>
              </w:rPr>
            </w:pPr>
            <w:r>
              <w:rPr>
                <w:rFonts w:hint="eastAsia" w:ascii="仿宋_GB2312" w:hAnsi="仿宋_GB2312" w:eastAsia="仿宋_GB2312" w:cs="仿宋_GB2312"/>
                <w:bCs/>
                <w:color w:val="auto"/>
                <w:kern w:val="0"/>
                <w:sz w:val="24"/>
                <w:szCs w:val="24"/>
              </w:rPr>
              <w:t>本机构对申请表内容及其附件材料的真实性负责，如有虚假，愿承担由此产生的一切法律后果。</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eastAsia="zh-CN"/>
              </w:rPr>
              <w:t>机构负责</w:t>
            </w:r>
            <w:r>
              <w:rPr>
                <w:rFonts w:hint="eastAsia" w:ascii="仿宋_GB2312" w:hAnsi="仿宋_GB2312" w:eastAsia="仿宋_GB2312" w:cs="仿宋_GB2312"/>
                <w:bCs/>
                <w:color w:val="auto"/>
                <w:kern w:val="0"/>
                <w:sz w:val="24"/>
                <w:szCs w:val="24"/>
              </w:rPr>
              <w:t>人签字（</w:t>
            </w:r>
            <w:r>
              <w:rPr>
                <w:rFonts w:hint="eastAsia" w:ascii="仿宋_GB2312" w:hAnsi="仿宋_GB2312" w:eastAsia="仿宋_GB2312" w:cs="仿宋_GB2312"/>
                <w:bCs/>
                <w:color w:val="auto"/>
                <w:kern w:val="0"/>
                <w:sz w:val="24"/>
                <w:szCs w:val="24"/>
                <w:lang w:eastAsia="zh-CN"/>
              </w:rPr>
              <w:t>中文</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val="en-US" w:eastAsia="zh-CN"/>
              </w:rPr>
              <w:t xml:space="preserve"> </w:t>
            </w:r>
            <w:r>
              <w:rPr>
                <w:rFonts w:hint="eastAsia" w:ascii="仿宋" w:hAnsi="仿宋" w:eastAsia="仿宋" w:cs="仿宋"/>
                <w:color w:val="000000"/>
                <w:kern w:val="0"/>
                <w:sz w:val="20"/>
                <w:szCs w:val="20"/>
                <w:lang w:val="en-US" w:eastAsia="zh-CN"/>
              </w:rPr>
              <w:t xml:space="preserve">                         </w:t>
            </w:r>
            <w:r>
              <w:rPr>
                <w:rFonts w:hint="eastAsia" w:ascii="仿宋_GB2312" w:hAnsi="仿宋_GB2312" w:eastAsia="仿宋_GB2312" w:cs="仿宋_GB2312"/>
                <w:bCs/>
                <w:color w:val="auto"/>
                <w:kern w:val="0"/>
                <w:sz w:val="24"/>
                <w:szCs w:val="24"/>
                <w:lang w:val="en-US" w:eastAsia="zh-CN"/>
              </w:rPr>
              <w:t>公司印章：</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both"/>
              <w:textAlignment w:val="auto"/>
              <w:rPr>
                <w:rFonts w:hint="eastAsia" w:ascii="仿宋" w:hAnsi="仿宋" w:eastAsia="仿宋" w:cs="仿宋"/>
                <w:color w:val="000000"/>
                <w:kern w:val="0"/>
                <w:sz w:val="20"/>
                <w:szCs w:val="20"/>
                <w:lang w:val="en-US" w:eastAsia="zh-CN"/>
              </w:rPr>
            </w:pPr>
            <w:r>
              <w:rPr>
                <w:rFonts w:hint="eastAsia" w:ascii="仿宋_GB2312" w:hAnsi="仿宋_GB2312" w:eastAsia="仿宋_GB2312" w:cs="仿宋_GB2312"/>
                <w:bCs/>
                <w:color w:val="auto"/>
                <w:kern w:val="0"/>
                <w:sz w:val="24"/>
                <w:szCs w:val="24"/>
                <w:lang w:val="en-US" w:eastAsia="zh-CN"/>
              </w:rPr>
              <w:t xml:space="preserve">              </w:t>
            </w:r>
            <w:r>
              <w:rPr>
                <w:rFonts w:hint="default" w:ascii="仿宋_GB2312" w:hAnsi="仿宋_GB2312" w:eastAsia="仿宋_GB2312" w:cs="仿宋_GB2312"/>
                <w:bCs/>
                <w:color w:val="auto"/>
                <w:kern w:val="0"/>
                <w:sz w:val="24"/>
                <w:szCs w:val="24"/>
                <w:lang w:eastAsia="zh-CN"/>
              </w:rPr>
              <w:t xml:space="preserve">  </w:t>
            </w:r>
            <w:r>
              <w:rPr>
                <w:rFonts w:hint="eastAsia" w:ascii="仿宋_GB2312" w:hAnsi="仿宋_GB2312" w:eastAsia="仿宋_GB2312" w:cs="仿宋_GB2312"/>
                <w:bCs/>
                <w:color w:val="auto"/>
                <w:kern w:val="0"/>
                <w:sz w:val="24"/>
                <w:szCs w:val="24"/>
                <w:lang w:val="en-US" w:eastAsia="zh-CN"/>
              </w:rPr>
              <w:t>（英文）：</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r>
      <w:tr>
        <w:tblPrEx>
          <w:tblCellMar>
            <w:top w:w="0" w:type="dxa"/>
            <w:left w:w="108" w:type="dxa"/>
            <w:bottom w:w="0" w:type="dxa"/>
            <w:right w:w="108" w:type="dxa"/>
          </w:tblCellMar>
        </w:tblPrEx>
        <w:trPr>
          <w:trHeight w:val="397" w:hRule="atLeas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 w:hAnsi="仿宋" w:eastAsia="仿宋" w:cs="仿宋"/>
                <w:color w:val="000000"/>
                <w:kern w:val="0"/>
                <w:sz w:val="20"/>
                <w:szCs w:val="20"/>
              </w:rPr>
            </w:pPr>
            <w:r>
              <w:rPr>
                <w:rFonts w:hint="eastAsia" w:ascii="仿宋_GB2312" w:hAnsi="仿宋_GB2312" w:eastAsia="仿宋_GB2312" w:cs="仿宋_GB2312"/>
                <w:bCs/>
                <w:color w:val="auto"/>
                <w:kern w:val="0"/>
                <w:sz w:val="24"/>
                <w:szCs w:val="24"/>
              </w:rPr>
              <w:t>前海管理局备案意见</w:t>
            </w:r>
          </w:p>
        </w:tc>
        <w:tc>
          <w:tcPr>
            <w:tcW w:w="7123"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_GB2312" w:hAnsi="仿宋_GB2312" w:eastAsia="仿宋_GB2312" w:cs="仿宋_GB2312"/>
                <w:bCs/>
                <w:color w:val="auto"/>
                <w:kern w:val="0"/>
                <w:sz w:val="24"/>
                <w:szCs w:val="24"/>
              </w:rPr>
              <w:t>予以备案</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_GB2312" w:hAnsi="仿宋_GB2312" w:eastAsia="仿宋_GB2312" w:cs="仿宋_GB2312"/>
                <w:bCs/>
                <w:color w:val="auto"/>
                <w:kern w:val="0"/>
                <w:sz w:val="24"/>
                <w:szCs w:val="24"/>
              </w:rPr>
              <w:t>不予备案理由</w:t>
            </w:r>
            <w:r>
              <w:rPr>
                <w:rFonts w:hint="eastAsia" w:ascii="仿宋" w:hAnsi="仿宋" w:eastAsia="仿宋" w:cs="仿宋"/>
                <w:color w:val="000000"/>
                <w:kern w:val="0"/>
                <w:sz w:val="20"/>
                <w:szCs w:val="20"/>
              </w:rPr>
              <w:t>：__________________________________</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hint="eastAsia" w:ascii="仿宋" w:hAnsi="仿宋" w:eastAsia="仿宋" w:cs="仿宋"/>
                <w:color w:val="000000"/>
                <w:kern w:val="0"/>
                <w:sz w:val="20"/>
                <w:szCs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right"/>
              <w:textAlignment w:val="auto"/>
              <w:rPr>
                <w:rFonts w:hint="eastAsia" w:ascii="仿宋" w:hAnsi="仿宋" w:eastAsia="仿宋" w:cs="仿宋"/>
                <w:color w:val="000000"/>
                <w:kern w:val="0"/>
                <w:sz w:val="20"/>
                <w:szCs w:val="20"/>
              </w:rPr>
            </w:pPr>
            <w:r>
              <w:rPr>
                <w:rFonts w:hint="eastAsia" w:ascii="仿宋_GB2312" w:hAnsi="仿宋_GB2312" w:eastAsia="仿宋_GB2312" w:cs="仿宋_GB2312"/>
                <w:bCs/>
                <w:color w:val="auto"/>
                <w:kern w:val="0"/>
                <w:sz w:val="24"/>
                <w:szCs w:val="24"/>
              </w:rPr>
              <w:t>（前海管理局公章）    年   月   日</w:t>
            </w:r>
          </w:p>
        </w:tc>
      </w:tr>
    </w:tbl>
    <w:p>
      <w:pPr>
        <w:keepNext w:val="0"/>
        <w:keepLines w:val="0"/>
        <w:pageBreakBefore w:val="0"/>
        <w:kinsoku/>
        <w:overflowPunct/>
        <w:topLinePunct w:val="0"/>
        <w:autoSpaceDE/>
        <w:autoSpaceDN/>
        <w:bidi w:val="0"/>
        <w:adjustRightInd/>
        <w:spacing w:after="0" w:afterLines="0" w:line="560" w:lineRule="exact"/>
        <w:ind w:left="0" w:right="0" w:rightChars="0" w:firstLine="643" w:firstLineChars="200"/>
        <w:jc w:val="both"/>
        <w:textAlignment w:val="auto"/>
        <w:rPr>
          <w:rFonts w:hint="eastAsia" w:ascii="Times New Roman" w:hAnsi="Times New Roman" w:eastAsia="仿宋"/>
          <w:b/>
          <w:bCs/>
          <w:sz w:val="32"/>
          <w:szCs w:val="32"/>
        </w:rPr>
      </w:pPr>
    </w:p>
    <w:p>
      <w:pPr>
        <w:keepNext w:val="0"/>
        <w:keepLines w:val="0"/>
        <w:pageBreakBefore w:val="0"/>
        <w:widowControl/>
        <w:kinsoku/>
        <w:overflowPunct/>
        <w:topLinePunct w:val="0"/>
        <w:autoSpaceDE/>
        <w:autoSpaceDN/>
        <w:bidi w:val="0"/>
        <w:adjustRightInd/>
        <w:spacing w:afterLines="0" w:line="560" w:lineRule="exact"/>
        <w:ind w:left="0" w:right="0" w:rightChars="0" w:firstLine="320" w:firstLineChars="200"/>
        <w:jc w:val="left"/>
        <w:textAlignment w:val="auto"/>
        <w:rPr>
          <w:rFonts w:ascii="Times New Roman" w:hAnsi="Times New Roman" w:eastAsia="仿宋"/>
          <w:bCs/>
          <w:kern w:val="44"/>
          <w:sz w:val="16"/>
          <w:szCs w:val="21"/>
        </w:rPr>
      </w:pPr>
      <w:r>
        <w:rPr>
          <w:rFonts w:ascii="Times New Roman" w:hAnsi="Times New Roman" w:eastAsia="仿宋"/>
          <w:bCs/>
          <w:kern w:val="44"/>
          <w:sz w:val="16"/>
          <w:szCs w:val="21"/>
        </w:rPr>
        <w:br w:type="page"/>
      </w:r>
    </w:p>
    <w:p>
      <w:pPr>
        <w:keepNext w:val="0"/>
        <w:keepLines w:val="0"/>
        <w:pageBreakBefore w:val="0"/>
        <w:widowControl/>
        <w:kinsoku/>
        <w:overflowPunct/>
        <w:topLinePunct w:val="0"/>
        <w:autoSpaceDE/>
        <w:autoSpaceDN/>
        <w:bidi w:val="0"/>
        <w:adjustRightInd/>
        <w:spacing w:afterLines="0" w:line="560" w:lineRule="exact"/>
        <w:ind w:left="0" w:right="0" w:rightChars="0" w:firstLine="560" w:firstLineChars="200"/>
        <w:jc w:val="left"/>
        <w:textAlignment w:val="auto"/>
        <w:rPr>
          <w:rFonts w:hint="eastAsia" w:ascii="黑体" w:hAnsi="黑体" w:eastAsia="黑体" w:cs="黑体"/>
          <w:b w:val="0"/>
          <w:color w:val="auto"/>
          <w:kern w:val="44"/>
          <w:sz w:val="28"/>
          <w:szCs w:val="28"/>
        </w:rPr>
      </w:pPr>
      <w:r>
        <w:rPr>
          <w:rFonts w:hint="eastAsia" w:ascii="黑体" w:hAnsi="黑体" w:eastAsia="黑体" w:cs="黑体"/>
          <w:b w:val="0"/>
          <w:color w:val="auto"/>
          <w:kern w:val="44"/>
          <w:sz w:val="28"/>
          <w:szCs w:val="28"/>
        </w:rPr>
        <w:t>附件3</w:t>
      </w:r>
    </w:p>
    <w:p>
      <w:pPr>
        <w:keepNext w:val="0"/>
        <w:keepLines w:val="0"/>
        <w:pageBreakBefore w:val="0"/>
        <w:kinsoku/>
        <w:overflowPunct/>
        <w:topLinePunct w:val="0"/>
        <w:autoSpaceDE/>
        <w:autoSpaceDN/>
        <w:bidi w:val="0"/>
        <w:adjustRightInd/>
        <w:spacing w:after="0" w:afterLines="0" w:line="560" w:lineRule="exact"/>
        <w:ind w:left="0" w:right="0" w:rightChars="0" w:firstLine="640" w:firstLineChars="200"/>
        <w:jc w:val="center"/>
        <w:textAlignment w:val="auto"/>
        <w:rPr>
          <w:rFonts w:hint="eastAsia" w:ascii="黑体" w:hAnsi="黑体" w:eastAsia="黑体" w:cs="黑体"/>
          <w:b w:val="0"/>
          <w:bCs w:val="0"/>
          <w:color w:val="auto"/>
          <w:kern w:val="44"/>
          <w:sz w:val="32"/>
          <w:szCs w:val="32"/>
        </w:rPr>
      </w:pPr>
      <w:r>
        <w:rPr>
          <w:rFonts w:hint="eastAsia" w:ascii="黑体" w:hAnsi="黑体" w:eastAsia="黑体" w:cs="黑体"/>
          <w:b w:val="0"/>
          <w:bCs w:val="0"/>
          <w:color w:val="auto"/>
          <w:kern w:val="44"/>
          <w:sz w:val="32"/>
          <w:szCs w:val="32"/>
        </w:rPr>
        <w:t>专业机构职业责任专业保险提交承诺书</w:t>
      </w:r>
    </w:p>
    <w:p>
      <w:pPr>
        <w:keepNext w:val="0"/>
        <w:keepLines w:val="0"/>
        <w:pageBreakBefore w:val="0"/>
        <w:kinsoku/>
        <w:overflowPunct/>
        <w:topLinePunct w:val="0"/>
        <w:autoSpaceDE/>
        <w:autoSpaceDN/>
        <w:bidi w:val="0"/>
        <w:adjustRightInd/>
        <w:spacing w:afterLines="0" w:line="560" w:lineRule="exact"/>
        <w:ind w:left="0" w:right="0" w:rightChars="0" w:firstLine="600" w:firstLineChars="200"/>
        <w:textAlignment w:val="auto"/>
        <w:outlineLvl w:val="0"/>
        <w:rPr>
          <w:rFonts w:ascii="Times New Roman" w:hAnsi="Times New Roman" w:eastAsia="仿宋"/>
          <w:bCs/>
          <w:kern w:val="44"/>
          <w:sz w:val="30"/>
          <w:szCs w:val="30"/>
        </w:rPr>
      </w:pPr>
    </w:p>
    <w:p>
      <w:pPr>
        <w:keepNext w:val="0"/>
        <w:keepLines w:val="0"/>
        <w:pageBreakBefore w:val="0"/>
        <w:kinsoku/>
        <w:overflowPunct/>
        <w:topLinePunct w:val="0"/>
        <w:autoSpaceDE/>
        <w:autoSpaceDN/>
        <w:bidi w:val="0"/>
        <w:adjustRightInd/>
        <w:spacing w:afterLines="0" w:line="560" w:lineRule="exact"/>
        <w:ind w:left="0" w:right="0" w:rightChars="0" w:firstLine="560" w:firstLineChars="200"/>
        <w:textAlignment w:val="auto"/>
        <w:outlineLvl w:val="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本机构承诺在承揽工程后两个月内，提交职业责任专业保险材料，并保证所提交的材料均为真实、有效。</w:t>
      </w:r>
    </w:p>
    <w:p>
      <w:pPr>
        <w:keepNext w:val="0"/>
        <w:keepLines w:val="0"/>
        <w:pageBreakBefore w:val="0"/>
        <w:widowControl/>
        <w:kinsoku/>
        <w:overflowPunct/>
        <w:topLinePunct w:val="0"/>
        <w:autoSpaceDE/>
        <w:autoSpaceDN/>
        <w:bidi w:val="0"/>
        <w:adjustRightInd/>
        <w:spacing w:afterLines="0" w:line="560" w:lineRule="exact"/>
        <w:ind w:left="0" w:right="0" w:rightChars="0" w:firstLine="320" w:firstLineChars="200"/>
        <w:jc w:val="left"/>
        <w:textAlignment w:val="auto"/>
        <w:rPr>
          <w:rFonts w:ascii="Times New Roman" w:hAnsi="Times New Roman" w:eastAsia="仿宋"/>
          <w:bCs/>
          <w:kern w:val="44"/>
          <w:sz w:val="16"/>
          <w:szCs w:val="21"/>
        </w:rPr>
      </w:pPr>
    </w:p>
    <w:p>
      <w:pPr>
        <w:keepNext w:val="0"/>
        <w:keepLines w:val="0"/>
        <w:pageBreakBefore w:val="0"/>
        <w:kinsoku/>
        <w:overflowPunct/>
        <w:topLinePunct w:val="0"/>
        <w:autoSpaceDE/>
        <w:autoSpaceDN/>
        <w:bidi w:val="0"/>
        <w:adjustRightInd/>
        <w:spacing w:afterLines="0" w:line="560" w:lineRule="exact"/>
        <w:ind w:left="0" w:right="0" w:rightChars="0" w:firstLine="320" w:firstLineChars="200"/>
        <w:textAlignment w:val="auto"/>
        <w:rPr>
          <w:rFonts w:ascii="Times New Roman" w:hAnsi="Times New Roman" w:eastAsia="仿宋"/>
          <w:sz w:val="16"/>
          <w:szCs w:val="21"/>
        </w:rPr>
      </w:pPr>
    </w:p>
    <w:p>
      <w:pPr>
        <w:keepNext w:val="0"/>
        <w:keepLines w:val="0"/>
        <w:pageBreakBefore w:val="0"/>
        <w:kinsoku/>
        <w:overflowPunct/>
        <w:topLinePunct w:val="0"/>
        <w:autoSpaceDE/>
        <w:autoSpaceDN/>
        <w:bidi w:val="0"/>
        <w:adjustRightInd/>
        <w:spacing w:afterLines="0" w:line="560" w:lineRule="exact"/>
        <w:ind w:left="0" w:right="0" w:rightChars="0" w:firstLine="320" w:firstLineChars="200"/>
        <w:textAlignment w:val="auto"/>
        <w:rPr>
          <w:rFonts w:ascii="Times New Roman" w:hAnsi="Times New Roman" w:eastAsia="仿宋"/>
          <w:sz w:val="16"/>
          <w:szCs w:val="21"/>
        </w:rPr>
      </w:pPr>
    </w:p>
    <w:p>
      <w:pPr>
        <w:keepNext w:val="0"/>
        <w:keepLines w:val="0"/>
        <w:pageBreakBefore w:val="0"/>
        <w:widowControl/>
        <w:kinsoku/>
        <w:overflowPunct/>
        <w:topLinePunct w:val="0"/>
        <w:autoSpaceDE/>
        <w:autoSpaceDN/>
        <w:bidi w:val="0"/>
        <w:adjustRightInd/>
        <w:spacing w:afterLines="0" w:line="560" w:lineRule="exact"/>
        <w:ind w:left="0" w:right="0" w:rightChars="0" w:firstLine="320" w:firstLineChars="200"/>
        <w:jc w:val="left"/>
        <w:textAlignment w:val="auto"/>
        <w:rPr>
          <w:rFonts w:ascii="Times New Roman" w:hAnsi="Times New Roman" w:eastAsia="仿宋"/>
          <w:bCs/>
          <w:kern w:val="44"/>
          <w:sz w:val="16"/>
          <w:szCs w:val="21"/>
        </w:rPr>
      </w:pPr>
    </w:p>
    <w:p>
      <w:pPr>
        <w:keepNext w:val="0"/>
        <w:keepLines w:val="0"/>
        <w:pageBreakBefore w:val="0"/>
        <w:widowControl/>
        <w:kinsoku/>
        <w:overflowPunct/>
        <w:topLinePunct w:val="0"/>
        <w:autoSpaceDE/>
        <w:autoSpaceDN/>
        <w:bidi w:val="0"/>
        <w:adjustRightInd/>
        <w:spacing w:afterLines="0" w:line="560" w:lineRule="exact"/>
        <w:ind w:left="0" w:right="0" w:rightChars="0" w:firstLine="320" w:firstLineChars="200"/>
        <w:jc w:val="left"/>
        <w:textAlignment w:val="auto"/>
        <w:rPr>
          <w:rFonts w:ascii="Times New Roman" w:hAnsi="Times New Roman" w:eastAsia="仿宋"/>
          <w:bCs/>
          <w:kern w:val="44"/>
          <w:sz w:val="16"/>
          <w:szCs w:val="21"/>
        </w:rPr>
      </w:pPr>
    </w:p>
    <w:p>
      <w:pPr>
        <w:keepNext w:val="0"/>
        <w:keepLines w:val="0"/>
        <w:pageBreakBefore w:val="0"/>
        <w:kinsoku/>
        <w:wordWrap w:val="0"/>
        <w:overflowPunct/>
        <w:topLinePunct w:val="0"/>
        <w:autoSpaceDE/>
        <w:autoSpaceDN/>
        <w:bidi w:val="0"/>
        <w:adjustRightInd/>
        <w:spacing w:afterLines="0" w:line="560" w:lineRule="exact"/>
        <w:ind w:left="0" w:right="0" w:rightChars="0" w:firstLine="560" w:firstLineChars="200"/>
        <w:jc w:val="right"/>
        <w:textAlignment w:val="auto"/>
        <w:outlineLvl w:val="0"/>
        <w:rPr>
          <w:rFonts w:hint="default"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承诺专业机构（盖章）：</w:t>
      </w:r>
      <w:r>
        <w:rPr>
          <w:rFonts w:hint="default" w:ascii="仿宋_GB2312" w:hAnsi="仿宋_GB2312" w:eastAsia="仿宋_GB2312" w:cs="仿宋_GB2312"/>
          <w:bCs/>
          <w:color w:val="auto"/>
          <w:kern w:val="0"/>
          <w:sz w:val="28"/>
          <w:szCs w:val="28"/>
        </w:rPr>
        <w:t xml:space="preserve">                    </w:t>
      </w:r>
    </w:p>
    <w:p>
      <w:pPr>
        <w:keepNext w:val="0"/>
        <w:keepLines w:val="0"/>
        <w:pageBreakBefore w:val="0"/>
        <w:kinsoku/>
        <w:wordWrap w:val="0"/>
        <w:overflowPunct/>
        <w:topLinePunct w:val="0"/>
        <w:autoSpaceDE/>
        <w:autoSpaceDN/>
        <w:bidi w:val="0"/>
        <w:adjustRightInd/>
        <w:spacing w:afterLines="0" w:line="560" w:lineRule="exact"/>
        <w:ind w:left="0" w:right="0" w:rightChars="0" w:firstLine="560" w:firstLineChars="200"/>
        <w:jc w:val="right"/>
        <w:textAlignment w:val="auto"/>
        <w:outlineLvl w:val="0"/>
        <w:rPr>
          <w:rFonts w:hint="default"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专业机构负责人（签字）：</w:t>
      </w:r>
      <w:r>
        <w:rPr>
          <w:rFonts w:hint="default" w:ascii="仿宋_GB2312" w:hAnsi="仿宋_GB2312" w:eastAsia="仿宋_GB2312" w:cs="仿宋_GB2312"/>
          <w:bCs/>
          <w:color w:val="auto"/>
          <w:kern w:val="0"/>
          <w:sz w:val="28"/>
          <w:szCs w:val="28"/>
        </w:rPr>
        <w:t xml:space="preserve">                    </w:t>
      </w:r>
    </w:p>
    <w:p>
      <w:pPr>
        <w:keepNext w:val="0"/>
        <w:keepLines w:val="0"/>
        <w:pageBreakBefore w:val="0"/>
        <w:kinsoku/>
        <w:overflowPunct/>
        <w:topLinePunct w:val="0"/>
        <w:autoSpaceDE/>
        <w:autoSpaceDN/>
        <w:bidi w:val="0"/>
        <w:adjustRightInd/>
        <w:spacing w:afterLines="0" w:line="560" w:lineRule="exact"/>
        <w:ind w:left="0" w:right="0" w:rightChars="0" w:firstLine="560" w:firstLineChars="200"/>
        <w:jc w:val="left"/>
        <w:textAlignment w:val="auto"/>
        <w:outlineLvl w:val="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 xml:space="preserve">                                   年      月      日</w:t>
      </w:r>
    </w:p>
    <w:p>
      <w:pPr>
        <w:keepNext w:val="0"/>
        <w:keepLines w:val="0"/>
        <w:pageBreakBefore w:val="0"/>
        <w:widowControl/>
        <w:kinsoku/>
        <w:overflowPunct/>
        <w:topLinePunct w:val="0"/>
        <w:autoSpaceDE/>
        <w:autoSpaceDN/>
        <w:bidi w:val="0"/>
        <w:adjustRightInd/>
        <w:spacing w:afterLines="0" w:line="560" w:lineRule="exact"/>
        <w:ind w:left="0" w:right="0" w:rightChars="0" w:firstLine="320" w:firstLineChars="200"/>
        <w:jc w:val="left"/>
        <w:textAlignment w:val="auto"/>
        <w:rPr>
          <w:rFonts w:hint="default" w:ascii="Times New Roman" w:hAnsi="Times New Roman" w:eastAsia="仿宋"/>
          <w:b/>
          <w:kern w:val="44"/>
          <w:sz w:val="28"/>
          <w:szCs w:val="28"/>
        </w:rPr>
      </w:pPr>
      <w:r>
        <w:rPr>
          <w:rFonts w:ascii="Times New Roman" w:hAnsi="Times New Roman" w:eastAsia="仿宋"/>
          <w:sz w:val="16"/>
          <w:szCs w:val="21"/>
        </w:rPr>
        <w:br w:type="page"/>
      </w:r>
      <w:r>
        <w:rPr>
          <w:rFonts w:hint="eastAsia" w:ascii="黑体" w:hAnsi="黑体" w:eastAsia="黑体" w:cs="黑体"/>
          <w:b w:val="0"/>
          <w:color w:val="auto"/>
          <w:kern w:val="44"/>
          <w:sz w:val="28"/>
          <w:szCs w:val="28"/>
        </w:rPr>
        <w:t>附件</w:t>
      </w:r>
      <w:r>
        <w:rPr>
          <w:rFonts w:hint="default" w:ascii="黑体" w:hAnsi="黑体" w:eastAsia="黑体" w:cs="黑体"/>
          <w:b w:val="0"/>
          <w:color w:val="auto"/>
          <w:kern w:val="44"/>
          <w:sz w:val="28"/>
          <w:szCs w:val="28"/>
        </w:rPr>
        <w:t>4</w:t>
      </w:r>
    </w:p>
    <w:p>
      <w:pPr>
        <w:keepNext w:val="0"/>
        <w:keepLines w:val="0"/>
        <w:pageBreakBefore w:val="0"/>
        <w:kinsoku/>
        <w:overflowPunct/>
        <w:topLinePunct w:val="0"/>
        <w:autoSpaceDE/>
        <w:autoSpaceDN/>
        <w:bidi w:val="0"/>
        <w:adjustRightInd/>
        <w:spacing w:after="0" w:afterLines="0" w:line="560" w:lineRule="exact"/>
        <w:ind w:left="0" w:right="0" w:rightChars="0" w:firstLine="640" w:firstLineChars="200"/>
        <w:jc w:val="center"/>
        <w:textAlignment w:val="auto"/>
        <w:rPr>
          <w:rFonts w:hint="eastAsia" w:ascii="黑体" w:hAnsi="黑体" w:eastAsia="黑体" w:cs="黑体"/>
          <w:b w:val="0"/>
          <w:bCs w:val="0"/>
          <w:color w:val="auto"/>
          <w:kern w:val="44"/>
          <w:sz w:val="32"/>
          <w:szCs w:val="32"/>
        </w:rPr>
      </w:pPr>
      <w:r>
        <w:rPr>
          <w:rFonts w:hint="eastAsia" w:ascii="黑体" w:hAnsi="黑体" w:eastAsia="黑体" w:cs="黑体"/>
          <w:b w:val="0"/>
          <w:bCs w:val="0"/>
          <w:color w:val="auto"/>
          <w:kern w:val="44"/>
          <w:sz w:val="32"/>
          <w:szCs w:val="32"/>
        </w:rPr>
        <w:t>香港工程建设领域专业机构在前海合作区延续备案申请表</w:t>
      </w:r>
    </w:p>
    <w:tbl>
      <w:tblPr>
        <w:tblStyle w:val="12"/>
        <w:tblW w:w="9497" w:type="dxa"/>
        <w:jc w:val="center"/>
        <w:tblLayout w:type="fixed"/>
        <w:tblCellMar>
          <w:top w:w="0" w:type="dxa"/>
          <w:left w:w="108" w:type="dxa"/>
          <w:bottom w:w="0" w:type="dxa"/>
          <w:right w:w="108" w:type="dxa"/>
        </w:tblCellMar>
      </w:tblPr>
      <w:tblGrid>
        <w:gridCol w:w="2908"/>
        <w:gridCol w:w="1520"/>
        <w:gridCol w:w="2738"/>
        <w:gridCol w:w="2331"/>
      </w:tblGrid>
      <w:tr>
        <w:tblPrEx>
          <w:tblCellMar>
            <w:top w:w="0" w:type="dxa"/>
            <w:left w:w="108" w:type="dxa"/>
            <w:bottom w:w="0" w:type="dxa"/>
            <w:right w:w="108" w:type="dxa"/>
          </w:tblCellMar>
        </w:tblPrEx>
        <w:trPr>
          <w:trHeight w:val="396" w:hRule="atLeast"/>
          <w:jc w:val="center"/>
        </w:trPr>
        <w:tc>
          <w:tcPr>
            <w:tcW w:w="2908" w:type="dxa"/>
            <w:tcBorders>
              <w:top w:val="single" w:color="auto" w:sz="2"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机构名称</w:t>
            </w:r>
          </w:p>
        </w:tc>
        <w:tc>
          <w:tcPr>
            <w:tcW w:w="1520" w:type="dxa"/>
            <w:tcBorders>
              <w:top w:val="single" w:color="auto" w:sz="2"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738" w:type="dxa"/>
            <w:tcBorders>
              <w:top w:val="single" w:color="auto" w:sz="2"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香港商业登记号</w:t>
            </w:r>
          </w:p>
        </w:tc>
        <w:tc>
          <w:tcPr>
            <w:tcW w:w="2331"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288" w:hRule="atLeast"/>
          <w:jc w:val="center"/>
        </w:trPr>
        <w:tc>
          <w:tcPr>
            <w:tcW w:w="29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香港商业登记地址</w:t>
            </w:r>
          </w:p>
        </w:tc>
        <w:tc>
          <w:tcPr>
            <w:tcW w:w="6589"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2908"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香港办公地址</w:t>
            </w:r>
          </w:p>
        </w:tc>
        <w:tc>
          <w:tcPr>
            <w:tcW w:w="6589"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2908"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专业机构荣誉（若有）</w:t>
            </w:r>
          </w:p>
        </w:tc>
        <w:tc>
          <w:tcPr>
            <w:tcW w:w="6589"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3" w:hRule="atLeast"/>
          <w:jc w:val="center"/>
        </w:trPr>
        <w:tc>
          <w:tcPr>
            <w:tcW w:w="2908"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机构负责人姓名</w:t>
            </w:r>
          </w:p>
        </w:tc>
        <w:tc>
          <w:tcPr>
            <w:tcW w:w="152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738"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身份证明文件类型/号码</w:t>
            </w: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2908"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机构驻前海负责人姓名</w:t>
            </w:r>
          </w:p>
        </w:tc>
        <w:tc>
          <w:tcPr>
            <w:tcW w:w="152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738"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身份证明文件类型/号码</w:t>
            </w: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2908"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延续备案申请授权人姓名</w:t>
            </w:r>
          </w:p>
        </w:tc>
        <w:tc>
          <w:tcPr>
            <w:tcW w:w="152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738"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身份证明文件类型/号码</w:t>
            </w: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405" w:hRule="atLeast"/>
          <w:jc w:val="center"/>
        </w:trPr>
        <w:tc>
          <w:tcPr>
            <w:tcW w:w="2908"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在港所属认可名册/名单</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（参见附件1）</w:t>
            </w:r>
          </w:p>
        </w:tc>
        <w:tc>
          <w:tcPr>
            <w:tcW w:w="6589"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rPr>
              <w:t>建筑及有关顾问公司遴选委员会顾问公司名单（AACSB）</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rPr>
              <w:t>工程及有关顾问公司遴选委员会顾问公司名单（EACSB）</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rPr>
              <w:t>认可公共工程承建商名册</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rPr>
              <w:t>认可公共工程物料供应商及专门承造商名册</w:t>
            </w: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sz w:val="20"/>
              </w:rPr>
            </w:pPr>
            <w:r>
              <w:rPr>
                <w:rFonts w:hint="eastAsia" w:ascii="仿宋_GB2312" w:hAnsi="仿宋_GB2312" w:eastAsia="仿宋_GB2312" w:cs="仿宋_GB2312"/>
                <w:bCs/>
                <w:color w:val="auto"/>
                <w:kern w:val="0"/>
                <w:sz w:val="24"/>
                <w:szCs w:val="24"/>
              </w:rPr>
              <w:t>类别</w:t>
            </w:r>
            <w:r>
              <w:rPr>
                <w:rFonts w:hint="eastAsia" w:ascii="Times New Roman" w:hAnsi="Times New Roman" w:eastAsia="仿宋" w:cs="宋体"/>
                <w:kern w:val="0"/>
                <w:sz w:val="20"/>
              </w:rPr>
              <w:t>：</w:t>
            </w:r>
            <w:r>
              <w:rPr>
                <w:rFonts w:ascii="Times New Roman" w:hAnsi="Times New Roman" w:eastAsia="仿宋" w:cs="宋体"/>
                <w:kern w:val="0"/>
                <w:sz w:val="20"/>
              </w:rPr>
              <w:t xml:space="preserve">_____________           </w:t>
            </w:r>
            <w:r>
              <w:rPr>
                <w:rFonts w:hint="eastAsia" w:ascii="仿宋_GB2312" w:hAnsi="仿宋_GB2312" w:eastAsia="仿宋_GB2312" w:cs="仿宋_GB2312"/>
                <w:bCs/>
                <w:color w:val="auto"/>
                <w:kern w:val="0"/>
                <w:sz w:val="24"/>
                <w:szCs w:val="24"/>
              </w:rPr>
              <w:t>组别</w:t>
            </w:r>
            <w:r>
              <w:rPr>
                <w:rFonts w:hint="eastAsia" w:ascii="Times New Roman" w:hAnsi="Times New Roman" w:eastAsia="仿宋" w:cs="宋体"/>
                <w:kern w:val="0"/>
                <w:sz w:val="20"/>
              </w:rPr>
              <w:t>：</w:t>
            </w:r>
            <w:r>
              <w:rPr>
                <w:rFonts w:ascii="Times New Roman" w:hAnsi="Times New Roman" w:eastAsia="仿宋" w:cs="宋体"/>
                <w:kern w:val="0"/>
                <w:sz w:val="20"/>
              </w:rPr>
              <w:t>_____________</w:t>
            </w:r>
          </w:p>
        </w:tc>
      </w:tr>
      <w:tr>
        <w:tblPrEx>
          <w:tblCellMar>
            <w:top w:w="0" w:type="dxa"/>
            <w:left w:w="108" w:type="dxa"/>
            <w:bottom w:w="0" w:type="dxa"/>
            <w:right w:w="108" w:type="dxa"/>
          </w:tblCellMar>
        </w:tblPrEx>
        <w:trPr>
          <w:trHeight w:val="405" w:hRule="atLeast"/>
          <w:jc w:val="center"/>
        </w:trPr>
        <w:tc>
          <w:tcPr>
            <w:tcW w:w="2908" w:type="dxa"/>
            <w:tcBorders>
              <w:top w:val="nil"/>
              <w:left w:val="single" w:color="auto" w:sz="4" w:space="0"/>
              <w:bottom w:val="single" w:color="auto" w:sz="2"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拟延续备案业务范围及资质等级（参见附件1）</w:t>
            </w:r>
          </w:p>
        </w:tc>
        <w:tc>
          <w:tcPr>
            <w:tcW w:w="6589" w:type="dxa"/>
            <w:gridSpan w:val="3"/>
            <w:tcBorders>
              <w:top w:val="single" w:color="auto" w:sz="4" w:space="0"/>
              <w:left w:val="nil"/>
              <w:bottom w:val="single" w:color="auto" w:sz="2"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90" w:hRule="atLeast"/>
          <w:jc w:val="center"/>
        </w:trPr>
        <w:tc>
          <w:tcPr>
            <w:tcW w:w="2908" w:type="dxa"/>
            <w:tcBorders>
              <w:top w:val="single" w:color="auto" w:sz="2"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执业专业人士人数</w:t>
            </w:r>
          </w:p>
        </w:tc>
        <w:tc>
          <w:tcPr>
            <w:tcW w:w="6589" w:type="dxa"/>
            <w:gridSpan w:val="3"/>
            <w:tcBorders>
              <w:top w:val="single" w:color="auto" w:sz="2"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90" w:hRule="atLeast"/>
          <w:jc w:val="center"/>
        </w:trPr>
        <w:tc>
          <w:tcPr>
            <w:tcW w:w="2908" w:type="dxa"/>
            <w:tcBorders>
              <w:top w:val="single" w:color="auto" w:sz="2"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eastAsia="zh-Hans"/>
              </w:rPr>
              <w:t>是否同时申请办理安全</w:t>
            </w:r>
            <w:r>
              <w:rPr>
                <w:rFonts w:hint="eastAsia" w:ascii="仿宋_GB2312" w:hAnsi="仿宋_GB2312" w:eastAsia="仿宋_GB2312" w:cs="仿宋_GB2312"/>
                <w:bCs/>
                <w:color w:val="auto"/>
                <w:kern w:val="0"/>
                <w:sz w:val="24"/>
                <w:szCs w:val="24"/>
              </w:rPr>
              <w:t>生产许可证</w:t>
            </w:r>
            <w:r>
              <w:rPr>
                <w:rFonts w:hint="eastAsia" w:ascii="仿宋_GB2312" w:hAnsi="仿宋_GB2312" w:eastAsia="仿宋_GB2312" w:cs="仿宋_GB2312"/>
                <w:bCs/>
                <w:color w:val="auto"/>
                <w:kern w:val="0"/>
                <w:sz w:val="24"/>
                <w:szCs w:val="24"/>
                <w:lang w:eastAsia="zh-Hans"/>
              </w:rPr>
              <w:t>（针对承建商）</w:t>
            </w:r>
          </w:p>
        </w:tc>
        <w:tc>
          <w:tcPr>
            <w:tcW w:w="6589" w:type="dxa"/>
            <w:gridSpan w:val="3"/>
            <w:tcBorders>
              <w:top w:val="single" w:color="auto" w:sz="2"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lang w:eastAsia="zh-Hans"/>
              </w:rPr>
              <w:t>是</w:t>
            </w:r>
            <w:r>
              <w:rPr>
                <w:rFonts w:ascii="Times New Roman" w:hAnsi="Times New Roman" w:eastAsia="仿宋" w:cs="宋体"/>
                <w:kern w:val="0"/>
                <w:sz w:val="20"/>
                <w:lang w:eastAsia="zh-Hans"/>
              </w:rPr>
              <w:t xml:space="preserve">      </w:t>
            </w:r>
            <w:r>
              <w:rPr>
                <w:rFonts w:hint="eastAsia" w:ascii="Times New Roman" w:hAnsi="Times New Roman" w:eastAsia="仿宋" w:cs="宋体"/>
                <w:kern w:val="0"/>
                <w:sz w:val="20"/>
              </w:rPr>
              <w:t>□</w:t>
            </w:r>
            <w:r>
              <w:rPr>
                <w:rFonts w:ascii="Times New Roman" w:hAnsi="Times New Roman" w:eastAsia="仿宋" w:cs="宋体"/>
                <w:kern w:val="0"/>
                <w:sz w:val="20"/>
                <w:lang w:eastAsia="zh-Hans"/>
              </w:rPr>
              <w:t xml:space="preserve"> </w:t>
            </w:r>
            <w:r>
              <w:rPr>
                <w:rFonts w:hint="eastAsia" w:ascii="仿宋_GB2312" w:hAnsi="仿宋_GB2312" w:eastAsia="仿宋_GB2312" w:cs="仿宋_GB2312"/>
                <w:bCs/>
                <w:color w:val="auto"/>
                <w:kern w:val="0"/>
                <w:sz w:val="24"/>
                <w:szCs w:val="24"/>
                <w:lang w:eastAsia="zh-Hans"/>
              </w:rPr>
              <w:t>否</w:t>
            </w:r>
          </w:p>
        </w:tc>
      </w:tr>
      <w:tr>
        <w:tblPrEx>
          <w:tblCellMar>
            <w:top w:w="0" w:type="dxa"/>
            <w:left w:w="108" w:type="dxa"/>
            <w:bottom w:w="0" w:type="dxa"/>
            <w:right w:w="108" w:type="dxa"/>
          </w:tblCellMar>
        </w:tblPrEx>
        <w:trPr>
          <w:trHeight w:val="1489" w:hRule="atLeast"/>
          <w:jc w:val="center"/>
        </w:trPr>
        <w:tc>
          <w:tcPr>
            <w:tcW w:w="29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前一个备案有效期内在前海开展项目情况（若有）</w:t>
            </w:r>
          </w:p>
        </w:tc>
        <w:tc>
          <w:tcPr>
            <w:tcW w:w="6589" w:type="dxa"/>
            <w:gridSpan w:val="3"/>
            <w:tcBorders>
              <w:top w:val="single" w:color="auto" w:sz="4" w:space="0"/>
              <w:left w:val="nil"/>
              <w:bottom w:val="single" w:color="auto" w:sz="4" w:space="0"/>
              <w:right w:val="single" w:color="000000"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（项目名称、项目主要内容等,可附页）</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137" w:hRule="atLeast"/>
          <w:jc w:val="center"/>
        </w:trPr>
        <w:tc>
          <w:tcPr>
            <w:tcW w:w="94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本机构对申请表内容及其附件材料的真实性负责，如有虚假，愿承担由此产生的一切法律后果。</w:t>
            </w:r>
          </w:p>
          <w:p>
            <w:pPr>
              <w:keepNext w:val="0"/>
              <w:keepLines w:val="0"/>
              <w:pageBreakBefore w:val="0"/>
              <w:widowControl/>
              <w:kinsoku/>
              <w:wordWrap w:val="0"/>
              <w:overflowPunct/>
              <w:topLinePunct w:val="0"/>
              <w:autoSpaceDE/>
              <w:autoSpaceDN/>
              <w:bidi w:val="0"/>
              <w:adjustRightInd/>
              <w:spacing w:afterLines="0" w:line="560" w:lineRule="exact"/>
              <w:ind w:left="0" w:right="0" w:rightChars="0" w:firstLine="480" w:firstLineChars="200"/>
              <w:jc w:val="right"/>
              <w:textAlignment w:val="auto"/>
              <w:rPr>
                <w:rFonts w:hint="default"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申请授权人签字（手写）：</w:t>
            </w:r>
            <w:r>
              <w:rPr>
                <w:rFonts w:hint="default" w:ascii="仿宋_GB2312" w:hAnsi="仿宋_GB2312" w:eastAsia="仿宋_GB2312" w:cs="仿宋_GB2312"/>
                <w:bCs/>
                <w:color w:val="auto"/>
                <w:kern w:val="0"/>
                <w:sz w:val="24"/>
                <w:szCs w:val="24"/>
              </w:rPr>
              <w:t xml:space="preserve">         </w:t>
            </w:r>
          </w:p>
          <w:p>
            <w:pPr>
              <w:keepNext w:val="0"/>
              <w:keepLines w:val="0"/>
              <w:pageBreakBefore w:val="0"/>
              <w:widowControl/>
              <w:kinsoku/>
              <w:wordWrap w:val="0"/>
              <w:overflowPunct/>
              <w:topLinePunct w:val="0"/>
              <w:autoSpaceDE/>
              <w:autoSpaceDN/>
              <w:bidi w:val="0"/>
              <w:adjustRightInd/>
              <w:spacing w:afterLines="0" w:line="560" w:lineRule="exact"/>
              <w:ind w:left="0" w:right="0" w:rightChars="0" w:firstLine="480" w:firstLineChars="200"/>
              <w:jc w:val="right"/>
              <w:textAlignment w:val="auto"/>
              <w:rPr>
                <w:rFonts w:hint="default"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   月   日</w:t>
            </w:r>
            <w:r>
              <w:rPr>
                <w:rFonts w:hint="default" w:ascii="仿宋_GB2312" w:hAnsi="仿宋_GB2312" w:eastAsia="仿宋_GB2312" w:cs="仿宋_GB2312"/>
                <w:bCs/>
                <w:color w:val="auto"/>
                <w:kern w:val="0"/>
                <w:sz w:val="24"/>
                <w:szCs w:val="24"/>
              </w:rPr>
              <w:t xml:space="preserve">                 </w:t>
            </w:r>
          </w:p>
        </w:tc>
      </w:tr>
      <w:tr>
        <w:tblPrEx>
          <w:tblCellMar>
            <w:top w:w="0" w:type="dxa"/>
            <w:left w:w="108" w:type="dxa"/>
            <w:bottom w:w="0" w:type="dxa"/>
            <w:right w:w="108" w:type="dxa"/>
          </w:tblCellMar>
        </w:tblPrEx>
        <w:trPr>
          <w:trHeight w:val="848" w:hRule="atLeast"/>
          <w:jc w:val="center"/>
        </w:trPr>
        <w:tc>
          <w:tcPr>
            <w:tcW w:w="29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前海管理局备案意见</w:t>
            </w:r>
          </w:p>
        </w:tc>
        <w:tc>
          <w:tcPr>
            <w:tcW w:w="6589"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rPr>
              <w:t>准予延续备案</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rPr>
              <w:t>不予延续备案理由</w:t>
            </w:r>
            <w:r>
              <w:rPr>
                <w:rFonts w:hint="eastAsia" w:ascii="Times New Roman" w:hAnsi="Times New Roman" w:eastAsia="仿宋" w:cs="宋体"/>
                <w:kern w:val="0"/>
                <w:sz w:val="20"/>
              </w:rPr>
              <w:t>：</w:t>
            </w:r>
            <w:r>
              <w:rPr>
                <w:rFonts w:ascii="Times New Roman" w:hAnsi="Times New Roman" w:eastAsia="仿宋" w:cs="宋体"/>
                <w:kern w:val="0"/>
                <w:sz w:val="20"/>
              </w:rPr>
              <w:t>________________________________</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right"/>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 xml:space="preserve">（前海管理局公章） </w:t>
            </w:r>
            <w:r>
              <w:rPr>
                <w:rFonts w:ascii="Times New Roman" w:hAnsi="Times New Roman" w:eastAsia="仿宋" w:cs="宋体"/>
                <w:kern w:val="0"/>
                <w:sz w:val="20"/>
              </w:rPr>
              <w:t xml:space="preserve">   </w:t>
            </w:r>
          </w:p>
          <w:p>
            <w:pPr>
              <w:keepNext w:val="0"/>
              <w:keepLines w:val="0"/>
              <w:pageBreakBefore w:val="0"/>
              <w:widowControl/>
              <w:kinsoku/>
              <w:wordWrap w:val="0"/>
              <w:overflowPunct/>
              <w:topLinePunct w:val="0"/>
              <w:autoSpaceDE/>
              <w:autoSpaceDN/>
              <w:bidi w:val="0"/>
              <w:adjustRightInd/>
              <w:spacing w:afterLines="0" w:line="560" w:lineRule="exact"/>
              <w:ind w:left="0" w:right="0" w:rightChars="0" w:firstLine="480" w:firstLineChars="200"/>
              <w:jc w:val="right"/>
              <w:textAlignment w:val="auto"/>
              <w:rPr>
                <w:rFonts w:hint="default" w:ascii="Times New Roman" w:hAnsi="Times New Roman" w:eastAsia="仿宋" w:cs="宋体"/>
                <w:kern w:val="0"/>
                <w:sz w:val="20"/>
              </w:rPr>
            </w:pPr>
            <w:r>
              <w:rPr>
                <w:rFonts w:hint="eastAsia" w:ascii="仿宋_GB2312" w:hAnsi="仿宋_GB2312" w:eastAsia="仿宋_GB2312" w:cs="仿宋_GB2312"/>
                <w:bCs/>
                <w:color w:val="auto"/>
                <w:kern w:val="0"/>
                <w:sz w:val="24"/>
                <w:szCs w:val="24"/>
              </w:rPr>
              <w:t>年   月   日</w:t>
            </w:r>
            <w:r>
              <w:rPr>
                <w:rFonts w:hint="default" w:ascii="仿宋_GB2312" w:hAnsi="仿宋_GB2312" w:eastAsia="仿宋_GB2312" w:cs="仿宋_GB2312"/>
                <w:bCs/>
                <w:color w:val="auto"/>
                <w:kern w:val="0"/>
                <w:sz w:val="24"/>
                <w:szCs w:val="24"/>
              </w:rPr>
              <w:t xml:space="preserve">    </w:t>
            </w:r>
          </w:p>
        </w:tc>
      </w:tr>
    </w:tbl>
    <w:p>
      <w:pPr>
        <w:keepNext w:val="0"/>
        <w:keepLines w:val="0"/>
        <w:pageBreakBefore w:val="0"/>
        <w:kinsoku/>
        <w:overflowPunct/>
        <w:topLinePunct w:val="0"/>
        <w:autoSpaceDE/>
        <w:autoSpaceDN/>
        <w:bidi w:val="0"/>
        <w:adjustRightInd/>
        <w:spacing w:afterLines="0" w:line="560" w:lineRule="exact"/>
        <w:ind w:left="0" w:right="0" w:rightChars="0" w:firstLine="320" w:firstLineChars="200"/>
        <w:contextualSpacing/>
        <w:jc w:val="left"/>
        <w:textAlignment w:val="auto"/>
        <w:rPr>
          <w:rFonts w:ascii="Times New Roman" w:hAnsi="Times New Roman" w:eastAsia="仿宋"/>
          <w:sz w:val="16"/>
          <w:szCs w:val="21"/>
        </w:rPr>
      </w:pPr>
    </w:p>
    <w:p>
      <w:pPr>
        <w:keepNext w:val="0"/>
        <w:keepLines w:val="0"/>
        <w:pageBreakBefore w:val="0"/>
        <w:kinsoku/>
        <w:overflowPunct/>
        <w:topLinePunct w:val="0"/>
        <w:autoSpaceDE/>
        <w:autoSpaceDN/>
        <w:bidi w:val="0"/>
        <w:adjustRightInd/>
        <w:spacing w:afterLines="0" w:line="560" w:lineRule="exact"/>
        <w:ind w:left="0" w:right="0" w:rightChars="0" w:firstLine="320" w:firstLineChars="200"/>
        <w:jc w:val="left"/>
        <w:textAlignment w:val="auto"/>
        <w:outlineLvl w:val="0"/>
        <w:rPr>
          <w:rFonts w:ascii="Times New Roman" w:hAnsi="Times New Roman" w:eastAsia="仿宋"/>
          <w:b/>
          <w:kern w:val="44"/>
          <w:sz w:val="28"/>
          <w:szCs w:val="28"/>
        </w:rPr>
      </w:pPr>
      <w:r>
        <w:rPr>
          <w:rFonts w:ascii="Times New Roman" w:hAnsi="Times New Roman" w:eastAsia="仿宋"/>
          <w:bCs/>
          <w:kern w:val="44"/>
          <w:sz w:val="16"/>
          <w:szCs w:val="21"/>
        </w:rPr>
        <w:br w:type="page"/>
      </w:r>
      <w:r>
        <w:rPr>
          <w:rFonts w:hint="default" w:ascii="黑体" w:hAnsi="黑体" w:eastAsia="黑体" w:cs="黑体"/>
          <w:b w:val="0"/>
          <w:color w:val="auto"/>
          <w:kern w:val="44"/>
          <w:sz w:val="28"/>
          <w:szCs w:val="28"/>
        </w:rPr>
        <w:t>附件</w:t>
      </w:r>
      <w:r>
        <w:rPr>
          <w:rFonts w:ascii="黑体" w:hAnsi="黑体" w:eastAsia="黑体" w:cs="黑体"/>
          <w:b w:val="0"/>
          <w:color w:val="auto"/>
          <w:kern w:val="44"/>
          <w:sz w:val="28"/>
          <w:szCs w:val="28"/>
        </w:rPr>
        <w:t>4</w:t>
      </w:r>
    </w:p>
    <w:p>
      <w:pPr>
        <w:keepNext w:val="0"/>
        <w:keepLines w:val="0"/>
        <w:pageBreakBefore w:val="0"/>
        <w:kinsoku/>
        <w:overflowPunct/>
        <w:topLinePunct w:val="0"/>
        <w:autoSpaceDE/>
        <w:autoSpaceDN/>
        <w:bidi w:val="0"/>
        <w:adjustRightInd/>
        <w:spacing w:after="0" w:afterLines="0" w:line="560" w:lineRule="exact"/>
        <w:ind w:left="0" w:right="0" w:rightChars="0" w:firstLine="640" w:firstLineChars="200"/>
        <w:jc w:val="center"/>
        <w:textAlignment w:val="auto"/>
        <w:rPr>
          <w:rFonts w:hint="eastAsia" w:ascii="黑体" w:hAnsi="黑体" w:eastAsia="黑体" w:cs="黑体"/>
          <w:b w:val="0"/>
          <w:bCs w:val="0"/>
          <w:color w:val="auto"/>
          <w:kern w:val="44"/>
          <w:sz w:val="32"/>
          <w:szCs w:val="32"/>
        </w:rPr>
      </w:pPr>
      <w:r>
        <w:rPr>
          <w:rFonts w:hint="eastAsia" w:ascii="黑体" w:hAnsi="黑体" w:eastAsia="黑体" w:cs="黑体"/>
          <w:b w:val="0"/>
          <w:bCs w:val="0"/>
          <w:color w:val="auto"/>
          <w:kern w:val="44"/>
          <w:sz w:val="32"/>
          <w:szCs w:val="32"/>
        </w:rPr>
        <w:t>香港工程建设领域专业机构在前海合作区变更备案申请表</w:t>
      </w:r>
    </w:p>
    <w:tbl>
      <w:tblPr>
        <w:tblStyle w:val="12"/>
        <w:tblW w:w="9497" w:type="dxa"/>
        <w:jc w:val="center"/>
        <w:tblLayout w:type="fixed"/>
        <w:tblCellMar>
          <w:top w:w="0" w:type="dxa"/>
          <w:left w:w="108" w:type="dxa"/>
          <w:bottom w:w="0" w:type="dxa"/>
          <w:right w:w="108" w:type="dxa"/>
        </w:tblCellMar>
      </w:tblPr>
      <w:tblGrid>
        <w:gridCol w:w="3001"/>
        <w:gridCol w:w="1200"/>
        <w:gridCol w:w="2953"/>
        <w:gridCol w:w="2343"/>
      </w:tblGrid>
      <w:tr>
        <w:tblPrEx>
          <w:tblCellMar>
            <w:top w:w="0" w:type="dxa"/>
            <w:left w:w="108" w:type="dxa"/>
            <w:bottom w:w="0" w:type="dxa"/>
            <w:right w:w="108" w:type="dxa"/>
          </w:tblCellMar>
        </w:tblPrEx>
        <w:trPr>
          <w:trHeight w:val="38" w:hRule="atLeast"/>
          <w:jc w:val="center"/>
        </w:trPr>
        <w:tc>
          <w:tcPr>
            <w:tcW w:w="3001" w:type="dxa"/>
            <w:tcBorders>
              <w:top w:val="single" w:color="auto" w:sz="2"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机构名称</w:t>
            </w:r>
          </w:p>
        </w:tc>
        <w:tc>
          <w:tcPr>
            <w:tcW w:w="1200" w:type="dxa"/>
            <w:tcBorders>
              <w:top w:val="single" w:color="auto" w:sz="2"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953" w:type="dxa"/>
            <w:tcBorders>
              <w:top w:val="single" w:color="auto" w:sz="2"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香港商业登记号</w:t>
            </w:r>
          </w:p>
        </w:tc>
        <w:tc>
          <w:tcPr>
            <w:tcW w:w="2343" w:type="dxa"/>
            <w:tcBorders>
              <w:top w:val="single" w:color="auto" w:sz="2"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30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香港商业登记地址</w:t>
            </w:r>
          </w:p>
        </w:tc>
        <w:tc>
          <w:tcPr>
            <w:tcW w:w="6496"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3" w:hRule="atLeast"/>
          <w:jc w:val="center"/>
        </w:trPr>
        <w:tc>
          <w:tcPr>
            <w:tcW w:w="3001"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香港办公地址</w:t>
            </w:r>
          </w:p>
        </w:tc>
        <w:tc>
          <w:tcPr>
            <w:tcW w:w="6496"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3" w:hRule="atLeast"/>
          <w:jc w:val="center"/>
        </w:trPr>
        <w:tc>
          <w:tcPr>
            <w:tcW w:w="3001"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专业机构荣誉（若有）</w:t>
            </w:r>
          </w:p>
        </w:tc>
        <w:tc>
          <w:tcPr>
            <w:tcW w:w="6496"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r>
      <w:tr>
        <w:tblPrEx>
          <w:tblCellMar>
            <w:top w:w="0" w:type="dxa"/>
            <w:left w:w="108" w:type="dxa"/>
            <w:bottom w:w="0" w:type="dxa"/>
            <w:right w:w="108" w:type="dxa"/>
          </w:tblCellMar>
        </w:tblPrEx>
        <w:trPr>
          <w:trHeight w:val="33" w:hRule="atLeast"/>
          <w:jc w:val="center"/>
        </w:trPr>
        <w:tc>
          <w:tcPr>
            <w:tcW w:w="3001"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机构负责人姓名</w:t>
            </w:r>
          </w:p>
        </w:tc>
        <w:tc>
          <w:tcPr>
            <w:tcW w:w="120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953"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身份证明文件类型/号码</w:t>
            </w:r>
          </w:p>
        </w:tc>
        <w:tc>
          <w:tcPr>
            <w:tcW w:w="2343"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3001"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机构驻前海负责人姓名</w:t>
            </w:r>
          </w:p>
        </w:tc>
        <w:tc>
          <w:tcPr>
            <w:tcW w:w="120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953"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身份证明文件类型/号码</w:t>
            </w:r>
          </w:p>
        </w:tc>
        <w:tc>
          <w:tcPr>
            <w:tcW w:w="2343"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3001"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变更备案申请授权人姓名</w:t>
            </w:r>
          </w:p>
        </w:tc>
        <w:tc>
          <w:tcPr>
            <w:tcW w:w="120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p>
        </w:tc>
        <w:tc>
          <w:tcPr>
            <w:tcW w:w="2953"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身份证明文件类型/号码</w:t>
            </w:r>
          </w:p>
        </w:tc>
        <w:tc>
          <w:tcPr>
            <w:tcW w:w="2343"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2159" w:hRule="atLeast"/>
          <w:jc w:val="center"/>
        </w:trPr>
        <w:tc>
          <w:tcPr>
            <w:tcW w:w="3001"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变更事项</w:t>
            </w:r>
          </w:p>
        </w:tc>
        <w:tc>
          <w:tcPr>
            <w:tcW w:w="649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2385" w:hRule="atLeast"/>
          <w:jc w:val="center"/>
        </w:trPr>
        <w:tc>
          <w:tcPr>
            <w:tcW w:w="30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变更后内容</w:t>
            </w:r>
          </w:p>
        </w:tc>
        <w:tc>
          <w:tcPr>
            <w:tcW w:w="6496"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94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本机构对申请表内容及其附件材料的真实性负责，如有虚假，愿承担由此产生的一切法律后果。</w:t>
            </w:r>
          </w:p>
          <w:p>
            <w:pPr>
              <w:keepNext w:val="0"/>
              <w:keepLines w:val="0"/>
              <w:pageBreakBefore w:val="0"/>
              <w:widowControl/>
              <w:kinsoku/>
              <w:wordWrap w:val="0"/>
              <w:overflowPunct/>
              <w:topLinePunct w:val="0"/>
              <w:autoSpaceDE/>
              <w:autoSpaceDN/>
              <w:bidi w:val="0"/>
              <w:adjustRightInd/>
              <w:spacing w:afterLines="0" w:line="560" w:lineRule="exact"/>
              <w:ind w:left="0" w:right="0" w:rightChars="0" w:firstLine="480" w:firstLineChars="200"/>
              <w:jc w:val="right"/>
              <w:textAlignment w:val="auto"/>
              <w:rPr>
                <w:rFonts w:hint="default"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申请授权人签字（手写）：</w:t>
            </w:r>
            <w:r>
              <w:rPr>
                <w:rFonts w:hint="default" w:ascii="仿宋_GB2312" w:hAnsi="仿宋_GB2312" w:eastAsia="仿宋_GB2312" w:cs="仿宋_GB2312"/>
                <w:bCs/>
                <w:color w:val="auto"/>
                <w:kern w:val="0"/>
                <w:sz w:val="24"/>
                <w:szCs w:val="24"/>
              </w:rPr>
              <w:t xml:space="preserve">               </w:t>
            </w:r>
          </w:p>
          <w:p>
            <w:pPr>
              <w:keepNext w:val="0"/>
              <w:keepLines w:val="0"/>
              <w:pageBreakBefore w:val="0"/>
              <w:widowControl/>
              <w:kinsoku/>
              <w:wordWrap w:val="0"/>
              <w:overflowPunct/>
              <w:topLinePunct w:val="0"/>
              <w:autoSpaceDE/>
              <w:autoSpaceDN/>
              <w:bidi w:val="0"/>
              <w:adjustRightInd/>
              <w:spacing w:afterLines="0" w:line="560" w:lineRule="exact"/>
              <w:ind w:left="0" w:right="0" w:rightChars="0" w:firstLine="480" w:firstLineChars="200"/>
              <w:jc w:val="right"/>
              <w:textAlignment w:val="auto"/>
              <w:rPr>
                <w:rFonts w:hint="default"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   月   日</w:t>
            </w:r>
            <w:r>
              <w:rPr>
                <w:rFonts w:hint="default" w:ascii="仿宋_GB2312" w:hAnsi="仿宋_GB2312" w:eastAsia="仿宋_GB2312" w:cs="仿宋_GB2312"/>
                <w:bCs/>
                <w:color w:val="auto"/>
                <w:kern w:val="0"/>
                <w:sz w:val="24"/>
                <w:szCs w:val="24"/>
              </w:rPr>
              <w:t xml:space="preserve">               </w:t>
            </w:r>
          </w:p>
        </w:tc>
      </w:tr>
      <w:tr>
        <w:tblPrEx>
          <w:tblCellMar>
            <w:top w:w="0" w:type="dxa"/>
            <w:left w:w="108" w:type="dxa"/>
            <w:bottom w:w="0" w:type="dxa"/>
            <w:right w:w="108" w:type="dxa"/>
          </w:tblCellMar>
        </w:tblPrEx>
        <w:trPr>
          <w:trHeight w:val="385" w:hRule="atLeast"/>
          <w:jc w:val="center"/>
        </w:trPr>
        <w:tc>
          <w:tcPr>
            <w:tcW w:w="30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前海管理局备案意见</w:t>
            </w:r>
          </w:p>
        </w:tc>
        <w:tc>
          <w:tcPr>
            <w:tcW w:w="6496"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rPr>
              <w:t>准予变更备案</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r>
              <w:rPr>
                <w:rFonts w:hint="eastAsia" w:ascii="Times New Roman" w:hAnsi="Times New Roman" w:eastAsia="仿宋" w:cs="宋体"/>
                <w:kern w:val="0"/>
                <w:sz w:val="20"/>
              </w:rPr>
              <w:t>□</w:t>
            </w:r>
            <w:r>
              <w:rPr>
                <w:rFonts w:hint="eastAsia" w:ascii="仿宋_GB2312" w:hAnsi="仿宋_GB2312" w:eastAsia="仿宋_GB2312" w:cs="仿宋_GB2312"/>
                <w:bCs/>
                <w:color w:val="auto"/>
                <w:kern w:val="0"/>
                <w:sz w:val="24"/>
                <w:szCs w:val="24"/>
              </w:rPr>
              <w:t>不予变更备案理由</w:t>
            </w:r>
            <w:r>
              <w:rPr>
                <w:rFonts w:hint="eastAsia" w:ascii="Times New Roman" w:hAnsi="Times New Roman" w:eastAsia="仿宋" w:cs="宋体"/>
                <w:kern w:val="0"/>
                <w:sz w:val="20"/>
              </w:rPr>
              <w:t>：</w:t>
            </w:r>
            <w:r>
              <w:rPr>
                <w:rFonts w:ascii="Times New Roman" w:hAnsi="Times New Roman" w:eastAsia="仿宋" w:cs="宋体"/>
                <w:kern w:val="0"/>
                <w:sz w:val="20"/>
              </w:rPr>
              <w:t>________________________________</w:t>
            </w: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00" w:firstLineChars="200"/>
              <w:textAlignment w:val="auto"/>
              <w:rPr>
                <w:rFonts w:ascii="Times New Roman" w:hAnsi="Times New Roman" w:eastAsia="仿宋" w:cs="宋体"/>
                <w:kern w:val="0"/>
                <w:sz w:val="20"/>
              </w:rPr>
            </w:pPr>
          </w:p>
          <w:p>
            <w:pPr>
              <w:keepNext w:val="0"/>
              <w:keepLines w:val="0"/>
              <w:pageBreakBefore w:val="0"/>
              <w:widowControl/>
              <w:kinsoku/>
              <w:overflowPunct/>
              <w:topLinePunct w:val="0"/>
              <w:autoSpaceDE/>
              <w:autoSpaceDN/>
              <w:bidi w:val="0"/>
              <w:adjustRightInd/>
              <w:spacing w:afterLines="0" w:line="560" w:lineRule="exact"/>
              <w:ind w:left="0" w:right="0" w:rightChars="0" w:firstLine="480" w:firstLineChars="200"/>
              <w:jc w:val="right"/>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rPr>
              <w:t>（前海管理局公章）</w:t>
            </w:r>
            <w:r>
              <w:rPr>
                <w:rFonts w:ascii="Times New Roman" w:hAnsi="Times New Roman" w:eastAsia="仿宋" w:cs="宋体"/>
                <w:kern w:val="0"/>
                <w:sz w:val="20"/>
              </w:rPr>
              <w:t xml:space="preserve">    </w:t>
            </w:r>
          </w:p>
          <w:p>
            <w:pPr>
              <w:keepNext w:val="0"/>
              <w:keepLines w:val="0"/>
              <w:pageBreakBefore w:val="0"/>
              <w:widowControl/>
              <w:kinsoku/>
              <w:wordWrap w:val="0"/>
              <w:overflowPunct/>
              <w:topLinePunct w:val="0"/>
              <w:autoSpaceDE/>
              <w:autoSpaceDN/>
              <w:bidi w:val="0"/>
              <w:adjustRightInd/>
              <w:spacing w:afterLines="0" w:line="560" w:lineRule="exact"/>
              <w:ind w:left="0" w:right="0" w:rightChars="0" w:firstLine="480" w:firstLineChars="200"/>
              <w:jc w:val="right"/>
              <w:textAlignment w:val="auto"/>
              <w:rPr>
                <w:rFonts w:hint="default" w:ascii="Times New Roman" w:hAnsi="Times New Roman" w:eastAsia="仿宋" w:cs="宋体"/>
                <w:kern w:val="0"/>
                <w:sz w:val="20"/>
              </w:rPr>
            </w:pPr>
            <w:r>
              <w:rPr>
                <w:rFonts w:hint="eastAsia" w:ascii="仿宋_GB2312" w:hAnsi="仿宋_GB2312" w:eastAsia="仿宋_GB2312" w:cs="仿宋_GB2312"/>
                <w:bCs/>
                <w:color w:val="auto"/>
                <w:kern w:val="0"/>
                <w:sz w:val="24"/>
                <w:szCs w:val="24"/>
              </w:rPr>
              <w:t>年   月   日</w:t>
            </w:r>
            <w:r>
              <w:rPr>
                <w:rFonts w:hint="default" w:ascii="仿宋_GB2312" w:hAnsi="仿宋_GB2312" w:eastAsia="仿宋_GB2312" w:cs="仿宋_GB2312"/>
                <w:bCs/>
                <w:color w:val="auto"/>
                <w:kern w:val="0"/>
                <w:sz w:val="24"/>
                <w:szCs w:val="24"/>
              </w:rPr>
              <w:t xml:space="preserve">    </w:t>
            </w:r>
          </w:p>
        </w:tc>
      </w:tr>
      <w:bookmarkEnd w:id="0"/>
      <w:bookmarkEnd w:id="1"/>
      <w:bookmarkEnd w:id="2"/>
      <w:bookmarkEnd w:id="3"/>
    </w:tbl>
    <w:p>
      <w:pPr>
        <w:keepNext w:val="0"/>
        <w:keepLines w:val="0"/>
        <w:pageBreakBefore w:val="0"/>
        <w:kinsoku/>
        <w:overflowPunct/>
        <w:topLinePunct w:val="0"/>
        <w:autoSpaceDE/>
        <w:autoSpaceDN/>
        <w:bidi w:val="0"/>
        <w:adjustRightInd/>
        <w:spacing w:afterLines="0" w:line="560" w:lineRule="exact"/>
        <w:ind w:left="0" w:right="0" w:rightChars="0" w:firstLine="562" w:firstLineChars="200"/>
        <w:textAlignment w:val="auto"/>
        <w:rPr>
          <w:rFonts w:ascii="Times New Roman" w:hAnsi="Times New Roman" w:eastAsia="仿宋"/>
          <w:b/>
          <w:kern w:val="44"/>
          <w:sz w:val="28"/>
          <w:szCs w:val="28"/>
        </w:rPr>
      </w:pPr>
    </w:p>
    <w:sectPr>
      <w:headerReference r:id="rId7" w:type="first"/>
      <w:headerReference r:id="rId5" w:type="default"/>
      <w:head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明磊凌20220901"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明磊凌20220901" style="font-family:&amp;quot;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3M7EwMDU1NDMxNjdW0lEKTi0uzszPAykwqQUAQc9IwSwAAAA="/>
    <w:docVar w:name="commondata" w:val="eyJoZGlkIjoiZjliYTQ4NDFkNmVkODM3YTdmN2NjNzIzMzMyNjFhNjIifQ=="/>
  </w:docVars>
  <w:rsids>
    <w:rsidRoot w:val="00587CCF"/>
    <w:rsid w:val="00006387"/>
    <w:rsid w:val="000228E8"/>
    <w:rsid w:val="00051706"/>
    <w:rsid w:val="00052DCE"/>
    <w:rsid w:val="000629EA"/>
    <w:rsid w:val="00063875"/>
    <w:rsid w:val="00063B06"/>
    <w:rsid w:val="000844A9"/>
    <w:rsid w:val="00094EE0"/>
    <w:rsid w:val="000B26D6"/>
    <w:rsid w:val="000B2FF4"/>
    <w:rsid w:val="000D7E7F"/>
    <w:rsid w:val="001016CC"/>
    <w:rsid w:val="00112F2F"/>
    <w:rsid w:val="001134A9"/>
    <w:rsid w:val="0011431F"/>
    <w:rsid w:val="00152E8F"/>
    <w:rsid w:val="00155887"/>
    <w:rsid w:val="00170DF0"/>
    <w:rsid w:val="00172BC8"/>
    <w:rsid w:val="0018151A"/>
    <w:rsid w:val="001914C1"/>
    <w:rsid w:val="001A4B08"/>
    <w:rsid w:val="001A5EEC"/>
    <w:rsid w:val="001E3697"/>
    <w:rsid w:val="001F7E32"/>
    <w:rsid w:val="00236A4B"/>
    <w:rsid w:val="00271082"/>
    <w:rsid w:val="00274DD9"/>
    <w:rsid w:val="00275905"/>
    <w:rsid w:val="002A20A1"/>
    <w:rsid w:val="002A2C6F"/>
    <w:rsid w:val="002A753B"/>
    <w:rsid w:val="002B278B"/>
    <w:rsid w:val="002B6063"/>
    <w:rsid w:val="002C23C9"/>
    <w:rsid w:val="002D2917"/>
    <w:rsid w:val="00310C3A"/>
    <w:rsid w:val="00312D0A"/>
    <w:rsid w:val="0031748C"/>
    <w:rsid w:val="00333337"/>
    <w:rsid w:val="00347AFC"/>
    <w:rsid w:val="003E5F98"/>
    <w:rsid w:val="003F2304"/>
    <w:rsid w:val="00421D0C"/>
    <w:rsid w:val="00427786"/>
    <w:rsid w:val="00433A23"/>
    <w:rsid w:val="00453DC8"/>
    <w:rsid w:val="00457143"/>
    <w:rsid w:val="00474CE4"/>
    <w:rsid w:val="004A0E5C"/>
    <w:rsid w:val="004A6B2C"/>
    <w:rsid w:val="004B352A"/>
    <w:rsid w:val="004B7137"/>
    <w:rsid w:val="004C31E3"/>
    <w:rsid w:val="004C522F"/>
    <w:rsid w:val="004E2E0D"/>
    <w:rsid w:val="004E38E2"/>
    <w:rsid w:val="0051359A"/>
    <w:rsid w:val="00517F97"/>
    <w:rsid w:val="00585DD2"/>
    <w:rsid w:val="005878B2"/>
    <w:rsid w:val="00587CCF"/>
    <w:rsid w:val="005C2138"/>
    <w:rsid w:val="005C5209"/>
    <w:rsid w:val="005C68D6"/>
    <w:rsid w:val="005D47CE"/>
    <w:rsid w:val="005E24CA"/>
    <w:rsid w:val="005F6375"/>
    <w:rsid w:val="00622CD0"/>
    <w:rsid w:val="00657C34"/>
    <w:rsid w:val="00664A01"/>
    <w:rsid w:val="00667952"/>
    <w:rsid w:val="00674415"/>
    <w:rsid w:val="00686408"/>
    <w:rsid w:val="006A6B3F"/>
    <w:rsid w:val="006B391E"/>
    <w:rsid w:val="00711F58"/>
    <w:rsid w:val="00726E60"/>
    <w:rsid w:val="00751FD1"/>
    <w:rsid w:val="00761C4C"/>
    <w:rsid w:val="00792528"/>
    <w:rsid w:val="007B642E"/>
    <w:rsid w:val="007C5DDF"/>
    <w:rsid w:val="007E30E4"/>
    <w:rsid w:val="007E485A"/>
    <w:rsid w:val="007F1F6F"/>
    <w:rsid w:val="00816310"/>
    <w:rsid w:val="008213C1"/>
    <w:rsid w:val="0082584B"/>
    <w:rsid w:val="008523D3"/>
    <w:rsid w:val="008560A1"/>
    <w:rsid w:val="0087787F"/>
    <w:rsid w:val="00893834"/>
    <w:rsid w:val="008B3158"/>
    <w:rsid w:val="008B471F"/>
    <w:rsid w:val="008D539C"/>
    <w:rsid w:val="00900650"/>
    <w:rsid w:val="00906EC5"/>
    <w:rsid w:val="009232B3"/>
    <w:rsid w:val="009235D4"/>
    <w:rsid w:val="00927AE1"/>
    <w:rsid w:val="009309EF"/>
    <w:rsid w:val="0093198B"/>
    <w:rsid w:val="00946353"/>
    <w:rsid w:val="0096137F"/>
    <w:rsid w:val="0097169E"/>
    <w:rsid w:val="009A10B7"/>
    <w:rsid w:val="009B6D1A"/>
    <w:rsid w:val="009F18EC"/>
    <w:rsid w:val="009F2548"/>
    <w:rsid w:val="00A13558"/>
    <w:rsid w:val="00A24018"/>
    <w:rsid w:val="00A32161"/>
    <w:rsid w:val="00A7030F"/>
    <w:rsid w:val="00A909AB"/>
    <w:rsid w:val="00A97FF3"/>
    <w:rsid w:val="00AD1F61"/>
    <w:rsid w:val="00B2321A"/>
    <w:rsid w:val="00B26F4A"/>
    <w:rsid w:val="00B77D8E"/>
    <w:rsid w:val="00B80B1D"/>
    <w:rsid w:val="00BA23DA"/>
    <w:rsid w:val="00BA5AA3"/>
    <w:rsid w:val="00BD2E4D"/>
    <w:rsid w:val="00C2585E"/>
    <w:rsid w:val="00C34694"/>
    <w:rsid w:val="00C56B3E"/>
    <w:rsid w:val="00C67453"/>
    <w:rsid w:val="00C856A1"/>
    <w:rsid w:val="00CF55E1"/>
    <w:rsid w:val="00D10765"/>
    <w:rsid w:val="00D317FC"/>
    <w:rsid w:val="00D37D3D"/>
    <w:rsid w:val="00D43F89"/>
    <w:rsid w:val="00D74520"/>
    <w:rsid w:val="00D7762F"/>
    <w:rsid w:val="00D805F9"/>
    <w:rsid w:val="00D84884"/>
    <w:rsid w:val="00DC1769"/>
    <w:rsid w:val="00DD0655"/>
    <w:rsid w:val="00DE476D"/>
    <w:rsid w:val="00DE6BA4"/>
    <w:rsid w:val="00E20A06"/>
    <w:rsid w:val="00E26108"/>
    <w:rsid w:val="00E31732"/>
    <w:rsid w:val="00E33DD5"/>
    <w:rsid w:val="00E42D96"/>
    <w:rsid w:val="00E52A25"/>
    <w:rsid w:val="00E55FCF"/>
    <w:rsid w:val="00E77EC7"/>
    <w:rsid w:val="00E85970"/>
    <w:rsid w:val="00E91ED1"/>
    <w:rsid w:val="00EB3887"/>
    <w:rsid w:val="00EC2F50"/>
    <w:rsid w:val="00EE154C"/>
    <w:rsid w:val="00EF377F"/>
    <w:rsid w:val="00F05AD1"/>
    <w:rsid w:val="00F5248C"/>
    <w:rsid w:val="00F54939"/>
    <w:rsid w:val="00F63979"/>
    <w:rsid w:val="00F63D92"/>
    <w:rsid w:val="00F74AF9"/>
    <w:rsid w:val="00F84D21"/>
    <w:rsid w:val="00F96C00"/>
    <w:rsid w:val="00FA7773"/>
    <w:rsid w:val="00FB0566"/>
    <w:rsid w:val="00FD06C0"/>
    <w:rsid w:val="00FE204D"/>
    <w:rsid w:val="00FF4F7C"/>
    <w:rsid w:val="077B0CDE"/>
    <w:rsid w:val="0A156E70"/>
    <w:rsid w:val="114A7CA5"/>
    <w:rsid w:val="14377A3C"/>
    <w:rsid w:val="1674158B"/>
    <w:rsid w:val="16BF7999"/>
    <w:rsid w:val="191C22F5"/>
    <w:rsid w:val="1B1C6DAC"/>
    <w:rsid w:val="1CBF12E2"/>
    <w:rsid w:val="257F891F"/>
    <w:rsid w:val="2A474062"/>
    <w:rsid w:val="2ACA5865"/>
    <w:rsid w:val="2AFF2F76"/>
    <w:rsid w:val="2CF64F6E"/>
    <w:rsid w:val="2EF7D3DB"/>
    <w:rsid w:val="2FFFFC57"/>
    <w:rsid w:val="30722B77"/>
    <w:rsid w:val="314F6412"/>
    <w:rsid w:val="3333612A"/>
    <w:rsid w:val="33504BDC"/>
    <w:rsid w:val="39A80F2F"/>
    <w:rsid w:val="3AED5525"/>
    <w:rsid w:val="3D2F03E5"/>
    <w:rsid w:val="3FFFFC45"/>
    <w:rsid w:val="40893480"/>
    <w:rsid w:val="42A24E09"/>
    <w:rsid w:val="4F300C15"/>
    <w:rsid w:val="4FF67A7F"/>
    <w:rsid w:val="53085880"/>
    <w:rsid w:val="56210E2A"/>
    <w:rsid w:val="5EFF6199"/>
    <w:rsid w:val="5F9F7881"/>
    <w:rsid w:val="5FBEBA9E"/>
    <w:rsid w:val="609F2C61"/>
    <w:rsid w:val="61FF10A4"/>
    <w:rsid w:val="63B835D2"/>
    <w:rsid w:val="6C214798"/>
    <w:rsid w:val="6EC51FA5"/>
    <w:rsid w:val="6FB36AC9"/>
    <w:rsid w:val="6FEF4C43"/>
    <w:rsid w:val="6FFE8669"/>
    <w:rsid w:val="73E562A4"/>
    <w:rsid w:val="7779CB4C"/>
    <w:rsid w:val="77A9D18C"/>
    <w:rsid w:val="77FF339C"/>
    <w:rsid w:val="7BFB04CE"/>
    <w:rsid w:val="7FE961A0"/>
    <w:rsid w:val="7FFF5297"/>
    <w:rsid w:val="8D7FED61"/>
    <w:rsid w:val="D7FE4BEA"/>
    <w:rsid w:val="E7F39D14"/>
    <w:rsid w:val="ED3FCBC7"/>
    <w:rsid w:val="FB9347EA"/>
    <w:rsid w:val="FBF65EDF"/>
    <w:rsid w:val="FEFF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31"/>
    <w:qFormat/>
    <w:uiPriority w:val="9"/>
    <w:pPr>
      <w:spacing w:line="560" w:lineRule="exact"/>
      <w:ind w:firstLine="200" w:firstLineChars="200"/>
      <w:outlineLvl w:val="0"/>
    </w:pPr>
    <w:rPr>
      <w:rFonts w:ascii="仿宋" w:hAnsi="仿宋" w:eastAsia="黑体"/>
      <w:bCs/>
      <w:kern w:val="44"/>
      <w:sz w:val="32"/>
      <w:szCs w:val="44"/>
    </w:rPr>
  </w:style>
  <w:style w:type="paragraph" w:styleId="3">
    <w:name w:val="heading 2"/>
    <w:basedOn w:val="4"/>
    <w:next w:val="1"/>
    <w:link w:val="28"/>
    <w:unhideWhenUsed/>
    <w:qFormat/>
    <w:uiPriority w:val="9"/>
    <w:pPr>
      <w:spacing w:line="560" w:lineRule="exact"/>
      <w:ind w:firstLine="200" w:firstLineChars="200"/>
      <w:outlineLvl w:val="1"/>
    </w:pPr>
    <w:rPr>
      <w:rFonts w:ascii="仿宋" w:hAnsi="仿宋" w:eastAsia="楷体" w:cs="宋体"/>
      <w:bCs/>
      <w:color w:val="000000"/>
      <w:kern w:val="2"/>
      <w:sz w:val="32"/>
      <w:szCs w:val="32"/>
      <w:lang w:val="en-US" w:eastAsia="zh-CN" w:bidi="ar-SA"/>
    </w:rPr>
  </w:style>
  <w:style w:type="paragraph" w:styleId="5">
    <w:name w:val="heading 3"/>
    <w:basedOn w:val="1"/>
    <w:next w:val="1"/>
    <w:link w:val="29"/>
    <w:unhideWhenUsed/>
    <w:qFormat/>
    <w:uiPriority w:val="9"/>
    <w:pPr>
      <w:keepNext/>
      <w:keepLines/>
      <w:spacing w:before="260" w:after="260" w:line="416" w:lineRule="auto"/>
      <w:ind w:firstLine="200" w:firstLineChars="200"/>
      <w:outlineLvl w:val="2"/>
    </w:pPr>
    <w:rPr>
      <w:rFonts w:ascii="仿宋" w:hAnsi="仿宋" w:eastAsia="仿宋"/>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line="560" w:lineRule="exact"/>
      <w:ind w:firstLine="200" w:firstLineChars="200"/>
    </w:pPr>
    <w:rPr>
      <w:rFonts w:ascii="Times New Roman" w:hAnsi="Times New Roman" w:eastAsia="仿宋"/>
      <w:sz w:val="24"/>
      <w:szCs w:val="24"/>
    </w:rPr>
  </w:style>
  <w:style w:type="paragraph" w:styleId="6">
    <w:name w:val="annotation text"/>
    <w:basedOn w:val="1"/>
    <w:link w:val="18"/>
    <w:semiHidden/>
    <w:unhideWhenUsed/>
    <w:qFormat/>
    <w:uiPriority w:val="0"/>
    <w:pPr>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513"/>
        <w:tab w:val="right" w:pos="902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513"/>
        <w:tab w:val="right" w:pos="9026"/>
      </w:tabs>
      <w:snapToGrid w:val="0"/>
      <w:jc w:val="center"/>
    </w:pPr>
    <w:rPr>
      <w:sz w:val="18"/>
      <w:szCs w:val="18"/>
    </w:rPr>
  </w:style>
  <w:style w:type="paragraph" w:styleId="10">
    <w:name w:val="Title"/>
    <w:basedOn w:val="1"/>
    <w:next w:val="1"/>
    <w:link w:val="33"/>
    <w:qFormat/>
    <w:uiPriority w:val="10"/>
    <w:pPr>
      <w:spacing w:line="280" w:lineRule="exact"/>
      <w:ind w:firstLine="0" w:firstLineChars="0"/>
      <w:jc w:val="left"/>
      <w:outlineLvl w:val="0"/>
    </w:pPr>
    <w:rPr>
      <w:rFonts w:ascii="仿宋" w:hAnsi="仿宋" w:eastAsia="仿宋" w:cstheme="majorBidi"/>
      <w:b/>
      <w:bCs/>
      <w:sz w:val="28"/>
      <w:szCs w:val="32"/>
    </w:rPr>
  </w:style>
  <w:style w:type="paragraph" w:styleId="11">
    <w:name w:val="annotation subject"/>
    <w:basedOn w:val="6"/>
    <w:next w:val="6"/>
    <w:link w:val="19"/>
    <w:semiHidden/>
    <w:unhideWhenUsed/>
    <w:qFormat/>
    <w:uiPriority w:val="99"/>
    <w:rPr>
      <w:b/>
      <w:bCs/>
    </w:rPr>
  </w:style>
  <w:style w:type="character" w:styleId="14">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3"/>
    <w:unhideWhenUsed/>
    <w:qFormat/>
    <w:uiPriority w:val="99"/>
    <w:rPr>
      <w:color w:val="0563C1"/>
      <w:u w:val="single"/>
    </w:rPr>
  </w:style>
  <w:style w:type="character" w:styleId="16">
    <w:name w:val="annotation reference"/>
    <w:basedOn w:val="13"/>
    <w:semiHidden/>
    <w:unhideWhenUsed/>
    <w:qFormat/>
    <w:uiPriority w:val="99"/>
    <w:rPr>
      <w:sz w:val="18"/>
      <w:szCs w:val="18"/>
    </w:rPr>
  </w:style>
  <w:style w:type="paragraph" w:customStyle="1" w:styleId="17">
    <w:name w:val="修订1"/>
    <w:hidden/>
    <w:semiHidden/>
    <w:qFormat/>
    <w:uiPriority w:val="99"/>
    <w:rPr>
      <w:rFonts w:ascii="等线" w:hAnsi="等线" w:eastAsia="等线" w:cs="Times New Roman"/>
      <w:kern w:val="2"/>
      <w:sz w:val="21"/>
      <w:szCs w:val="22"/>
      <w:lang w:val="en-US" w:eastAsia="zh-CN" w:bidi="ar-SA"/>
    </w:rPr>
  </w:style>
  <w:style w:type="character" w:customStyle="1" w:styleId="18">
    <w:name w:val="批注文字 字符"/>
    <w:basedOn w:val="13"/>
    <w:link w:val="6"/>
    <w:qFormat/>
    <w:uiPriority w:val="0"/>
    <w:rPr>
      <w:rFonts w:ascii="等线" w:hAnsi="等线" w:eastAsia="等线" w:cs="Times New Roman"/>
      <w:kern w:val="2"/>
      <w:sz w:val="21"/>
      <w:szCs w:val="22"/>
      <w:lang w:eastAsia="zh-CN"/>
    </w:rPr>
  </w:style>
  <w:style w:type="character" w:customStyle="1" w:styleId="19">
    <w:name w:val="批注主题 字符"/>
    <w:basedOn w:val="18"/>
    <w:link w:val="11"/>
    <w:qFormat/>
    <w:uiPriority w:val="0"/>
    <w:rPr>
      <w:rFonts w:ascii="等线" w:hAnsi="等线" w:eastAsia="等线" w:cs="Times New Roman"/>
      <w:b/>
      <w:bCs/>
      <w:kern w:val="2"/>
      <w:sz w:val="21"/>
      <w:szCs w:val="22"/>
      <w:lang w:eastAsia="zh-CN"/>
    </w:rPr>
  </w:style>
  <w:style w:type="character" w:customStyle="1" w:styleId="20">
    <w:name w:val="未处理的提及1"/>
    <w:basedOn w:val="13"/>
    <w:unhideWhenUsed/>
    <w:qFormat/>
    <w:uiPriority w:val="99"/>
    <w:rPr>
      <w:color w:val="605E5C"/>
      <w:shd w:val="clear" w:color="auto" w:fill="E1DFDD"/>
    </w:rPr>
  </w:style>
  <w:style w:type="character" w:customStyle="1" w:styleId="21">
    <w:name w:val="页眉 字符"/>
    <w:basedOn w:val="13"/>
    <w:link w:val="9"/>
    <w:qFormat/>
    <w:uiPriority w:val="0"/>
    <w:rPr>
      <w:rFonts w:ascii="等线" w:hAnsi="等线" w:eastAsia="等线" w:cs="Times New Roman"/>
      <w:kern w:val="2"/>
      <w:sz w:val="18"/>
      <w:szCs w:val="18"/>
      <w:lang w:eastAsia="zh-CN"/>
    </w:rPr>
  </w:style>
  <w:style w:type="character" w:customStyle="1" w:styleId="22">
    <w:name w:val="页脚 字符"/>
    <w:basedOn w:val="13"/>
    <w:link w:val="8"/>
    <w:qFormat/>
    <w:uiPriority w:val="0"/>
    <w:rPr>
      <w:rFonts w:ascii="等线" w:hAnsi="等线" w:eastAsia="等线" w:cs="Times New Roman"/>
      <w:kern w:val="2"/>
      <w:sz w:val="18"/>
      <w:szCs w:val="18"/>
      <w:lang w:eastAsia="zh-CN"/>
    </w:rPr>
  </w:style>
  <w:style w:type="character" w:customStyle="1" w:styleId="23">
    <w:name w:val="批注框文本 字符"/>
    <w:basedOn w:val="13"/>
    <w:link w:val="7"/>
    <w:qFormat/>
    <w:uiPriority w:val="0"/>
    <w:rPr>
      <w:rFonts w:ascii="等线" w:hAnsi="等线" w:eastAsia="等线" w:cs="Times New Roman"/>
      <w:kern w:val="2"/>
      <w:sz w:val="18"/>
      <w:szCs w:val="18"/>
    </w:rPr>
  </w:style>
  <w:style w:type="paragraph" w:customStyle="1" w:styleId="24">
    <w:name w:val="修订2"/>
    <w:hidden/>
    <w:semiHidden/>
    <w:qFormat/>
    <w:uiPriority w:val="99"/>
    <w:rPr>
      <w:rFonts w:ascii="等线" w:hAnsi="等线" w:eastAsia="等线" w:cs="Times New Roman"/>
      <w:kern w:val="2"/>
      <w:sz w:val="21"/>
      <w:szCs w:val="22"/>
      <w:lang w:val="en-US" w:eastAsia="zh-CN" w:bidi="ar-SA"/>
    </w:rPr>
  </w:style>
  <w:style w:type="paragraph" w:customStyle="1" w:styleId="25">
    <w:name w:val="修订3"/>
    <w:hidden/>
    <w:semiHidden/>
    <w:qFormat/>
    <w:uiPriority w:val="99"/>
    <w:rPr>
      <w:rFonts w:ascii="等线" w:hAnsi="等线" w:eastAsia="等线" w:cs="Times New Roman"/>
      <w:kern w:val="2"/>
      <w:sz w:val="21"/>
      <w:szCs w:val="22"/>
      <w:lang w:val="en-US" w:eastAsia="zh-CN" w:bidi="ar-SA"/>
    </w:rPr>
  </w:style>
  <w:style w:type="paragraph" w:customStyle="1" w:styleId="26">
    <w:name w:val="Revision1"/>
    <w:hidden/>
    <w:semiHidden/>
    <w:qFormat/>
    <w:uiPriority w:val="99"/>
    <w:rPr>
      <w:rFonts w:ascii="等线" w:hAnsi="等线" w:eastAsia="等线" w:cs="Times New Roman"/>
      <w:kern w:val="2"/>
      <w:sz w:val="21"/>
      <w:szCs w:val="22"/>
      <w:lang w:val="en-US" w:eastAsia="zh-CN" w:bidi="ar-SA"/>
    </w:rPr>
  </w:style>
  <w:style w:type="paragraph" w:customStyle="1" w:styleId="27">
    <w:name w:val="修订4"/>
    <w:hidden/>
    <w:semiHidden/>
    <w:qFormat/>
    <w:uiPriority w:val="99"/>
    <w:rPr>
      <w:rFonts w:ascii="等线" w:hAnsi="等线" w:eastAsia="等线" w:cs="Times New Roman"/>
      <w:kern w:val="2"/>
      <w:sz w:val="21"/>
      <w:szCs w:val="22"/>
      <w:lang w:val="en-US" w:eastAsia="zh-CN" w:bidi="ar-SA"/>
    </w:rPr>
  </w:style>
  <w:style w:type="character" w:customStyle="1" w:styleId="28">
    <w:name w:val="标题 2 字符"/>
    <w:link w:val="3"/>
    <w:qFormat/>
    <w:uiPriority w:val="9"/>
    <w:rPr>
      <w:rFonts w:ascii="仿宋" w:hAnsi="仿宋" w:eastAsia="楷体" w:cs="宋体"/>
      <w:bCs/>
      <w:color w:val="000000"/>
      <w:kern w:val="2"/>
      <w:sz w:val="32"/>
      <w:szCs w:val="32"/>
      <w:lang w:val="en-US" w:eastAsia="zh-CN" w:bidi="ar-SA"/>
    </w:rPr>
  </w:style>
  <w:style w:type="character" w:customStyle="1" w:styleId="29">
    <w:name w:val="标题 3 字符"/>
    <w:link w:val="5"/>
    <w:qFormat/>
    <w:uiPriority w:val="9"/>
    <w:rPr>
      <w:rFonts w:ascii="等线" w:hAnsi="等线" w:eastAsia="等线" w:cs="Times New Roman"/>
      <w:b/>
      <w:bCs/>
      <w:szCs w:val="32"/>
    </w:rPr>
  </w:style>
  <w:style w:type="paragraph" w:styleId="30">
    <w:name w:val="List Paragraph"/>
    <w:basedOn w:val="1"/>
    <w:qFormat/>
    <w:uiPriority w:val="34"/>
    <w:pPr>
      <w:spacing w:line="560" w:lineRule="exact"/>
      <w:ind w:firstLine="420" w:firstLineChars="200"/>
    </w:pPr>
    <w:rPr>
      <w:rFonts w:ascii="仿宋" w:hAnsi="仿宋" w:eastAsia="仿宋"/>
      <w:sz w:val="32"/>
    </w:rPr>
  </w:style>
  <w:style w:type="character" w:customStyle="1" w:styleId="31">
    <w:name w:val="标题 1 字符"/>
    <w:basedOn w:val="13"/>
    <w:link w:val="2"/>
    <w:qFormat/>
    <w:uiPriority w:val="9"/>
    <w:rPr>
      <w:rFonts w:ascii="等线" w:hAnsi="等线" w:eastAsia="黑体" w:cs="Times New Roman"/>
      <w:bCs/>
      <w:kern w:val="44"/>
      <w:szCs w:val="44"/>
    </w:rPr>
  </w:style>
  <w:style w:type="character" w:customStyle="1" w:styleId="32">
    <w:name w:val="op-map-singlepoint-info-right"/>
    <w:basedOn w:val="13"/>
    <w:qFormat/>
    <w:uiPriority w:val="0"/>
    <w:rPr>
      <w:rFonts w:ascii="等线" w:hAnsi="等线" w:eastAsia="等线" w:cs="Times New Roman"/>
    </w:rPr>
  </w:style>
  <w:style w:type="character" w:customStyle="1" w:styleId="33">
    <w:name w:val="标题 字符"/>
    <w:basedOn w:val="13"/>
    <w:link w:val="10"/>
    <w:qFormat/>
    <w:uiPriority w:val="10"/>
    <w:rPr>
      <w:rFonts w:ascii="等线" w:hAnsi="等线" w:eastAsia="等线" w:cstheme="majorBidi"/>
      <w:b/>
      <w:bCs/>
      <w:sz w:val="28"/>
      <w:szCs w:val="32"/>
    </w:rPr>
  </w:style>
  <w:style w:type="character" w:customStyle="1" w:styleId="34">
    <w:name w:val="Unresolved Mention"/>
    <w:basedOn w:val="13"/>
    <w:semiHidden/>
    <w:unhideWhenUsed/>
    <w:qFormat/>
    <w:uiPriority w:val="99"/>
    <w:rPr>
      <w:rFonts w:ascii="等线" w:hAnsi="等线" w:eastAsia="等线" w:cs="Times New Roman"/>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7933</Words>
  <Characters>9483</Characters>
  <Lines>2</Lines>
  <Paragraphs>1</Paragraphs>
  <TotalTime>0</TotalTime>
  <ScaleCrop>false</ScaleCrop>
  <LinksUpToDate>false</LinksUpToDate>
  <CharactersWithSpaces>9808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2020-11-18T18:03:00Z</dcterms:created>
  <dc:creator>wanglu</dc:creator>
  <cp:lastModifiedBy>double 2</cp:lastModifiedBy>
  <cp:lastPrinted>2020-11-14T00:30:00Z</cp:lastPrinted>
  <dcterms:modified xsi:type="dcterms:W3CDTF">2022-09-07T07:15:56Z</dcterms:modified>
  <dc:title>深圳市前海管理局关于印发《深圳市前海深港现代服务业合作区香港工程建设领域专业机构执业备案管理办法》的通知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87959EA48F1341049CA2C02FD87A749F</vt:lpwstr>
  </property>
  <property fmtid="{D5CDD505-2E9C-101B-9397-08002B2CF9AE}" pid="4" name="ContentTypeId">
    <vt:lpwstr>0x01010053699B7B1FB10948A8A2203B958A426A</vt:lpwstr>
  </property>
</Properties>
</file>