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40"/>
          <w:szCs w:val="32"/>
        </w:rPr>
      </w:pPr>
      <w:r>
        <w:rPr>
          <w:rFonts w:hint="eastAsia" w:ascii="黑体" w:hAnsi="黑体" w:eastAsia="黑体"/>
          <w:sz w:val="40"/>
          <w:szCs w:val="32"/>
        </w:rPr>
        <w:t>附件</w:t>
      </w:r>
    </w:p>
    <w:p>
      <w:pPr>
        <w:jc w:val="center"/>
        <w:rPr>
          <w:rFonts w:ascii="方正小标宋简体" w:hAnsi="宋体" w:eastAsia="方正小标宋简体"/>
          <w:sz w:val="52"/>
          <w:szCs w:val="44"/>
        </w:rPr>
      </w:pPr>
      <w:r>
        <w:rPr>
          <w:rFonts w:hint="eastAsia" w:ascii="方正小标宋简体" w:hAnsi="宋体" w:eastAsia="方正小标宋简体"/>
          <w:sz w:val="52"/>
          <w:szCs w:val="44"/>
        </w:rPr>
        <w:t>《深圳市地价测算规则》(第二次征求意见稿)意见采纳情况汇总表</w:t>
      </w:r>
      <w:r>
        <w:rPr>
          <w:rFonts w:hint="eastAsia" w:ascii="方正小标宋简体" w:hAnsi="宋体" w:eastAsia="方正小标宋简体"/>
          <w:kern w:val="0"/>
          <w:sz w:val="52"/>
          <w:szCs w:val="44"/>
        </w:rPr>
        <w:t>（社会公众意见）</w:t>
      </w:r>
    </w:p>
    <w:p>
      <w:pPr>
        <w:ind w:firstLine="320" w:firstLineChars="100"/>
        <w:jc w:val="left"/>
        <w:rPr>
          <w:rFonts w:ascii="宋体" w:hAnsi="宋体"/>
          <w:sz w:val="32"/>
          <w:szCs w:val="32"/>
        </w:rPr>
      </w:pPr>
      <w:r>
        <w:rPr>
          <w:rFonts w:hint="eastAsia" w:ascii="宋体" w:hAnsi="宋体"/>
          <w:sz w:val="32"/>
          <w:szCs w:val="32"/>
        </w:rPr>
        <w:t>注：征求意见期间共征集社会公众意见 75 条，其中建议 68 条，提问 7 条。经研究后采纳35条，解释 40条。</w:t>
      </w:r>
    </w:p>
    <w:p>
      <w:pPr>
        <w:ind w:firstLine="281" w:firstLineChars="100"/>
        <w:jc w:val="left"/>
        <w:rPr>
          <w:b/>
          <w:szCs w:val="21"/>
        </w:rPr>
      </w:pPr>
    </w:p>
    <w:tbl>
      <w:tblPr>
        <w:tblStyle w:val="6"/>
        <w:tblW w:w="22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792"/>
        <w:gridCol w:w="1984"/>
        <w:gridCol w:w="12582"/>
        <w:gridCol w:w="4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90" w:type="dxa"/>
            <w:vAlign w:val="center"/>
          </w:tcPr>
          <w:p>
            <w:pPr>
              <w:jc w:val="center"/>
              <w:rPr>
                <w:rFonts w:ascii="宋体" w:hAnsi="宋体" w:cs="宋体"/>
                <w:b/>
                <w:bCs/>
                <w:color w:val="000000"/>
                <w:sz w:val="36"/>
              </w:rPr>
            </w:pPr>
            <w:r>
              <w:rPr>
                <w:rFonts w:hint="eastAsia"/>
                <w:b/>
                <w:bCs/>
                <w:color w:val="000000"/>
                <w:sz w:val="36"/>
              </w:rPr>
              <w:t>序号</w:t>
            </w:r>
          </w:p>
        </w:tc>
        <w:tc>
          <w:tcPr>
            <w:tcW w:w="1792" w:type="dxa"/>
            <w:vAlign w:val="center"/>
          </w:tcPr>
          <w:p>
            <w:pPr>
              <w:jc w:val="center"/>
              <w:rPr>
                <w:b/>
                <w:sz w:val="36"/>
              </w:rPr>
            </w:pPr>
            <w:r>
              <w:rPr>
                <w:rFonts w:hint="eastAsia"/>
                <w:b/>
                <w:sz w:val="36"/>
              </w:rPr>
              <w:t>关键字</w:t>
            </w:r>
          </w:p>
        </w:tc>
        <w:tc>
          <w:tcPr>
            <w:tcW w:w="1984" w:type="dxa"/>
            <w:vAlign w:val="center"/>
          </w:tcPr>
          <w:p>
            <w:pPr>
              <w:jc w:val="center"/>
              <w:rPr>
                <w:b/>
                <w:sz w:val="36"/>
              </w:rPr>
            </w:pPr>
            <w:r>
              <w:rPr>
                <w:rFonts w:hint="eastAsia"/>
                <w:b/>
                <w:sz w:val="36"/>
              </w:rPr>
              <w:t>对应条文</w:t>
            </w:r>
          </w:p>
        </w:tc>
        <w:tc>
          <w:tcPr>
            <w:tcW w:w="12582" w:type="dxa"/>
            <w:vAlign w:val="center"/>
          </w:tcPr>
          <w:p>
            <w:pPr>
              <w:jc w:val="center"/>
              <w:rPr>
                <w:b/>
                <w:sz w:val="36"/>
              </w:rPr>
            </w:pPr>
            <w:r>
              <w:rPr>
                <w:rFonts w:hint="eastAsia"/>
                <w:b/>
                <w:sz w:val="36"/>
              </w:rPr>
              <w:t>反馈意见及建议</w:t>
            </w:r>
          </w:p>
        </w:tc>
        <w:tc>
          <w:tcPr>
            <w:tcW w:w="4763" w:type="dxa"/>
            <w:vAlign w:val="center"/>
          </w:tcPr>
          <w:p>
            <w:pPr>
              <w:jc w:val="center"/>
              <w:rPr>
                <w:b/>
                <w:sz w:val="36"/>
              </w:rPr>
            </w:pPr>
            <w:r>
              <w:rPr>
                <w:rFonts w:hint="eastAsia"/>
                <w:b/>
                <w:sz w:val="36"/>
              </w:rPr>
              <w:t>意见/建议</w:t>
            </w:r>
          </w:p>
          <w:p>
            <w:pPr>
              <w:jc w:val="center"/>
              <w:rPr>
                <w:b/>
                <w:sz w:val="36"/>
              </w:rPr>
            </w:pPr>
            <w:r>
              <w:rPr>
                <w:rFonts w:hint="eastAsia"/>
                <w:b/>
                <w:sz w:val="36"/>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890" w:type="dxa"/>
            <w:vMerge w:val="restart"/>
            <w:vAlign w:val="center"/>
          </w:tcPr>
          <w:p>
            <w:pPr>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1</w:t>
            </w:r>
          </w:p>
          <w:p>
            <w:pPr>
              <w:jc w:val="center"/>
              <w:rPr>
                <w:rFonts w:asciiTheme="minorEastAsia" w:hAnsiTheme="minorEastAsia" w:eastAsiaTheme="minorEastAsia"/>
                <w:color w:val="000000"/>
                <w:szCs w:val="28"/>
              </w:rPr>
            </w:pPr>
          </w:p>
        </w:tc>
        <w:tc>
          <w:tcPr>
            <w:tcW w:w="1792" w:type="dxa"/>
            <w:vMerge w:val="restart"/>
            <w:vAlign w:val="center"/>
          </w:tcPr>
          <w:p>
            <w:pPr>
              <w:jc w:val="center"/>
              <w:rPr>
                <w:rFonts w:asciiTheme="minorEastAsia" w:hAnsiTheme="minorEastAsia" w:eastAsiaTheme="minorEastAsia"/>
                <w:b/>
                <w:color w:val="000000" w:themeColor="text1"/>
                <w:szCs w:val="21"/>
                <w14:textFill>
                  <w14:solidFill>
                    <w14:schemeClr w14:val="tx1"/>
                  </w14:solidFill>
                </w14:textFill>
              </w:rPr>
            </w:pPr>
            <w:r>
              <w:rPr>
                <w:rFonts w:hint="eastAsia"/>
                <w:b/>
              </w:rPr>
              <w:t>通则</w:t>
            </w:r>
          </w:p>
          <w:p>
            <w:pPr>
              <w:jc w:val="center"/>
              <w:rPr>
                <w:rFonts w:asciiTheme="minorEastAsia" w:hAnsiTheme="minorEastAsia" w:eastAsiaTheme="minorEastAsia"/>
                <w:b/>
                <w:color w:val="000000" w:themeColor="text1"/>
                <w:szCs w:val="21"/>
                <w14:textFill>
                  <w14:solidFill>
                    <w14:schemeClr w14:val="tx1"/>
                  </w14:solidFill>
                </w14:textFill>
              </w:rPr>
            </w:pPr>
          </w:p>
        </w:tc>
        <w:tc>
          <w:tcPr>
            <w:tcW w:w="1984" w:type="dxa"/>
            <w:vAlign w:val="center"/>
          </w:tcPr>
          <w:p>
            <w:pPr>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1"/>
              </w:rPr>
              <w:t>1.2规则适用范围</w:t>
            </w: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1、1.2规则适用范围中，产权归政府的建筑面积不计收地价，附表1、3又规定公共租赁住房、人才住房、公建配套用房的地价修正系数。建议：明确说明哪些属于产权归政府的建筑面积。</w:t>
            </w:r>
            <w:r>
              <w:rPr>
                <w:rFonts w:hint="eastAsia" w:asciiTheme="minorEastAsia" w:hAnsiTheme="minorEastAsia" w:eastAsiaTheme="minorEastAsia"/>
                <w:b/>
                <w:szCs w:val="21"/>
              </w:rPr>
              <w:t>（匿名）</w:t>
            </w:r>
          </w:p>
        </w:tc>
        <w:tc>
          <w:tcPr>
            <w:tcW w:w="4763" w:type="dxa"/>
            <w:vAlign w:val="center"/>
          </w:tcPr>
          <w:p>
            <w:pPr>
              <w:jc w:val="center"/>
              <w:rPr>
                <w:rFonts w:asciiTheme="minorEastAsia" w:hAnsiTheme="minorEastAsia" w:eastAsiaTheme="minorEastAsia"/>
                <w:color w:val="E46C0A" w:themeColor="accent6" w:themeShade="BF"/>
              </w:rPr>
            </w:pPr>
            <w:r>
              <w:rPr>
                <w:rFonts w:hint="eastAsia" w:asciiTheme="minorEastAsia" w:hAnsiTheme="minorEastAsia" w:eastAsiaTheme="minorEastAsia"/>
                <w:b/>
                <w:color w:val="00B050"/>
              </w:rPr>
              <w:t>采纳。</w:t>
            </w:r>
            <w:r>
              <w:rPr>
                <w:rFonts w:hint="eastAsia" w:asciiTheme="minorEastAsia" w:hAnsiTheme="minorEastAsia" w:eastAsiaTheme="minorEastAsia"/>
              </w:rPr>
              <w:t>产权归政府的建筑面积按照合同约定执行。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b/>
              </w:rPr>
            </w:pPr>
          </w:p>
        </w:tc>
        <w:tc>
          <w:tcPr>
            <w:tcW w:w="1984"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 土地的市场价格定义</w:t>
            </w: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2、建议：对剩余法评估涉及到的主要指标数据和前提假设，比如开发成本、售价取值方法和依据，开发周期和投资进度、合理开发利润、折现率等进行说明或提供取值标准（依据），保障剩余法结果的准确性和异质性。</w:t>
            </w:r>
          </w:p>
          <w:p>
            <w:pPr>
              <w:ind w:firstLine="560" w:firstLineChars="200"/>
              <w:jc w:val="left"/>
              <w:rPr>
                <w:rFonts w:asciiTheme="minorEastAsia" w:hAnsiTheme="minorEastAsia" w:eastAsiaTheme="minorEastAsia"/>
                <w:szCs w:val="21"/>
                <w:highlight w:val="yellow"/>
              </w:rPr>
            </w:pPr>
            <w:r>
              <w:rPr>
                <w:rFonts w:hint="eastAsia" w:asciiTheme="minorEastAsia" w:hAnsiTheme="minorEastAsia" w:eastAsiaTheme="minorEastAsia"/>
                <w:szCs w:val="21"/>
              </w:rPr>
              <w:t>理由：指标数据和前提假设暂无官方的参考标准会造成同一宗地，不同机构评估的结果相差较大。</w:t>
            </w:r>
            <w:r>
              <w:rPr>
                <w:rFonts w:hint="eastAsia" w:asciiTheme="minorEastAsia" w:hAnsiTheme="minorEastAsia" w:eastAsiaTheme="minorEastAsia"/>
                <w:b/>
                <w:szCs w:val="21"/>
              </w:rPr>
              <w:t xml:space="preserve">（第六届人大代表姚建辉） </w:t>
            </w:r>
          </w:p>
        </w:tc>
        <w:tc>
          <w:tcPr>
            <w:tcW w:w="4763" w:type="dxa"/>
            <w:vAlign w:val="center"/>
          </w:tcPr>
          <w:p>
            <w:pPr>
              <w:jc w:val="center"/>
              <w:rPr>
                <w:rFonts w:asciiTheme="minorEastAsia" w:hAnsiTheme="minorEastAsia" w:eastAsiaTheme="minorEastAsia"/>
                <w:i/>
                <w:highlight w:val="yellow"/>
              </w:rPr>
            </w:pPr>
            <w:r>
              <w:rPr>
                <w:rFonts w:hint="eastAsia" w:asciiTheme="minorEastAsia" w:hAnsiTheme="minorEastAsia" w:eastAsiaTheme="minorEastAsia"/>
                <w:b/>
                <w:color w:val="00B050"/>
              </w:rPr>
              <w:t>采纳。</w:t>
            </w:r>
            <w:r>
              <w:rPr>
                <w:rFonts w:hint="eastAsia" w:asciiTheme="minorEastAsia" w:hAnsiTheme="minorEastAsia" w:eastAsiaTheme="minorEastAsia"/>
                <w:iCs/>
              </w:rPr>
              <w:t>剩余法（整体估价）采用先进的批量评估技术，已建立一套统一的技术体系，并经过专家评审验收通过。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b/>
                <w:color w:val="000000" w:themeColor="text1"/>
                <w:szCs w:val="21"/>
                <w14:textFill>
                  <w14:solidFill>
                    <w14:schemeClr w14:val="tx1"/>
                  </w14:solidFill>
                </w14:textFill>
              </w:rPr>
            </w:pPr>
          </w:p>
        </w:tc>
        <w:tc>
          <w:tcPr>
            <w:tcW w:w="1984" w:type="dxa"/>
            <w:vAlign w:val="center"/>
          </w:tcPr>
          <w:p>
            <w:pPr>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1.5 地价测算时点</w:t>
            </w: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3、建议：将第二款修改为“通过拆除重建类城市更新方式签订土地出让合同供应用地的地价，经城市更新主管部门依法受理，项目列入更新单元计划的，按项目取得专项规划批复的时点确定，并按该时点对应的基准地价标准及地价政策核算项目应缴纳地价。”</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理由：</w:t>
            </w:r>
            <w:r>
              <w:rPr>
                <w:rFonts w:hint="eastAsia" w:asciiTheme="minorEastAsia" w:hAnsiTheme="minorEastAsia" w:eastAsiaTheme="minorEastAsia"/>
                <w:szCs w:val="21"/>
              </w:rPr>
              <w:t>拆除重建类城市更新项目在实施过程中遇到很多政策及市场因素会导致项目运作时间大大拉长，成本大幅增加，与政府加快推进城市更新项目实施的初衷相悖。</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（深圳招商润德房地产有限公司、深圳市和健置地有限公司、深圳招商蛇口建设有限公司、深圳瑞德集团有限公司、深圳市润德房地产有限公司）</w:t>
            </w:r>
          </w:p>
        </w:tc>
        <w:tc>
          <w:tcPr>
            <w:tcW w:w="4763" w:type="dxa"/>
            <w:vAlign w:val="center"/>
          </w:tcPr>
          <w:p>
            <w:pPr>
              <w:jc w:val="center"/>
              <w:rPr>
                <w:rFonts w:asciiTheme="minorEastAsia" w:hAnsiTheme="minorEastAsia" w:eastAsiaTheme="minorEastAsia"/>
              </w:rPr>
            </w:pPr>
            <w:r>
              <w:rPr>
                <w:rFonts w:hint="eastAsia" w:asciiTheme="minorEastAsia" w:hAnsiTheme="minorEastAsia" w:eastAsiaTheme="minorEastAsia"/>
                <w:b/>
                <w:color w:val="FF0000"/>
              </w:rPr>
              <w:t>解释。</w:t>
            </w:r>
            <w:r>
              <w:rPr>
                <w:rFonts w:hint="eastAsia" w:asciiTheme="minorEastAsia" w:hAnsiTheme="minorEastAsia" w:eastAsiaTheme="minorEastAsia"/>
              </w:rPr>
              <w:t>我市建立以土地的市场价格为基准的评估地价应用体系后，改变了原来以基准地价和评估地价并存的“双轨制”，城市更新、土地整备等各类用地出让均需纳入统一的地价应用体系。在本次新旧政策调整过程中，已充分考虑了此前相关政策对存量土地开发利用的支持，总体上保证了政策调整前后城市更新项目平均地价水平的基本平稳和顺畅过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890" w:type="dxa"/>
            <w:vMerge w:val="continue"/>
            <w:vAlign w:val="center"/>
          </w:tcPr>
          <w:p>
            <w:pPr>
              <w:jc w:val="center"/>
              <w:rPr>
                <w:rFonts w:cs="宋体" w:asciiTheme="minorEastAsia" w:hAnsiTheme="minorEastAsia" w:eastAsiaTheme="minorEastAsia"/>
                <w:color w:val="000000"/>
                <w:szCs w:val="21"/>
              </w:rPr>
            </w:pPr>
          </w:p>
        </w:tc>
        <w:tc>
          <w:tcPr>
            <w:tcW w:w="1792" w:type="dxa"/>
            <w:vMerge w:val="continue"/>
            <w:vAlign w:val="center"/>
          </w:tcPr>
          <w:p>
            <w:pPr>
              <w:jc w:val="center"/>
              <w:rPr>
                <w:rFonts w:asciiTheme="minorEastAsia" w:hAnsiTheme="minorEastAsia" w:eastAsiaTheme="minorEastAsia"/>
                <w:b/>
                <w:color w:val="000000"/>
                <w:szCs w:val="21"/>
              </w:rPr>
            </w:pPr>
          </w:p>
        </w:tc>
        <w:tc>
          <w:tcPr>
            <w:tcW w:w="1984" w:type="dxa"/>
            <w:vMerge w:val="restart"/>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1.8地价测算方案失效的情形</w:t>
            </w: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4、建议：关于“1.8地价测算方案失效的情形”，（一）在此或者缴款通知单上明确缴款通知单的有效期，或者明确如何确定缴款截止日期。</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理由：</w:t>
            </w:r>
            <w:r>
              <w:rPr>
                <w:rFonts w:hint="eastAsia" w:asciiTheme="minorEastAsia" w:hAnsiTheme="minorEastAsia" w:eastAsiaTheme="minorEastAsia"/>
                <w:szCs w:val="21"/>
              </w:rPr>
              <w:t>一是要全市统一规则；二是缴款截止日直接关系到地价测算方案失效，关系到重新确定地价测算时点，关系到重新测算地价款。（二）如地价测算方案失效，是不是需要复函办结此次受理，重新受理地价申请？建议明确以统一做法。</w:t>
            </w:r>
            <w:r>
              <w:rPr>
                <w:rFonts w:hint="eastAsia" w:asciiTheme="minorEastAsia" w:hAnsiTheme="minorEastAsia" w:eastAsiaTheme="minorEastAsia"/>
                <w:b/>
                <w:szCs w:val="21"/>
              </w:rPr>
              <w:t>（深圳市龙岗区城市更新和土地整备局）</w:t>
            </w:r>
          </w:p>
        </w:tc>
        <w:tc>
          <w:tcPr>
            <w:tcW w:w="4763" w:type="dxa"/>
            <w:vAlign w:val="center"/>
          </w:tcPr>
          <w:p>
            <w:pPr>
              <w:jc w:val="center"/>
              <w:rPr>
                <w:rFonts w:asciiTheme="minorEastAsia" w:hAnsiTheme="minorEastAsia" w:eastAsiaTheme="minorEastAsia"/>
                <w:iCs/>
              </w:rPr>
            </w:pPr>
            <w:r>
              <w:rPr>
                <w:rFonts w:hint="eastAsia" w:asciiTheme="minorEastAsia" w:hAnsiTheme="minorEastAsia" w:eastAsiaTheme="minorEastAsia"/>
                <w:b/>
                <w:color w:val="00B050"/>
              </w:rPr>
              <w:t>采纳。</w:t>
            </w:r>
            <w:r>
              <w:rPr>
                <w:rFonts w:hint="eastAsia" w:asciiTheme="minorEastAsia" w:hAnsiTheme="minorEastAsia" w:eastAsiaTheme="minorEastAsia"/>
                <w:iCs/>
              </w:rPr>
              <w:t>将对地价缴款通知单的有效期予以统一规范。</w:t>
            </w:r>
          </w:p>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0" w:type="dxa"/>
            <w:vMerge w:val="continue"/>
            <w:vAlign w:val="center"/>
          </w:tcPr>
          <w:p>
            <w:pPr>
              <w:jc w:val="center"/>
              <w:rPr>
                <w:rFonts w:cs="宋体" w:asciiTheme="minorEastAsia" w:hAnsiTheme="minorEastAsia" w:eastAsiaTheme="minorEastAsia"/>
                <w:color w:val="000000"/>
                <w:szCs w:val="21"/>
              </w:rPr>
            </w:pPr>
          </w:p>
        </w:tc>
        <w:tc>
          <w:tcPr>
            <w:tcW w:w="1792" w:type="dxa"/>
            <w:vMerge w:val="continue"/>
            <w:vAlign w:val="center"/>
          </w:tcPr>
          <w:p>
            <w:pPr>
              <w:jc w:val="center"/>
              <w:rPr>
                <w:b/>
              </w:rPr>
            </w:pPr>
          </w:p>
        </w:tc>
        <w:tc>
          <w:tcPr>
            <w:tcW w:w="1984" w:type="dxa"/>
            <w:vMerge w:val="continue"/>
            <w:vAlign w:val="center"/>
          </w:tcPr>
          <w:p>
            <w:pPr>
              <w:jc w:val="center"/>
              <w:rPr>
                <w:rFonts w:cs="宋体" w:asciiTheme="minorEastAsia" w:hAnsiTheme="minorEastAsia" w:eastAsiaTheme="minorEastAsia"/>
                <w:color w:val="000000"/>
                <w:szCs w:val="21"/>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5、提问：若在规则实施前，已申请并取得缴交地价通知书，但未缴纳地价且地价单已过有效期限，重新申请是否按原有规定执行？还是以重新申请时间作为地价测算时点（按新政执行）？建议予以明确以免执行过程中产生争议。</w:t>
            </w:r>
            <w:r>
              <w:rPr>
                <w:rFonts w:hint="eastAsia" w:asciiTheme="minorEastAsia" w:hAnsiTheme="minorEastAsia" w:eastAsiaTheme="minorEastAsia"/>
                <w:b/>
                <w:szCs w:val="21"/>
              </w:rPr>
              <w:t>（</w:t>
            </w:r>
            <w:r>
              <w:rPr>
                <w:rFonts w:asciiTheme="minorEastAsia" w:hAnsiTheme="minorEastAsia" w:eastAsiaTheme="minorEastAsia"/>
                <w:b/>
                <w:szCs w:val="21"/>
              </w:rPr>
              <w:t>Ray &lt;5073218@qq.com&gt;</w:t>
            </w:r>
            <w:r>
              <w:rPr>
                <w:rFonts w:hint="eastAsia" w:asciiTheme="minorEastAsia" w:hAnsiTheme="minorEastAsia" w:eastAsiaTheme="minorEastAsia"/>
                <w:b/>
                <w:szCs w:val="21"/>
              </w:rPr>
              <w:t>）</w:t>
            </w:r>
          </w:p>
        </w:tc>
        <w:tc>
          <w:tcPr>
            <w:tcW w:w="4763" w:type="dxa"/>
            <w:vAlign w:val="center"/>
          </w:tcPr>
          <w:p>
            <w:pPr>
              <w:jc w:val="center"/>
              <w:rPr>
                <w:rFonts w:asciiTheme="minorEastAsia" w:hAnsiTheme="minorEastAsia" w:eastAsiaTheme="minorEastAsia"/>
              </w:rPr>
            </w:pPr>
            <w:r>
              <w:rPr>
                <w:rFonts w:hint="eastAsia" w:asciiTheme="minorEastAsia" w:hAnsiTheme="minorEastAsia" w:eastAsiaTheme="minorEastAsia"/>
                <w:b/>
                <w:color w:val="00B050"/>
              </w:rPr>
              <w:t>采纳。</w:t>
            </w:r>
            <w:r>
              <w:rPr>
                <w:rFonts w:hint="eastAsia" w:asciiTheme="minorEastAsia" w:hAnsiTheme="minorEastAsia" w:eastAsiaTheme="minorEastAsia"/>
              </w:rPr>
              <w:t>已在规则1.5中明确，按照申请并符合地价测算条件时点的新政策执行。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890" w:type="dxa"/>
            <w:vMerge w:val="restart"/>
            <w:vAlign w:val="center"/>
          </w:tcPr>
          <w:p>
            <w:pPr>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2</w:t>
            </w:r>
          </w:p>
        </w:tc>
        <w:tc>
          <w:tcPr>
            <w:tcW w:w="1792" w:type="dxa"/>
            <w:vMerge w:val="restart"/>
            <w:vAlign w:val="center"/>
          </w:tcPr>
          <w:p>
            <w:pPr>
              <w:jc w:val="center"/>
              <w:rPr>
                <w:rFonts w:asciiTheme="minorEastAsia" w:hAnsiTheme="minorEastAsia" w:eastAsiaTheme="minorEastAsia"/>
                <w:b/>
                <w:color w:val="000000" w:themeColor="text1"/>
                <w:szCs w:val="21"/>
                <w14:textFill>
                  <w14:solidFill>
                    <w14:schemeClr w14:val="tx1"/>
                  </w14:solidFill>
                </w14:textFill>
              </w:rPr>
            </w:pPr>
            <w:r>
              <w:rPr>
                <w:rFonts w:hint="eastAsia"/>
                <w:b/>
                <w:color w:val="000000" w:themeColor="text1"/>
                <w14:textFill>
                  <w14:solidFill>
                    <w14:schemeClr w14:val="tx1"/>
                  </w14:solidFill>
                </w14:textFill>
              </w:rPr>
              <w:t>变更与补缴</w:t>
            </w:r>
          </w:p>
        </w:tc>
        <w:tc>
          <w:tcPr>
            <w:tcW w:w="1984" w:type="dxa"/>
            <w:vMerge w:val="restart"/>
            <w:vAlign w:val="center"/>
          </w:tcPr>
          <w:p>
            <w:pPr>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2.5 容积率调整、竣工超面积补地价</w:t>
            </w: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6、建议：“已供应用地，竣工超出合同约定经规划确认保留的建筑面积应补缴地价，以合同约定的产权限制条件，按2.1条测算结果的130%计收”这一条，修改为“已供应用地，竣工超出合同约定经规划确认保留的建筑面积应补缴地价，以合同约定的产权限制条件，按公式测算结果的130%计收。公式如下:</w:t>
            </w:r>
          </w:p>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应补缴地价=Σ(土地的市场价格*竣工超出合同建筑面积*基础修正系数/8项目修正系数)。</w:t>
            </w:r>
          </w:p>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理由:征求意见稿中的第2. 5条款中超出合同约定面积的测算公式引用的是第2. 1条款土地利用条件变更的情形，而规划确认保留无土地利用条件变更的情形，仅是竣工面积与合同面积的变化。在签订土地出让合同时，未超建部分已缴纳了地价。 因此，在计算超建面积的地价时，建议只按超建面积的数量来计算。</w:t>
            </w:r>
            <w:r>
              <w:rPr>
                <w:rFonts w:hint="eastAsia" w:asciiTheme="minorEastAsia" w:hAnsiTheme="minorEastAsia" w:eastAsiaTheme="minorEastAsia"/>
                <w:b/>
                <w:szCs w:val="21"/>
              </w:rPr>
              <w:t>（深圳市城市更新开发企业协会）</w:t>
            </w:r>
          </w:p>
        </w:tc>
        <w:tc>
          <w:tcPr>
            <w:tcW w:w="4763" w:type="dxa"/>
            <w:vAlign w:val="center"/>
          </w:tcPr>
          <w:p>
            <w:pPr>
              <w:jc w:val="center"/>
              <w:rPr>
                <w:rFonts w:asciiTheme="minorEastAsia" w:hAnsiTheme="minorEastAsia" w:eastAsiaTheme="minorEastAsia"/>
              </w:rPr>
            </w:pPr>
            <w:r>
              <w:rPr>
                <w:rFonts w:hint="eastAsia" w:asciiTheme="minorEastAsia" w:hAnsiTheme="minorEastAsia" w:eastAsiaTheme="minorEastAsia"/>
                <w:b/>
                <w:color w:val="FF0000"/>
              </w:rPr>
              <w:t>解释。</w:t>
            </w:r>
            <w:r>
              <w:rPr>
                <w:rFonts w:hint="eastAsia" w:asciiTheme="minorEastAsia" w:hAnsiTheme="minorEastAsia" w:eastAsiaTheme="minorEastAsia"/>
              </w:rPr>
              <w:t>为公平起见，新的规则在测算超面积地价时，同时考虑了少建和超建部分的建筑面积，对于少建部分建筑面积给予地价扣除，对于超建部分建筑面积，则应补缴地价。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b/>
                <w:color w:val="000000" w:themeColor="text1"/>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8"/>
              </w:rPr>
            </w:pPr>
          </w:p>
        </w:tc>
        <w:tc>
          <w:tcPr>
            <w:tcW w:w="12582" w:type="dxa"/>
            <w:vAlign w:val="center"/>
          </w:tcPr>
          <w:p>
            <w:pPr>
              <w:ind w:firstLine="560" w:firstLineChars="200"/>
              <w:rPr>
                <w:color w:val="000000" w:themeColor="text1"/>
                <w:szCs w:val="28"/>
                <w14:textFill>
                  <w14:solidFill>
                    <w14:schemeClr w14:val="tx1"/>
                  </w14:solidFill>
                </w14:textFill>
              </w:rPr>
            </w:pPr>
            <w:r>
              <w:rPr>
                <w:rFonts w:hint="eastAsia" w:asciiTheme="minorEastAsia" w:hAnsiTheme="minorEastAsia" w:eastAsiaTheme="minorEastAsia"/>
                <w:szCs w:val="21"/>
              </w:rPr>
              <w:t>7、建议：修改第2.5条第二款“</w:t>
            </w:r>
            <w:r>
              <w:rPr>
                <w:rFonts w:hint="eastAsia"/>
                <w:color w:val="000000" w:themeColor="text1"/>
                <w:szCs w:val="28"/>
                <w14:textFill>
                  <w14:solidFill>
                    <w14:schemeClr w14:val="tx1"/>
                  </w14:solidFill>
                </w14:textFill>
              </w:rPr>
              <w:t>已供应用地，竣工超出合同约定经规划确认保留的建筑面积应补缴地价，以合同约定的产权限制条件，按2.1条测算结果的130%计收。”参考《深圳市工业楼宇及配套设施转让管理办法（征求意见稿）》的指导思想，改为：“已供应用地，竣工超出合同约定经规划确认保留的建筑面积应补缴地价，以合同约定的产权限制条件（对于合同未约定产权限制的工业楼宇及配套设施，可按栋或者以宗地为单位整体转让），按2.1条测算结果的130%计收。”</w:t>
            </w:r>
          </w:p>
          <w:p>
            <w:pPr>
              <w:ind w:firstLine="562" w:firstLineChars="200"/>
              <w:rPr>
                <w:color w:val="000000" w:themeColor="text1"/>
                <w:szCs w:val="28"/>
                <w:highlight w:val="yellow"/>
                <w14:textFill>
                  <w14:solidFill>
                    <w14:schemeClr w14:val="tx1"/>
                  </w14:solidFill>
                </w14:textFill>
              </w:rPr>
            </w:pPr>
            <w:r>
              <w:rPr>
                <w:rFonts w:hint="eastAsia" w:asciiTheme="minorEastAsia" w:hAnsiTheme="minorEastAsia" w:eastAsiaTheme="minorEastAsia"/>
                <w:b/>
                <w:szCs w:val="21"/>
              </w:rPr>
              <w:t>（第六届人大代表姚建辉）</w:t>
            </w:r>
          </w:p>
        </w:tc>
        <w:tc>
          <w:tcPr>
            <w:tcW w:w="4763" w:type="dxa"/>
            <w:vAlign w:val="center"/>
          </w:tcPr>
          <w:p>
            <w:pPr>
              <w:jc w:val="center"/>
              <w:rPr>
                <w:rFonts w:asciiTheme="minorEastAsia" w:hAnsiTheme="minorEastAsia" w:eastAsiaTheme="minorEastAsia"/>
                <w:i/>
                <w:highlight w:val="yellow"/>
              </w:rPr>
            </w:pPr>
            <w:r>
              <w:rPr>
                <w:rFonts w:hint="eastAsia" w:asciiTheme="minorEastAsia" w:hAnsiTheme="minorEastAsia" w:eastAsiaTheme="minorEastAsia"/>
                <w:b/>
                <w:iCs/>
                <w:color w:val="FF0000"/>
              </w:rPr>
              <w:t>解释。</w:t>
            </w:r>
            <w:r>
              <w:rPr>
                <w:rFonts w:hint="eastAsia" w:asciiTheme="minorEastAsia" w:hAnsiTheme="minorEastAsia" w:eastAsiaTheme="minorEastAsia"/>
                <w:iCs/>
              </w:rPr>
              <w:t>产权条件应根据合同约定和相关规定确定，本规则不改变合同对产权条件的约定。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b/>
                <w:color w:val="000000" w:themeColor="text1"/>
                <w14:textFill>
                  <w14:solidFill>
                    <w14:schemeClr w14:val="tx1"/>
                  </w14:solidFill>
                </w14:textFill>
              </w:rPr>
            </w:pPr>
          </w:p>
        </w:tc>
        <w:tc>
          <w:tcPr>
            <w:tcW w:w="1984" w:type="dxa"/>
            <w:vAlign w:val="center"/>
          </w:tcPr>
          <w:p>
            <w:pPr>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2.6不再计收地价情形</w:t>
            </w: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8、建议：《关于深入推进城市更新工作促进城市高质量发展的若干措施》中，第十八条第三款中提到“通过拆除重建类城市更新形成的工业厂房、研发用房，其产权限定为不得转让的部分，不计收地价”，本规则考虑是否应该在2.6不再计收地价情形中进行衔接；</w:t>
            </w:r>
            <w:r>
              <w:rPr>
                <w:rFonts w:hint="eastAsia" w:asciiTheme="minorEastAsia" w:hAnsiTheme="minorEastAsia" w:eastAsiaTheme="minorEastAsia"/>
                <w:b/>
                <w:bCs/>
                <w:szCs w:val="21"/>
              </w:rPr>
              <w:t>（匿名）</w:t>
            </w:r>
            <w:r>
              <w:rPr>
                <w:rFonts w:hint="eastAsia" w:asciiTheme="minorEastAsia" w:hAnsiTheme="minorEastAsia" w:eastAsiaTheme="minorEastAsia"/>
                <w:szCs w:val="21"/>
              </w:rPr>
              <w:tab/>
            </w:r>
          </w:p>
        </w:tc>
        <w:tc>
          <w:tcPr>
            <w:tcW w:w="4763" w:type="dxa"/>
            <w:vAlign w:val="center"/>
          </w:tcPr>
          <w:p>
            <w:pPr>
              <w:jc w:val="center"/>
              <w:rPr>
                <w:rFonts w:asciiTheme="minorEastAsia" w:hAnsiTheme="minorEastAsia" w:eastAsiaTheme="minorEastAsia"/>
              </w:rPr>
            </w:pPr>
            <w:r>
              <w:rPr>
                <w:rFonts w:hint="eastAsia" w:asciiTheme="minorEastAsia" w:hAnsiTheme="minorEastAsia" w:eastAsiaTheme="minorEastAsia"/>
                <w:b/>
                <w:color w:val="00B050"/>
              </w:rPr>
              <w:t>采纳。</w:t>
            </w:r>
            <w:r>
              <w:rPr>
                <w:rFonts w:hint="eastAsia" w:asciiTheme="minorEastAsia" w:hAnsiTheme="minorEastAsia" w:eastAsiaTheme="minorEastAsia"/>
                <w:szCs w:val="21"/>
              </w:rPr>
              <w:t>已在附表10的说明中进行衔接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90" w:type="dxa"/>
            <w:vMerge w:val="restart"/>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w:t>
            </w:r>
          </w:p>
          <w:p>
            <w:pPr>
              <w:jc w:val="center"/>
              <w:rPr>
                <w:rFonts w:cs="宋体" w:asciiTheme="minorEastAsia" w:hAnsiTheme="minorEastAsia" w:eastAsiaTheme="minorEastAsia"/>
                <w:color w:val="000000"/>
                <w:szCs w:val="21"/>
              </w:rPr>
            </w:pPr>
          </w:p>
        </w:tc>
        <w:tc>
          <w:tcPr>
            <w:tcW w:w="1792" w:type="dxa"/>
            <w:vMerge w:val="restart"/>
            <w:vAlign w:val="center"/>
          </w:tcPr>
          <w:p>
            <w:pPr>
              <w:jc w:val="center"/>
              <w:rPr>
                <w:rFonts w:asciiTheme="minorEastAsia" w:hAnsiTheme="minorEastAsia" w:eastAsiaTheme="minorEastAsia"/>
                <w:b/>
                <w:color w:val="000000"/>
                <w:szCs w:val="21"/>
              </w:rPr>
            </w:pPr>
            <w:r>
              <w:rPr>
                <w:rFonts w:hint="eastAsia"/>
                <w:b/>
                <w:color w:val="000000" w:themeColor="text1"/>
                <w14:textFill>
                  <w14:solidFill>
                    <w14:schemeClr w14:val="tx1"/>
                  </w14:solidFill>
                </w14:textFill>
              </w:rPr>
              <w:t>附则</w:t>
            </w:r>
          </w:p>
          <w:p>
            <w:pPr>
              <w:jc w:val="center"/>
              <w:rPr>
                <w:rFonts w:asciiTheme="minorEastAsia" w:hAnsiTheme="minorEastAsia" w:eastAsiaTheme="minorEastAsia"/>
                <w:b/>
                <w:color w:val="000000"/>
                <w:szCs w:val="21"/>
              </w:rPr>
            </w:pPr>
          </w:p>
        </w:tc>
        <w:tc>
          <w:tcPr>
            <w:tcW w:w="1984" w:type="dxa"/>
            <w:vMerge w:val="restart"/>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4.1地价缴纳方式</w:t>
            </w: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9、建议：拆除重建类城市更新项目土地贡献率超过40%的，地价缴纳方式定为可不计息分期缴交，首次缴交比例不得低于30%，余款1年内交清；土地贡献率超过45%的，地价缴交方式定为可不计息分期缴交，首次缴交比例不得低于20%，余款1年内交清。</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理由：</w:t>
            </w:r>
            <w:r>
              <w:rPr>
                <w:rFonts w:hint="eastAsia" w:asciiTheme="minorEastAsia" w:hAnsiTheme="minorEastAsia" w:eastAsiaTheme="minorEastAsia"/>
                <w:szCs w:val="21"/>
              </w:rPr>
              <w:t>鼓励深圳市城市更新项目贡献用地移交，统筹落实城市基础设施和公共服务设施等公共利益需要。</w:t>
            </w:r>
            <w:r>
              <w:rPr>
                <w:rFonts w:hint="eastAsia" w:asciiTheme="minorEastAsia" w:hAnsiTheme="minorEastAsia" w:eastAsiaTheme="minorEastAsia"/>
                <w:b/>
                <w:szCs w:val="21"/>
              </w:rPr>
              <w:t>（深圳市金地新沙房地产开发有限公司）</w:t>
            </w:r>
          </w:p>
        </w:tc>
        <w:tc>
          <w:tcPr>
            <w:tcW w:w="4763" w:type="dxa"/>
            <w:vMerge w:val="restart"/>
            <w:vAlign w:val="center"/>
          </w:tcPr>
          <w:p>
            <w:pPr>
              <w:jc w:val="center"/>
              <w:rPr>
                <w:rFonts w:asciiTheme="minorEastAsia" w:hAnsiTheme="minorEastAsia" w:eastAsiaTheme="minorEastAsia"/>
              </w:rPr>
            </w:pPr>
            <w:r>
              <w:rPr>
                <w:rFonts w:hint="eastAsia" w:asciiTheme="minorEastAsia" w:hAnsiTheme="minorEastAsia" w:eastAsiaTheme="minorEastAsia"/>
                <w:b/>
                <w:color w:val="FF0000"/>
              </w:rPr>
              <w:t>解释。</w:t>
            </w:r>
            <w:r>
              <w:rPr>
                <w:rFonts w:hint="eastAsia" w:asciiTheme="minorEastAsia" w:hAnsiTheme="minorEastAsia" w:eastAsiaTheme="minorEastAsia"/>
              </w:rPr>
              <w:t>《进一步加强土地出让收支管理的通知》（国办发 [2016]100号）对于出让土地的首期款交付比例已有相关规定，本规则已按照规定的最低首期款比例确定。</w:t>
            </w:r>
          </w:p>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90" w:type="dxa"/>
            <w:vMerge w:val="continue"/>
            <w:vAlign w:val="center"/>
          </w:tcPr>
          <w:p>
            <w:pPr>
              <w:jc w:val="center"/>
              <w:rPr>
                <w:rFonts w:cs="宋体" w:asciiTheme="minorEastAsia" w:hAnsiTheme="minorEastAsia" w:eastAsiaTheme="minorEastAsia"/>
                <w:color w:val="000000"/>
                <w:szCs w:val="21"/>
              </w:rPr>
            </w:pPr>
          </w:p>
        </w:tc>
        <w:tc>
          <w:tcPr>
            <w:tcW w:w="1792" w:type="dxa"/>
            <w:vMerge w:val="continue"/>
            <w:vAlign w:val="center"/>
          </w:tcPr>
          <w:p>
            <w:pPr>
              <w:jc w:val="center"/>
              <w:rPr>
                <w:b/>
                <w:color w:val="000000" w:themeColor="text1"/>
                <w14:textFill>
                  <w14:solidFill>
                    <w14:schemeClr w14:val="tx1"/>
                  </w14:solidFill>
                </w14:textFill>
              </w:rPr>
            </w:pPr>
          </w:p>
        </w:tc>
        <w:tc>
          <w:tcPr>
            <w:tcW w:w="1984" w:type="dxa"/>
            <w:vMerge w:val="continue"/>
            <w:vAlign w:val="center"/>
          </w:tcPr>
          <w:p>
            <w:pPr>
              <w:jc w:val="center"/>
              <w:rPr>
                <w:rFonts w:cs="宋体" w:asciiTheme="minorEastAsia" w:hAnsiTheme="minorEastAsia" w:eastAsiaTheme="minorEastAsia"/>
                <w:color w:val="000000"/>
                <w:szCs w:val="21"/>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10、建议：修改为“重点产业项目、城市更新项目地价可分期缴交，首次缴交比例不得低于30%，余款自签订合同之日起1年内交清，不计利息。其余项目地价应一次性付清。”</w:t>
            </w:r>
          </w:p>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理由：根据《关于加强和改进城市更新实施工作暂行措施》第15条规定：“城市更新项目地价可不计息分期缴交，首次缴交比例不得低于30%，余款1年内交清”，并且结合深圳市近几年市政府大力支持重点产业项目的战略举措，因此提议修改。</w:t>
            </w:r>
            <w:r>
              <w:rPr>
                <w:rFonts w:hint="eastAsia" w:asciiTheme="minorEastAsia" w:hAnsiTheme="minorEastAsia" w:eastAsiaTheme="minorEastAsia"/>
                <w:b/>
                <w:szCs w:val="21"/>
              </w:rPr>
              <w:t>（第六届人大代表姚建辉）</w:t>
            </w:r>
          </w:p>
        </w:tc>
        <w:tc>
          <w:tcPr>
            <w:tcW w:w="4763" w:type="dxa"/>
            <w:vMerge w:val="continue"/>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890" w:type="dxa"/>
            <w:vMerge w:val="continue"/>
            <w:vAlign w:val="center"/>
          </w:tcPr>
          <w:p>
            <w:pPr>
              <w:jc w:val="center"/>
              <w:rPr>
                <w:rFonts w:cs="宋体" w:asciiTheme="minorEastAsia" w:hAnsiTheme="minorEastAsia" w:eastAsiaTheme="minorEastAsia"/>
                <w:color w:val="000000"/>
                <w:szCs w:val="21"/>
              </w:rPr>
            </w:pPr>
          </w:p>
        </w:tc>
        <w:tc>
          <w:tcPr>
            <w:tcW w:w="1792" w:type="dxa"/>
            <w:vMerge w:val="continue"/>
            <w:vAlign w:val="center"/>
          </w:tcPr>
          <w:p>
            <w:pPr>
              <w:jc w:val="center"/>
              <w:rPr>
                <w:rFonts w:asciiTheme="minorEastAsia" w:hAnsiTheme="minorEastAsia" w:eastAsiaTheme="minorEastAsia"/>
                <w:b/>
                <w:color w:val="000000"/>
                <w:szCs w:val="21"/>
              </w:rPr>
            </w:pPr>
          </w:p>
        </w:tc>
        <w:tc>
          <w:tcPr>
            <w:tcW w:w="1984" w:type="dxa"/>
            <w:vMerge w:val="continue"/>
            <w:vAlign w:val="center"/>
          </w:tcPr>
          <w:p>
            <w:pPr>
              <w:jc w:val="center"/>
              <w:rPr>
                <w:rFonts w:cs="宋体" w:asciiTheme="minorEastAsia" w:hAnsiTheme="minorEastAsia" w:eastAsiaTheme="minorEastAsia"/>
                <w:color w:val="000000"/>
                <w:szCs w:val="21"/>
              </w:rPr>
            </w:pPr>
          </w:p>
        </w:tc>
        <w:tc>
          <w:tcPr>
            <w:tcW w:w="12582" w:type="dxa"/>
            <w:vAlign w:val="center"/>
          </w:tcPr>
          <w:p>
            <w:pPr>
              <w:ind w:firstLine="560" w:firstLineChars="200"/>
              <w:rPr>
                <w:szCs w:val="28"/>
              </w:rPr>
            </w:pPr>
            <w:r>
              <w:rPr>
                <w:rFonts w:hint="eastAsia" w:asciiTheme="minorEastAsia" w:hAnsiTheme="minorEastAsia" w:eastAsiaTheme="minorEastAsia"/>
                <w:szCs w:val="21"/>
              </w:rPr>
              <w:t>11、</w:t>
            </w:r>
            <w:r>
              <w:rPr>
                <w:rFonts w:hint="eastAsia"/>
                <w:szCs w:val="28"/>
              </w:rPr>
              <w:t>建议：将地价缴交方式与土地贡献率适当挂钩。</w:t>
            </w:r>
          </w:p>
          <w:p>
            <w:pPr>
              <w:ind w:firstLine="560" w:firstLineChars="200"/>
              <w:jc w:val="left"/>
              <w:rPr>
                <w:rFonts w:asciiTheme="minorEastAsia" w:hAnsiTheme="minorEastAsia" w:eastAsiaTheme="minorEastAsia"/>
                <w:szCs w:val="21"/>
              </w:rPr>
            </w:pPr>
            <w:r>
              <w:rPr>
                <w:rFonts w:hint="eastAsia"/>
                <w:szCs w:val="28"/>
              </w:rPr>
              <w:t>理由：为鼓励深圳市城市更新项目多贡献用地移交，统筹落实城市基础设;和公共服务设施等公共利益需要，建议将地价缴交方式与城市更新项土地贡献率适当挂钩，对土地贡献率高于平均水平的，在首次地价缴交比例上给予适当优惠，地价缴交方式可不计息分期，余款仍要求在1年内交清。其他情况则按新规执行。</w:t>
            </w:r>
            <w:r>
              <w:rPr>
                <w:rFonts w:hint="eastAsia" w:asciiTheme="minorEastAsia" w:hAnsiTheme="minorEastAsia" w:eastAsiaTheme="minorEastAsia"/>
                <w:b/>
                <w:szCs w:val="21"/>
              </w:rPr>
              <w:t>（深圳市城市更新开发企业协会）</w:t>
            </w:r>
          </w:p>
        </w:tc>
        <w:tc>
          <w:tcPr>
            <w:tcW w:w="4763" w:type="dxa"/>
            <w:vMerge w:val="continue"/>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890" w:type="dxa"/>
            <w:vMerge w:val="continue"/>
            <w:vAlign w:val="center"/>
          </w:tcPr>
          <w:p>
            <w:pPr>
              <w:jc w:val="center"/>
              <w:rPr>
                <w:rFonts w:cs="宋体" w:asciiTheme="minorEastAsia" w:hAnsiTheme="minorEastAsia" w:eastAsiaTheme="minorEastAsia"/>
                <w:color w:val="000000"/>
                <w:szCs w:val="21"/>
              </w:rPr>
            </w:pPr>
          </w:p>
        </w:tc>
        <w:tc>
          <w:tcPr>
            <w:tcW w:w="1792" w:type="dxa"/>
            <w:vMerge w:val="continue"/>
            <w:vAlign w:val="center"/>
          </w:tcPr>
          <w:p>
            <w:pPr>
              <w:jc w:val="center"/>
              <w:rPr>
                <w:rFonts w:asciiTheme="minorEastAsia" w:hAnsiTheme="minorEastAsia" w:eastAsiaTheme="minorEastAsia"/>
                <w:b/>
                <w:color w:val="000000"/>
                <w:szCs w:val="21"/>
              </w:rPr>
            </w:pPr>
          </w:p>
        </w:tc>
        <w:tc>
          <w:tcPr>
            <w:tcW w:w="1984" w:type="dxa"/>
            <w:vMerge w:val="continue"/>
            <w:vAlign w:val="center"/>
          </w:tcPr>
          <w:p>
            <w:pPr>
              <w:jc w:val="center"/>
              <w:rPr>
                <w:rFonts w:cs="宋体" w:asciiTheme="minorEastAsia" w:hAnsiTheme="minorEastAsia" w:eastAsiaTheme="minorEastAsia"/>
                <w:color w:val="000000"/>
                <w:szCs w:val="21"/>
              </w:rPr>
            </w:pPr>
          </w:p>
        </w:tc>
        <w:tc>
          <w:tcPr>
            <w:tcW w:w="12582" w:type="dxa"/>
            <w:vAlign w:val="center"/>
          </w:tcPr>
          <w:p>
            <w:pPr>
              <w:ind w:firstLine="560" w:firstLineChars="200"/>
              <w:rPr>
                <w:szCs w:val="28"/>
              </w:rPr>
            </w:pPr>
            <w:r>
              <w:rPr>
                <w:rFonts w:hint="eastAsia"/>
                <w:szCs w:val="28"/>
              </w:rPr>
              <w:t>12、建议：将地价缴交方式与城市更新项目的现状密度适当挂钩。</w:t>
            </w:r>
          </w:p>
          <w:p>
            <w:pPr>
              <w:ind w:firstLine="560" w:firstLineChars="200"/>
              <w:rPr>
                <w:rFonts w:asciiTheme="minorEastAsia" w:hAnsiTheme="minorEastAsia" w:eastAsiaTheme="minorEastAsia"/>
                <w:b/>
                <w:szCs w:val="21"/>
              </w:rPr>
            </w:pPr>
            <w:r>
              <w:rPr>
                <w:rFonts w:hint="eastAsia"/>
                <w:szCs w:val="28"/>
              </w:rPr>
              <w:t>理由：在新地价体系考虑城市更新项目的现状密度，给现状密度高的项目一定的地价优惠，保证项目能够经济可行。</w:t>
            </w:r>
            <w:r>
              <w:rPr>
                <w:rFonts w:hint="eastAsia" w:asciiTheme="minorEastAsia" w:hAnsiTheme="minorEastAsia" w:eastAsiaTheme="minorEastAsia"/>
                <w:b/>
                <w:szCs w:val="21"/>
              </w:rPr>
              <w:t>（深圳市城市更新开发企业协会）</w:t>
            </w:r>
          </w:p>
        </w:tc>
        <w:tc>
          <w:tcPr>
            <w:tcW w:w="4763" w:type="dxa"/>
            <w:vMerge w:val="continue"/>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90" w:type="dxa"/>
            <w:vMerge w:val="continue"/>
            <w:vAlign w:val="center"/>
          </w:tcPr>
          <w:p>
            <w:pPr>
              <w:jc w:val="center"/>
              <w:rPr>
                <w:rFonts w:cs="宋体" w:asciiTheme="minorEastAsia" w:hAnsiTheme="minorEastAsia" w:eastAsiaTheme="minorEastAsia"/>
                <w:color w:val="000000"/>
                <w:szCs w:val="21"/>
              </w:rPr>
            </w:pPr>
          </w:p>
        </w:tc>
        <w:tc>
          <w:tcPr>
            <w:tcW w:w="1792" w:type="dxa"/>
            <w:vMerge w:val="continue"/>
            <w:vAlign w:val="center"/>
          </w:tcPr>
          <w:p>
            <w:pPr>
              <w:jc w:val="center"/>
              <w:rPr>
                <w:rFonts w:asciiTheme="minorEastAsia" w:hAnsiTheme="minorEastAsia" w:eastAsiaTheme="minorEastAsia"/>
                <w:b/>
                <w:color w:val="000000"/>
                <w:szCs w:val="21"/>
              </w:rPr>
            </w:pPr>
          </w:p>
        </w:tc>
        <w:tc>
          <w:tcPr>
            <w:tcW w:w="1984" w:type="dxa"/>
            <w:vMerge w:val="continue"/>
            <w:vAlign w:val="center"/>
          </w:tcPr>
          <w:p>
            <w:pPr>
              <w:jc w:val="center"/>
              <w:rPr>
                <w:rFonts w:cs="宋体" w:asciiTheme="minorEastAsia" w:hAnsiTheme="minorEastAsia" w:eastAsiaTheme="minorEastAsia"/>
                <w:color w:val="000000"/>
                <w:szCs w:val="21"/>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13、建议：在地价政策上对高贡献率更新项目有所倾斜。在地价修正系数上增加贡献率调整系数，贡献率越高，地价系数越低；在地价分期缴纳比例方面，贡献率超过40％的项目，建议首次缴交比例不低于30% ，贡献率地价系数为0.9；贡献率超过45％的，首次缴交比例不低于20% ，贡献率地价系数为0.55；其他情况按规定执行。</w:t>
            </w:r>
          </w:p>
          <w:p>
            <w:pPr>
              <w:ind w:firstLine="562" w:firstLineChars="200"/>
              <w:rPr>
                <w:szCs w:val="28"/>
              </w:rPr>
            </w:pPr>
            <w:r>
              <w:rPr>
                <w:rFonts w:hint="eastAsia" w:asciiTheme="minorEastAsia" w:hAnsiTheme="minorEastAsia" w:eastAsiaTheme="minorEastAsia"/>
                <w:b/>
                <w:szCs w:val="21"/>
              </w:rPr>
              <w:t>理由：</w:t>
            </w:r>
            <w:r>
              <w:rPr>
                <w:rFonts w:hint="eastAsia" w:asciiTheme="minorEastAsia" w:hAnsiTheme="minorEastAsia" w:eastAsiaTheme="minorEastAsia"/>
                <w:szCs w:val="21"/>
              </w:rPr>
              <w:t>鼓励更新项目增加公共利益，提高贡献用地移交比例。</w:t>
            </w:r>
            <w:r>
              <w:rPr>
                <w:rFonts w:hint="eastAsia" w:asciiTheme="minorEastAsia" w:hAnsiTheme="minorEastAsia" w:eastAsiaTheme="minorEastAsia"/>
                <w:b/>
                <w:szCs w:val="21"/>
              </w:rPr>
              <w:t xml:space="preserve"> （金地（集团）股份有限公司）</w:t>
            </w:r>
          </w:p>
        </w:tc>
        <w:tc>
          <w:tcPr>
            <w:tcW w:w="4763" w:type="dxa"/>
            <w:vAlign w:val="center"/>
          </w:tcPr>
          <w:p>
            <w:pPr>
              <w:jc w:val="center"/>
              <w:rPr>
                <w:rFonts w:asciiTheme="minorEastAsia" w:hAnsiTheme="minorEastAsia" w:eastAsiaTheme="minorEastAsia"/>
              </w:rPr>
            </w:pPr>
            <w:r>
              <w:rPr>
                <w:rFonts w:hint="eastAsia" w:asciiTheme="minorEastAsia" w:hAnsiTheme="minorEastAsia" w:eastAsiaTheme="minorEastAsia"/>
                <w:b/>
                <w:color w:val="FF0000"/>
              </w:rPr>
              <w:t>解释。</w:t>
            </w:r>
            <w:r>
              <w:rPr>
                <w:rFonts w:hint="eastAsia" w:asciiTheme="minorEastAsia" w:hAnsiTheme="minorEastAsia" w:eastAsiaTheme="minorEastAsia"/>
              </w:rPr>
              <w:t>《深圳市拆除重建类城市更新单元规划容积率审查规定》中已在城市更新项目容积率测算方面考虑了土地贡献率的影响，地价政策不宜和土地贡献率挂钩。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890" w:type="dxa"/>
            <w:vMerge w:val="continue"/>
            <w:vAlign w:val="center"/>
          </w:tcPr>
          <w:p>
            <w:pPr>
              <w:jc w:val="center"/>
              <w:rPr>
                <w:rFonts w:cs="宋体" w:asciiTheme="minorEastAsia" w:hAnsiTheme="minorEastAsia" w:eastAsiaTheme="minorEastAsia"/>
                <w:color w:val="000000"/>
                <w:szCs w:val="21"/>
              </w:rPr>
            </w:pPr>
          </w:p>
        </w:tc>
        <w:tc>
          <w:tcPr>
            <w:tcW w:w="1792" w:type="dxa"/>
            <w:vMerge w:val="continue"/>
            <w:vAlign w:val="center"/>
          </w:tcPr>
          <w:p>
            <w:pPr>
              <w:jc w:val="center"/>
              <w:rPr>
                <w:rFonts w:asciiTheme="minorEastAsia" w:hAnsiTheme="minorEastAsia" w:eastAsiaTheme="minorEastAsia"/>
                <w:b/>
                <w:color w:val="000000"/>
                <w:szCs w:val="21"/>
              </w:rPr>
            </w:pPr>
          </w:p>
        </w:tc>
        <w:tc>
          <w:tcPr>
            <w:tcW w:w="1984" w:type="dxa"/>
            <w:vMerge w:val="continue"/>
            <w:vAlign w:val="center"/>
          </w:tcPr>
          <w:p>
            <w:pPr>
              <w:jc w:val="center"/>
              <w:rPr>
                <w:rFonts w:cs="宋体" w:asciiTheme="minorEastAsia" w:hAnsiTheme="minorEastAsia" w:eastAsiaTheme="minorEastAsia"/>
                <w:color w:val="000000"/>
                <w:szCs w:val="21"/>
              </w:rPr>
            </w:pPr>
          </w:p>
        </w:tc>
        <w:tc>
          <w:tcPr>
            <w:tcW w:w="12582" w:type="dxa"/>
            <w:vAlign w:val="center"/>
          </w:tcPr>
          <w:p>
            <w:pPr>
              <w:ind w:firstLine="560" w:firstLineChars="200"/>
              <w:jc w:val="left"/>
              <w:rPr>
                <w:rFonts w:asciiTheme="minorEastAsia" w:hAnsiTheme="minorEastAsia" w:eastAsiaTheme="minorEastAsia"/>
                <w:szCs w:val="21"/>
              </w:rPr>
            </w:pPr>
            <w:r>
              <w:rPr>
                <w:rFonts w:hint="eastAsia"/>
                <w:szCs w:val="28"/>
              </w:rPr>
              <w:t>14、建</w:t>
            </w:r>
            <w:r>
              <w:rPr>
                <w:rFonts w:hint="eastAsia" w:asciiTheme="minorEastAsia" w:hAnsiTheme="minorEastAsia" w:eastAsiaTheme="minorEastAsia"/>
                <w:szCs w:val="21"/>
              </w:rPr>
              <w:t>议：此条适用项目类型加入“1992年前市政府划定的旧城旧村改造用地遗留项目”。</w:t>
            </w:r>
          </w:p>
          <w:p>
            <w:pPr>
              <w:ind w:firstLine="562" w:firstLineChars="200"/>
              <w:rPr>
                <w:szCs w:val="28"/>
              </w:rPr>
            </w:pPr>
            <w:r>
              <w:rPr>
                <w:rFonts w:hint="eastAsia" w:asciiTheme="minorEastAsia" w:hAnsiTheme="minorEastAsia" w:eastAsiaTheme="minorEastAsia"/>
                <w:b/>
                <w:szCs w:val="21"/>
              </w:rPr>
              <w:t>理由：</w:t>
            </w:r>
            <w:r>
              <w:rPr>
                <w:rFonts w:hint="eastAsia" w:asciiTheme="minorEastAsia" w:hAnsiTheme="minorEastAsia" w:eastAsiaTheme="minorEastAsia"/>
                <w:szCs w:val="21"/>
              </w:rPr>
              <w:t>1992年前市政府划定的旧城旧村改造用地遗留项目系现行城市更新项目的原型，在项目的实际操作层面也是按照征求意愿、确认改造主体的形式推进，此类项目在深圳市旧改历史的长河中起到了先行者的作用，多数项目至今承担了社会稳定及开发成本压力，地价缴纳方式也应顺应或同步城市更新的缴纳方式及时限。</w:t>
            </w:r>
            <w:r>
              <w:rPr>
                <w:rFonts w:hint="eastAsia" w:asciiTheme="minorEastAsia" w:hAnsiTheme="minorEastAsia" w:eastAsiaTheme="minorEastAsia"/>
                <w:b/>
                <w:szCs w:val="21"/>
              </w:rPr>
              <w:t>（恒大地产集团(深圳)有限公司）</w:t>
            </w:r>
          </w:p>
        </w:tc>
        <w:tc>
          <w:tcPr>
            <w:tcW w:w="4763" w:type="dxa"/>
            <w:vAlign w:val="center"/>
          </w:tcPr>
          <w:p>
            <w:pPr>
              <w:jc w:val="center"/>
              <w:rPr>
                <w:rFonts w:asciiTheme="minorEastAsia" w:hAnsiTheme="minorEastAsia" w:eastAsiaTheme="minorEastAsia"/>
              </w:rPr>
            </w:pPr>
            <w:r>
              <w:rPr>
                <w:rFonts w:hint="eastAsia" w:asciiTheme="minorEastAsia" w:hAnsiTheme="minorEastAsia" w:eastAsiaTheme="minorEastAsia"/>
                <w:b/>
                <w:color w:val="00B050"/>
              </w:rPr>
              <w:t>采纳。</w:t>
            </w:r>
            <w:r>
              <w:rPr>
                <w:rFonts w:hint="eastAsia" w:asciiTheme="minorEastAsia" w:hAnsiTheme="minorEastAsia" w:eastAsiaTheme="minorEastAsia"/>
              </w:rPr>
              <w:t>棚户区改造项目地价可以分期缴纳。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90" w:type="dxa"/>
            <w:vMerge w:val="continue"/>
            <w:vAlign w:val="center"/>
          </w:tcPr>
          <w:p>
            <w:pPr>
              <w:jc w:val="center"/>
              <w:rPr>
                <w:rFonts w:cs="宋体" w:asciiTheme="minorEastAsia" w:hAnsiTheme="minorEastAsia" w:eastAsiaTheme="minorEastAsia"/>
                <w:color w:val="000000"/>
                <w:szCs w:val="21"/>
              </w:rPr>
            </w:pPr>
          </w:p>
        </w:tc>
        <w:tc>
          <w:tcPr>
            <w:tcW w:w="1792" w:type="dxa"/>
            <w:vMerge w:val="continue"/>
            <w:vAlign w:val="center"/>
          </w:tcPr>
          <w:p>
            <w:pPr>
              <w:jc w:val="center"/>
              <w:rPr>
                <w:rFonts w:asciiTheme="minorEastAsia" w:hAnsiTheme="minorEastAsia" w:eastAsiaTheme="minorEastAsia"/>
                <w:b/>
                <w:color w:val="000000"/>
                <w:szCs w:val="21"/>
              </w:rPr>
            </w:pPr>
          </w:p>
        </w:tc>
        <w:tc>
          <w:tcPr>
            <w:tcW w:w="1984" w:type="dxa"/>
            <w:vMerge w:val="continue"/>
            <w:vAlign w:val="center"/>
          </w:tcPr>
          <w:p>
            <w:pPr>
              <w:jc w:val="center"/>
              <w:rPr>
                <w:rFonts w:cs="宋体" w:asciiTheme="minorEastAsia" w:hAnsiTheme="minorEastAsia" w:eastAsiaTheme="minorEastAsia"/>
                <w:color w:val="000000"/>
                <w:szCs w:val="21"/>
              </w:rPr>
            </w:pPr>
          </w:p>
        </w:tc>
        <w:tc>
          <w:tcPr>
            <w:tcW w:w="12582" w:type="dxa"/>
            <w:vAlign w:val="center"/>
          </w:tcPr>
          <w:p>
            <w:pPr>
              <w:ind w:firstLine="560" w:firstLineChars="200"/>
              <w:rPr>
                <w:rFonts w:eastAsiaTheme="minorEastAsia"/>
                <w:szCs w:val="28"/>
              </w:rPr>
            </w:pPr>
            <w:r>
              <w:rPr>
                <w:rFonts w:hint="eastAsia"/>
                <w:szCs w:val="28"/>
              </w:rPr>
              <w:t>15、建议：人才住房和保障性住房项目也可分期缴交，如安居型商品房，大部分为“工改保”用地，此类用地建设单位不一定善于运营建设，融资成本压力巨大，建议可以分期缴交，在预售前交清即可。</w:t>
            </w:r>
            <w:r>
              <w:rPr>
                <w:rFonts w:hint="eastAsia" w:asciiTheme="minorEastAsia" w:hAnsiTheme="minorEastAsia" w:eastAsiaTheme="minorEastAsia"/>
                <w:b/>
                <w:szCs w:val="21"/>
              </w:rPr>
              <w:t>（匿名）</w:t>
            </w:r>
          </w:p>
        </w:tc>
        <w:tc>
          <w:tcPr>
            <w:tcW w:w="4763" w:type="dxa"/>
            <w:vAlign w:val="center"/>
          </w:tcPr>
          <w:p>
            <w:pPr>
              <w:jc w:val="center"/>
              <w:rPr>
                <w:rFonts w:asciiTheme="minorEastAsia" w:hAnsiTheme="minorEastAsia" w:eastAsiaTheme="minorEastAsia"/>
              </w:rPr>
            </w:pPr>
            <w:r>
              <w:rPr>
                <w:rFonts w:hint="eastAsia" w:asciiTheme="minorEastAsia" w:hAnsiTheme="minorEastAsia" w:eastAsiaTheme="minorEastAsia"/>
                <w:b/>
                <w:color w:val="FF0000"/>
              </w:rPr>
              <w:t>解释。</w:t>
            </w:r>
            <w:r>
              <w:rPr>
                <w:rFonts w:hint="eastAsia"/>
                <w:szCs w:val="28"/>
              </w:rPr>
              <w:t>人才住房和保障性住房项目也分期缴交缺乏依据</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90" w:type="dxa"/>
            <w:vMerge w:val="continue"/>
            <w:vAlign w:val="center"/>
          </w:tcPr>
          <w:p>
            <w:pPr>
              <w:jc w:val="center"/>
              <w:rPr>
                <w:rFonts w:cs="宋体" w:asciiTheme="minorEastAsia" w:hAnsiTheme="minorEastAsia" w:eastAsiaTheme="minorEastAsia"/>
                <w:color w:val="000000"/>
                <w:szCs w:val="21"/>
              </w:rPr>
            </w:pPr>
          </w:p>
        </w:tc>
        <w:tc>
          <w:tcPr>
            <w:tcW w:w="1792" w:type="dxa"/>
            <w:vMerge w:val="continue"/>
            <w:vAlign w:val="center"/>
          </w:tcPr>
          <w:p>
            <w:pPr>
              <w:jc w:val="center"/>
              <w:rPr>
                <w:rFonts w:asciiTheme="minorEastAsia" w:hAnsiTheme="minorEastAsia" w:eastAsiaTheme="minorEastAsia"/>
                <w:b/>
                <w:color w:val="000000"/>
                <w:szCs w:val="21"/>
              </w:rPr>
            </w:pPr>
          </w:p>
        </w:tc>
        <w:tc>
          <w:tcPr>
            <w:tcW w:w="1984" w:type="dxa"/>
            <w:vMerge w:val="restart"/>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4.3 规则更新及解释权</w:t>
            </w: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16、建议：第二款调整为“本规则发布前已列入城市更新单元计划的城市更新单元，自本规则发布之日起6个月内核发实施主体确认批复的拆除重建类城市更新项目，地价计收标准及方式仍按照原有规定执行，6个月后按本规则执行。”</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理由：</w:t>
            </w:r>
            <w:r>
              <w:rPr>
                <w:rFonts w:hint="eastAsia" w:asciiTheme="minorEastAsia" w:hAnsiTheme="minorEastAsia" w:eastAsiaTheme="minorEastAsia"/>
                <w:szCs w:val="21"/>
              </w:rPr>
              <w:t>拆除重建类城市更新项目在实施主体确认核发批复之前，须取得城市更新单元专项批复和形成单一主体的证明材料，但是实施主体确认批复前的半年内，城市更新单元专项规划通常已取得批复，同时已发布搬迁补偿安置方案及启动与权利主体搬迁安置补偿协议，如果地价成本提高，将造成项目停滞或安置协议无法履行，因此建议平稳推进拆除重建雷城市更新项目地价测算新旧规定的执行时点。（</w:t>
            </w:r>
            <w:r>
              <w:rPr>
                <w:rFonts w:hint="eastAsia" w:asciiTheme="minorEastAsia" w:hAnsiTheme="minorEastAsia" w:eastAsiaTheme="minorEastAsia"/>
                <w:b/>
                <w:szCs w:val="21"/>
              </w:rPr>
              <w:t>深圳市金地新沙房地产开发有限公司</w:t>
            </w:r>
            <w:r>
              <w:rPr>
                <w:rFonts w:hint="eastAsia" w:asciiTheme="minorEastAsia" w:hAnsiTheme="minorEastAsia" w:eastAsiaTheme="minorEastAsia"/>
                <w:szCs w:val="21"/>
              </w:rPr>
              <w:t>）</w:t>
            </w:r>
          </w:p>
        </w:tc>
        <w:tc>
          <w:tcPr>
            <w:tcW w:w="4763" w:type="dxa"/>
            <w:vMerge w:val="restart"/>
            <w:vAlign w:val="center"/>
          </w:tcPr>
          <w:p>
            <w:pPr>
              <w:jc w:val="center"/>
              <w:rPr>
                <w:rFonts w:ascii="宋体" w:hAnsi="宋体" w:cs="宋体"/>
              </w:rPr>
            </w:pPr>
            <w:r>
              <w:rPr>
                <w:rFonts w:hint="eastAsia" w:asciiTheme="minorEastAsia" w:hAnsiTheme="minorEastAsia" w:eastAsiaTheme="minorEastAsia"/>
                <w:b/>
                <w:color w:val="00B050"/>
              </w:rPr>
              <w:t>采纳。</w:t>
            </w:r>
            <w:r>
              <w:rPr>
                <w:rFonts w:hint="eastAsia" w:asciiTheme="minorEastAsia" w:hAnsiTheme="minorEastAsia" w:eastAsiaTheme="minorEastAsia"/>
              </w:rPr>
              <w:t>新旧政策的衔接期</w:t>
            </w:r>
            <w:r>
              <w:rPr>
                <w:rFonts w:hint="eastAsia"/>
              </w:rPr>
              <w:t>主要是考虑对近期将会实施的项目的影响，如果政策衔接期过长，不利于全市地价体系的统一管理。综合考虑后，已修改为6个月。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890" w:type="dxa"/>
            <w:vMerge w:val="continue"/>
            <w:vAlign w:val="center"/>
          </w:tcPr>
          <w:p>
            <w:pPr>
              <w:jc w:val="center"/>
              <w:rPr>
                <w:rFonts w:cs="宋体" w:asciiTheme="minorEastAsia" w:hAnsiTheme="minorEastAsia" w:eastAsiaTheme="minorEastAsia"/>
                <w:color w:val="000000"/>
                <w:szCs w:val="21"/>
              </w:rPr>
            </w:pPr>
          </w:p>
        </w:tc>
        <w:tc>
          <w:tcPr>
            <w:tcW w:w="1792" w:type="dxa"/>
            <w:vMerge w:val="continue"/>
            <w:vAlign w:val="center"/>
          </w:tcPr>
          <w:p>
            <w:pPr>
              <w:jc w:val="center"/>
              <w:rPr>
                <w:rFonts w:asciiTheme="minorEastAsia" w:hAnsiTheme="minorEastAsia" w:eastAsiaTheme="minorEastAsia"/>
                <w:b/>
                <w:color w:val="000000"/>
                <w:szCs w:val="21"/>
              </w:rPr>
            </w:pPr>
          </w:p>
        </w:tc>
        <w:tc>
          <w:tcPr>
            <w:tcW w:w="1984" w:type="dxa"/>
            <w:vMerge w:val="continue"/>
            <w:vAlign w:val="center"/>
          </w:tcPr>
          <w:p>
            <w:pPr>
              <w:jc w:val="center"/>
              <w:rPr>
                <w:rFonts w:cs="宋体" w:asciiTheme="minorEastAsia" w:hAnsiTheme="minorEastAsia" w:eastAsiaTheme="minorEastAsia"/>
                <w:color w:val="000000"/>
                <w:szCs w:val="21"/>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17、建议：城市更新项目出让用地的地价测算及变更补缴4个月过渡期太短，对近期将会实施的项目的影响太大，建议至少宽限至6个月。</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理由：</w:t>
            </w:r>
            <w:r>
              <w:rPr>
                <w:rFonts w:hint="eastAsia" w:asciiTheme="minorEastAsia" w:hAnsiTheme="minorEastAsia" w:eastAsiaTheme="minorEastAsia"/>
                <w:szCs w:val="21"/>
              </w:rPr>
              <w:t>《深圳市地价测算规则》较《关于加强和改进城市更新实施工作暂行措施的通知》（深府办【2016】38号）对城市更新项目的地价有大幅度的提升，特别是工改工、工改居城市更新项目。考虑到一般城市更新项目从项目实施主体确认到符合地价测算条件，项目推进顺利的情况下大约需要6个月的时间。如适当延长过渡期，可促进签约进度较快的城市更新项目进入实施主体确认和实施阶段，提高城市更新项目的成功转化率。（</w:t>
            </w:r>
            <w:r>
              <w:rPr>
                <w:rFonts w:hint="eastAsia" w:asciiTheme="minorEastAsia" w:hAnsiTheme="minorEastAsia" w:eastAsiaTheme="minorEastAsia"/>
                <w:b/>
                <w:szCs w:val="21"/>
              </w:rPr>
              <w:t>匿名</w:t>
            </w:r>
            <w:r>
              <w:rPr>
                <w:rFonts w:hint="eastAsia" w:asciiTheme="minorEastAsia" w:hAnsiTheme="minorEastAsia" w:eastAsiaTheme="minorEastAsia"/>
                <w:szCs w:val="21"/>
              </w:rPr>
              <w:t>）</w:t>
            </w:r>
          </w:p>
        </w:tc>
        <w:tc>
          <w:tcPr>
            <w:tcW w:w="4763"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90" w:type="dxa"/>
            <w:vMerge w:val="continue"/>
            <w:vAlign w:val="center"/>
          </w:tcPr>
          <w:p>
            <w:pPr>
              <w:jc w:val="center"/>
              <w:rPr>
                <w:rFonts w:cs="宋体" w:asciiTheme="minorEastAsia" w:hAnsiTheme="minorEastAsia" w:eastAsiaTheme="minorEastAsia"/>
                <w:color w:val="000000"/>
                <w:szCs w:val="21"/>
              </w:rPr>
            </w:pPr>
          </w:p>
        </w:tc>
        <w:tc>
          <w:tcPr>
            <w:tcW w:w="1792" w:type="dxa"/>
            <w:vMerge w:val="continue"/>
            <w:vAlign w:val="center"/>
          </w:tcPr>
          <w:p>
            <w:pPr>
              <w:jc w:val="center"/>
              <w:rPr>
                <w:rFonts w:asciiTheme="minorEastAsia" w:hAnsiTheme="minorEastAsia" w:eastAsiaTheme="minorEastAsia"/>
                <w:b/>
                <w:color w:val="000000"/>
                <w:szCs w:val="21"/>
              </w:rPr>
            </w:pPr>
          </w:p>
        </w:tc>
        <w:tc>
          <w:tcPr>
            <w:tcW w:w="1984" w:type="dxa"/>
            <w:vMerge w:val="continue"/>
            <w:vAlign w:val="center"/>
          </w:tcPr>
          <w:p>
            <w:pPr>
              <w:jc w:val="center"/>
              <w:rPr>
                <w:rFonts w:cs="宋体" w:asciiTheme="minorEastAsia" w:hAnsiTheme="minorEastAsia" w:eastAsiaTheme="minorEastAsia"/>
                <w:color w:val="000000"/>
                <w:szCs w:val="21"/>
              </w:rPr>
            </w:pPr>
          </w:p>
        </w:tc>
        <w:tc>
          <w:tcPr>
            <w:tcW w:w="12582" w:type="dxa"/>
            <w:vAlign w:val="center"/>
          </w:tcPr>
          <w:p>
            <w:pPr>
              <w:ind w:firstLine="560" w:firstLineChars="200"/>
              <w:jc w:val="left"/>
              <w:rPr>
                <w:rFonts w:asciiTheme="minorEastAsia" w:hAnsiTheme="minorEastAsia" w:eastAsiaTheme="minorEastAsia"/>
                <w:b/>
                <w:szCs w:val="21"/>
              </w:rPr>
            </w:pPr>
            <w:r>
              <w:rPr>
                <w:rFonts w:hint="eastAsia" w:asciiTheme="minorEastAsia" w:hAnsiTheme="minorEastAsia" w:eastAsiaTheme="minorEastAsia"/>
                <w:szCs w:val="21"/>
              </w:rPr>
              <w:t>18、考虑实际情况中城市更新项目周期较长，立项前准备工作繁多，建议：对已立项项目按照旧办法补地价或者延长4个月期限至1年。</w:t>
            </w:r>
            <w:r>
              <w:rPr>
                <w:rFonts w:hint="eastAsia" w:asciiTheme="minorEastAsia" w:hAnsiTheme="minorEastAsia" w:eastAsiaTheme="minorEastAsia"/>
                <w:b/>
                <w:szCs w:val="21"/>
              </w:rPr>
              <w:t>（深圳市欣吉成投资有限公司）</w:t>
            </w:r>
          </w:p>
        </w:tc>
        <w:tc>
          <w:tcPr>
            <w:tcW w:w="4763"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890" w:type="dxa"/>
            <w:vMerge w:val="continue"/>
            <w:vAlign w:val="center"/>
          </w:tcPr>
          <w:p>
            <w:pPr>
              <w:jc w:val="center"/>
              <w:rPr>
                <w:rFonts w:cs="宋体" w:asciiTheme="minorEastAsia" w:hAnsiTheme="minorEastAsia" w:eastAsiaTheme="minorEastAsia"/>
                <w:color w:val="000000"/>
                <w:szCs w:val="21"/>
              </w:rPr>
            </w:pPr>
          </w:p>
        </w:tc>
        <w:tc>
          <w:tcPr>
            <w:tcW w:w="1792" w:type="dxa"/>
            <w:vMerge w:val="continue"/>
            <w:vAlign w:val="center"/>
          </w:tcPr>
          <w:p>
            <w:pPr>
              <w:jc w:val="center"/>
              <w:rPr>
                <w:rFonts w:asciiTheme="minorEastAsia" w:hAnsiTheme="minorEastAsia" w:eastAsiaTheme="minorEastAsia"/>
                <w:b/>
                <w:color w:val="000000"/>
                <w:szCs w:val="21"/>
              </w:rPr>
            </w:pPr>
          </w:p>
        </w:tc>
        <w:tc>
          <w:tcPr>
            <w:tcW w:w="1984" w:type="dxa"/>
            <w:vMerge w:val="continue"/>
            <w:vAlign w:val="center"/>
          </w:tcPr>
          <w:p>
            <w:pPr>
              <w:jc w:val="center"/>
              <w:rPr>
                <w:rFonts w:cs="宋体" w:asciiTheme="minorEastAsia" w:hAnsiTheme="minorEastAsia" w:eastAsiaTheme="minorEastAsia"/>
                <w:color w:val="000000"/>
                <w:szCs w:val="21"/>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19、建议：该部分改回第一版。即与2018年12月17日发布的《深圳地价测算规则（征求意见稿）》一致，如下：“城市更新项目出让用地的地价测算及变更补缴，自本规则发布之日起6个月内，已向市土地行政主管部门（含授权或委托部门）申请并符合地价测算条件的，地价计收标准及方式仍按照原有规定执行；6个月后按本规则执行。”</w:t>
            </w:r>
            <w:r>
              <w:rPr>
                <w:rFonts w:hint="eastAsia" w:asciiTheme="minorEastAsia" w:hAnsiTheme="minorEastAsia" w:eastAsiaTheme="minorEastAsia"/>
                <w:b/>
                <w:szCs w:val="21"/>
              </w:rPr>
              <w:t>（深圳市朗通网络科技有限公司）</w:t>
            </w:r>
          </w:p>
        </w:tc>
        <w:tc>
          <w:tcPr>
            <w:tcW w:w="4763"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 w:type="dxa"/>
            <w:vMerge w:val="continue"/>
            <w:vAlign w:val="center"/>
          </w:tcPr>
          <w:p>
            <w:pPr>
              <w:jc w:val="center"/>
              <w:rPr>
                <w:rFonts w:cs="宋体" w:asciiTheme="minorEastAsia" w:hAnsiTheme="minorEastAsia" w:eastAsiaTheme="minorEastAsia"/>
                <w:color w:val="000000"/>
                <w:szCs w:val="21"/>
              </w:rPr>
            </w:pPr>
          </w:p>
        </w:tc>
        <w:tc>
          <w:tcPr>
            <w:tcW w:w="1792" w:type="dxa"/>
            <w:vMerge w:val="continue"/>
            <w:vAlign w:val="center"/>
          </w:tcPr>
          <w:p>
            <w:pPr>
              <w:jc w:val="center"/>
              <w:rPr>
                <w:rFonts w:asciiTheme="minorEastAsia" w:hAnsiTheme="minorEastAsia" w:eastAsiaTheme="minorEastAsia"/>
                <w:b/>
                <w:color w:val="000000"/>
                <w:szCs w:val="21"/>
              </w:rPr>
            </w:pPr>
          </w:p>
        </w:tc>
        <w:tc>
          <w:tcPr>
            <w:tcW w:w="1984" w:type="dxa"/>
            <w:vMerge w:val="continue"/>
            <w:vAlign w:val="center"/>
          </w:tcPr>
          <w:p>
            <w:pPr>
              <w:jc w:val="center"/>
              <w:rPr>
                <w:rFonts w:cs="宋体" w:asciiTheme="minorEastAsia" w:hAnsiTheme="minorEastAsia" w:eastAsiaTheme="minorEastAsia"/>
                <w:color w:val="000000"/>
                <w:szCs w:val="21"/>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20、提问：4.3规则更新及解释权部分，此征求意见稿相对上一版，变动了“已列入城市更单元计划的城市更新项目”4个月内可按原规定执行，但实际情况，从列计划到土地出让，4个月是完成不了的，此处修改的意义何在？</w:t>
            </w:r>
            <w:r>
              <w:rPr>
                <w:rFonts w:hint="eastAsia" w:asciiTheme="minorEastAsia" w:hAnsiTheme="minorEastAsia" w:eastAsiaTheme="minorEastAsia"/>
                <w:b/>
                <w:szCs w:val="21"/>
              </w:rPr>
              <w:t>（匿名）</w:t>
            </w:r>
          </w:p>
        </w:tc>
        <w:tc>
          <w:tcPr>
            <w:tcW w:w="4763"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890" w:type="dxa"/>
            <w:vMerge w:val="continue"/>
            <w:vAlign w:val="center"/>
          </w:tcPr>
          <w:p>
            <w:pPr>
              <w:jc w:val="center"/>
              <w:rPr>
                <w:rFonts w:cs="宋体" w:asciiTheme="minorEastAsia" w:hAnsiTheme="minorEastAsia" w:eastAsiaTheme="minorEastAsia"/>
                <w:color w:val="000000"/>
                <w:szCs w:val="21"/>
              </w:rPr>
            </w:pPr>
          </w:p>
        </w:tc>
        <w:tc>
          <w:tcPr>
            <w:tcW w:w="1792" w:type="dxa"/>
            <w:vMerge w:val="continue"/>
            <w:vAlign w:val="center"/>
          </w:tcPr>
          <w:p>
            <w:pPr>
              <w:jc w:val="center"/>
              <w:rPr>
                <w:rFonts w:asciiTheme="minorEastAsia" w:hAnsiTheme="minorEastAsia" w:eastAsiaTheme="minorEastAsia"/>
                <w:b/>
                <w:color w:val="000000"/>
                <w:szCs w:val="21"/>
              </w:rPr>
            </w:pPr>
          </w:p>
        </w:tc>
        <w:tc>
          <w:tcPr>
            <w:tcW w:w="1984" w:type="dxa"/>
            <w:vMerge w:val="continue"/>
            <w:vAlign w:val="center"/>
          </w:tcPr>
          <w:p>
            <w:pPr>
              <w:jc w:val="center"/>
              <w:rPr>
                <w:rFonts w:cs="宋体" w:asciiTheme="minorEastAsia" w:hAnsiTheme="minorEastAsia" w:eastAsiaTheme="minorEastAsia"/>
                <w:color w:val="000000"/>
                <w:szCs w:val="21"/>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21、建议：已向市自然资源行政主管部门（含授权或委托部门）申请并符合地价测算条件的，地价计收标准及方式仍按照原有规定执行。</w:t>
            </w:r>
          </w:p>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规则发布后4个月后就按此规则实行，希望还是按照第一次征求意见稿的发布6个月按照此规则执行。</w:t>
            </w:r>
            <w:r>
              <w:rPr>
                <w:rFonts w:hint="eastAsia" w:asciiTheme="minorEastAsia" w:hAnsiTheme="minorEastAsia" w:eastAsiaTheme="minorEastAsia"/>
                <w:b/>
                <w:szCs w:val="21"/>
              </w:rPr>
              <w:t>（深圳市恒昌达房地产开发有限公司）</w:t>
            </w:r>
          </w:p>
        </w:tc>
        <w:tc>
          <w:tcPr>
            <w:tcW w:w="4763"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890" w:type="dxa"/>
            <w:vMerge w:val="continue"/>
            <w:vAlign w:val="center"/>
          </w:tcPr>
          <w:p>
            <w:pPr>
              <w:jc w:val="center"/>
              <w:rPr>
                <w:rFonts w:cs="宋体" w:asciiTheme="minorEastAsia" w:hAnsiTheme="minorEastAsia" w:eastAsiaTheme="minorEastAsia"/>
                <w:color w:val="000000"/>
                <w:szCs w:val="21"/>
              </w:rPr>
            </w:pPr>
          </w:p>
        </w:tc>
        <w:tc>
          <w:tcPr>
            <w:tcW w:w="1792" w:type="dxa"/>
            <w:vMerge w:val="continue"/>
            <w:vAlign w:val="center"/>
          </w:tcPr>
          <w:p>
            <w:pPr>
              <w:jc w:val="center"/>
              <w:rPr>
                <w:rFonts w:asciiTheme="minorEastAsia" w:hAnsiTheme="minorEastAsia" w:eastAsiaTheme="minorEastAsia"/>
                <w:b/>
                <w:color w:val="000000"/>
                <w:szCs w:val="21"/>
              </w:rPr>
            </w:pPr>
          </w:p>
        </w:tc>
        <w:tc>
          <w:tcPr>
            <w:tcW w:w="1984" w:type="dxa"/>
            <w:vMerge w:val="continue"/>
            <w:vAlign w:val="center"/>
          </w:tcPr>
          <w:p>
            <w:pPr>
              <w:jc w:val="center"/>
              <w:rPr>
                <w:rFonts w:cs="宋体" w:asciiTheme="minorEastAsia" w:hAnsiTheme="minorEastAsia" w:eastAsiaTheme="minorEastAsia"/>
                <w:color w:val="000000"/>
                <w:szCs w:val="21"/>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22、建议：在新地价政策出台时，能给予城市更新老项目一个缓冲期，以城市更新计划立项作为节点，老项目参照老地价政策，新项目按新地价政策执行。</w:t>
            </w:r>
          </w:p>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8"/>
              </w:rPr>
              <w:t>（</w:t>
            </w:r>
            <w:r>
              <w:rPr>
                <w:rFonts w:hint="eastAsia" w:asciiTheme="minorEastAsia" w:hAnsiTheme="minorEastAsia" w:eastAsiaTheme="minorEastAsia"/>
                <w:b/>
                <w:szCs w:val="28"/>
              </w:rPr>
              <w:t>深圳市恒裕实业（集团）有限公司</w:t>
            </w:r>
            <w:r>
              <w:rPr>
                <w:rFonts w:hint="eastAsia" w:asciiTheme="minorEastAsia" w:hAnsiTheme="minorEastAsia" w:eastAsiaTheme="minorEastAsia"/>
                <w:szCs w:val="28"/>
              </w:rPr>
              <w:t>）、</w:t>
            </w:r>
            <w:r>
              <w:rPr>
                <w:rFonts w:hint="eastAsia" w:asciiTheme="minorEastAsia" w:hAnsiTheme="minorEastAsia" w:eastAsiaTheme="minorEastAsia"/>
                <w:b/>
                <w:szCs w:val="28"/>
              </w:rPr>
              <w:t>（深圳市优瑞商贸有限公司）、</w:t>
            </w:r>
            <w:r>
              <w:rPr>
                <w:rFonts w:hint="eastAsia" w:asciiTheme="minorEastAsia" w:hAnsiTheme="minorEastAsia" w:eastAsiaTheme="minorEastAsia"/>
                <w:b/>
                <w:szCs w:val="21"/>
              </w:rPr>
              <w:t>（"水岸" &lt;jeepin@qq.com&gt;）</w:t>
            </w:r>
          </w:p>
        </w:tc>
        <w:tc>
          <w:tcPr>
            <w:tcW w:w="4763" w:type="dxa"/>
            <w:vMerge w:val="continue"/>
            <w:vAlign w:val="center"/>
          </w:tcPr>
          <w:p>
            <w:pPr>
              <w:jc w:val="center"/>
              <w:rPr>
                <w:rFonts w:asciiTheme="minorEastAsia" w:hAnsiTheme="minorEastAsia" w:eastAsiaTheme="minorEastAsia"/>
                <w:color w:val="FF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90" w:type="dxa"/>
            <w:vMerge w:val="continue"/>
            <w:vAlign w:val="center"/>
          </w:tcPr>
          <w:p>
            <w:pPr>
              <w:jc w:val="center"/>
              <w:rPr>
                <w:rFonts w:cs="宋体" w:asciiTheme="minorEastAsia" w:hAnsiTheme="minorEastAsia" w:eastAsiaTheme="minorEastAsia"/>
                <w:color w:val="000000"/>
                <w:szCs w:val="21"/>
              </w:rPr>
            </w:pPr>
          </w:p>
        </w:tc>
        <w:tc>
          <w:tcPr>
            <w:tcW w:w="1792" w:type="dxa"/>
            <w:vMerge w:val="continue"/>
            <w:vAlign w:val="center"/>
          </w:tcPr>
          <w:p>
            <w:pPr>
              <w:jc w:val="center"/>
              <w:rPr>
                <w:rFonts w:asciiTheme="minorEastAsia" w:hAnsiTheme="minorEastAsia" w:eastAsiaTheme="minorEastAsia"/>
                <w:b/>
                <w:color w:val="000000"/>
                <w:szCs w:val="21"/>
              </w:rPr>
            </w:pPr>
          </w:p>
        </w:tc>
        <w:tc>
          <w:tcPr>
            <w:tcW w:w="1984" w:type="dxa"/>
            <w:vMerge w:val="continue"/>
            <w:vAlign w:val="center"/>
          </w:tcPr>
          <w:p>
            <w:pPr>
              <w:jc w:val="center"/>
              <w:rPr>
                <w:rFonts w:cs="宋体" w:asciiTheme="minorEastAsia" w:hAnsiTheme="minorEastAsia" w:eastAsiaTheme="minorEastAsia"/>
                <w:color w:val="000000"/>
                <w:szCs w:val="21"/>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23、强烈建议将其4个月的过渡时间改成6个月</w:t>
            </w:r>
          </w:p>
          <w:p>
            <w:pPr>
              <w:ind w:firstLine="56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（深圳市深信西部房地产有限公司 ）</w:t>
            </w:r>
          </w:p>
        </w:tc>
        <w:tc>
          <w:tcPr>
            <w:tcW w:w="4763" w:type="dxa"/>
            <w:vMerge w:val="continue"/>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90" w:type="dxa"/>
            <w:vMerge w:val="continue"/>
            <w:vAlign w:val="center"/>
          </w:tcPr>
          <w:p>
            <w:pPr>
              <w:jc w:val="center"/>
              <w:rPr>
                <w:rFonts w:cs="宋体" w:asciiTheme="minorEastAsia" w:hAnsiTheme="minorEastAsia" w:eastAsiaTheme="minorEastAsia"/>
                <w:color w:val="000000"/>
                <w:szCs w:val="21"/>
              </w:rPr>
            </w:pPr>
          </w:p>
        </w:tc>
        <w:tc>
          <w:tcPr>
            <w:tcW w:w="1792" w:type="dxa"/>
            <w:vMerge w:val="continue"/>
            <w:vAlign w:val="center"/>
          </w:tcPr>
          <w:p>
            <w:pPr>
              <w:jc w:val="center"/>
              <w:rPr>
                <w:rFonts w:asciiTheme="minorEastAsia" w:hAnsiTheme="minorEastAsia" w:eastAsiaTheme="minorEastAsia"/>
                <w:b/>
                <w:color w:val="000000"/>
                <w:szCs w:val="21"/>
              </w:rPr>
            </w:pPr>
          </w:p>
        </w:tc>
        <w:tc>
          <w:tcPr>
            <w:tcW w:w="1984" w:type="dxa"/>
            <w:vMerge w:val="continue"/>
            <w:vAlign w:val="center"/>
          </w:tcPr>
          <w:p>
            <w:pPr>
              <w:jc w:val="center"/>
              <w:rPr>
                <w:rFonts w:cs="宋体" w:asciiTheme="minorEastAsia" w:hAnsiTheme="minorEastAsia" w:eastAsiaTheme="minorEastAsia"/>
                <w:color w:val="000000"/>
                <w:szCs w:val="21"/>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24、建议：建议适当延长已过专规项目的政策政策衔接期，平稳推进拆除重建类城市更新项目地价测算新旧规定衔接工作。使市场主体平稳过渡。</w:t>
            </w:r>
          </w:p>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理由：《深圳市人民政府办公厅印发关于加强和改进城市更新实施工作暂行措施的通知》(深府办〔2016) 38号)(以下简称《暂行措施》)第(十六)条规定，在2013年1月8日之前核发更新单元规划批复的城市更新项目，当期的地价测算涉及基准地价且符合以下条件的，按照更新单元规划批复核发之日的公告基准地价标准执行:(1)项目整体或分期开发的首期在城市更新单元规划批复核发之日起2年内办理用地出让手续的;(2)项目分期开发的二期在城市更新单元规划批复核发之日起3年内办理用地出让手续的;(3)项目分期开发的三期及后续各期在城市更新单元规划批复核发之日起4年内办理用地出让手续的。</w:t>
            </w:r>
          </w:p>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上述《暂行措施》第(十六)条对项目地价测算新旧规定执行时点给予了合理的过渡期，积极促根据目前已经实施的城市更新项目经验，城市更新项目自列入计划后，还要经过土地和建筑物信息核查、专项规划申报、形成单一主体、实施主体确认、项目实施监管协议、房屋拆除、产权注销、办理用地手续等多个重要环节，一般都要耗时3-5年。</w:t>
            </w:r>
          </w:p>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4个月的时间，对于已列入计划的城市更新项目来说，过渡时间远远不够。特别是对于已经过了专规的更新项目，专规取得批复时，一般已发布搬迁补偿安置方案及启动与权利主体签订搬迁安置补偿协议。项目的搬迁补偿安置方案及可行性研究均基于现行地价测算规定考虑，如新的地价测算规定使项目地价成本提高，将造成项目无法实施或已签订的搬迁补偿安置协议无法履行。</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（深圳市城市更新开发企业协会）</w:t>
            </w:r>
            <w:r>
              <w:rPr>
                <w:rFonts w:hint="eastAsia" w:asciiTheme="minorEastAsia" w:hAnsiTheme="minorEastAsia" w:eastAsiaTheme="minorEastAsia"/>
                <w:szCs w:val="21"/>
              </w:rPr>
              <w:t xml:space="preserve"> </w:t>
            </w:r>
          </w:p>
        </w:tc>
        <w:tc>
          <w:tcPr>
            <w:tcW w:w="4763" w:type="dxa"/>
            <w:vMerge w:val="continue"/>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90" w:type="dxa"/>
            <w:vMerge w:val="continue"/>
            <w:vAlign w:val="center"/>
          </w:tcPr>
          <w:p>
            <w:pPr>
              <w:jc w:val="center"/>
              <w:rPr>
                <w:rFonts w:cs="宋体" w:asciiTheme="minorEastAsia" w:hAnsiTheme="minorEastAsia" w:eastAsiaTheme="minorEastAsia"/>
                <w:color w:val="000000"/>
                <w:szCs w:val="21"/>
              </w:rPr>
            </w:pPr>
          </w:p>
        </w:tc>
        <w:tc>
          <w:tcPr>
            <w:tcW w:w="1792" w:type="dxa"/>
            <w:vMerge w:val="continue"/>
            <w:vAlign w:val="center"/>
          </w:tcPr>
          <w:p>
            <w:pPr>
              <w:jc w:val="center"/>
              <w:rPr>
                <w:rFonts w:asciiTheme="minorEastAsia" w:hAnsiTheme="minorEastAsia" w:eastAsiaTheme="minorEastAsia"/>
                <w:b/>
                <w:color w:val="000000"/>
                <w:szCs w:val="21"/>
              </w:rPr>
            </w:pPr>
          </w:p>
        </w:tc>
        <w:tc>
          <w:tcPr>
            <w:tcW w:w="1984" w:type="dxa"/>
            <w:vMerge w:val="continue"/>
            <w:vAlign w:val="center"/>
          </w:tcPr>
          <w:p>
            <w:pPr>
              <w:jc w:val="center"/>
              <w:rPr>
                <w:rFonts w:cs="宋体" w:asciiTheme="minorEastAsia" w:hAnsiTheme="minorEastAsia" w:eastAsiaTheme="minorEastAsia"/>
                <w:color w:val="000000"/>
                <w:szCs w:val="21"/>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25、建议：第4.3条第二款调整为“本规则发布前已核发更新单元规划批复的，并在批复核发之日起 5 年内办理用地出让手续的项目，地价计收标准及方式按原有规定执行，否则按本规则执行”。</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理由：</w:t>
            </w:r>
            <w:r>
              <w:rPr>
                <w:rFonts w:hint="eastAsia" w:asciiTheme="minorEastAsia" w:hAnsiTheme="minorEastAsia" w:eastAsiaTheme="minorEastAsia"/>
                <w:szCs w:val="21"/>
              </w:rPr>
              <w:t>城市更新项目通常会在更新单元规划批复后，在项目经济可行性分析基础上，确定拆迁安置补偿标准，启动拆迁签约工作。而地价成本是其中重要的影响因素，尤其是对高贡献率的工改商项目（例：我司金地工业区城市更新项目，土地贡献率46.8% ，承担8万多平方米保障房及公共配套建设义务，按现行政策需补缴约85亿元地价）。更新项目从启动签约至签约率达90％的周期，通常要短于最后 10％业主的签约周期。因此，对于签约率已过90%，大部分拆迁成本已经确定的项目，如遇到地价的大幅增加，将直接导致项目的经济可行性大幅降低，甚至出现实施困难，并直接影响到已经签约的90％业主的利益、影响到更新项目涉及的公共利益。对于此类项目，新的地价政策应当预留充足的政策衔接期。</w:t>
            </w:r>
            <w:r>
              <w:rPr>
                <w:rFonts w:hint="eastAsia" w:asciiTheme="minorEastAsia" w:hAnsiTheme="minorEastAsia" w:eastAsiaTheme="minorEastAsia"/>
                <w:b/>
                <w:szCs w:val="21"/>
              </w:rPr>
              <w:t>（金地（集团）股份有限公司）</w:t>
            </w:r>
          </w:p>
        </w:tc>
        <w:tc>
          <w:tcPr>
            <w:tcW w:w="4763" w:type="dxa"/>
            <w:vMerge w:val="restart"/>
            <w:vAlign w:val="center"/>
          </w:tcPr>
          <w:p>
            <w:pPr>
              <w:jc w:val="center"/>
              <w:rPr>
                <w:highlight w:val="yellow"/>
              </w:rPr>
            </w:pPr>
            <w:r>
              <w:rPr>
                <w:rFonts w:hint="eastAsia" w:asciiTheme="minorEastAsia" w:hAnsiTheme="minorEastAsia" w:eastAsiaTheme="minorEastAsia"/>
                <w:b/>
                <w:color w:val="FF0000"/>
              </w:rPr>
              <w:t>解释。</w:t>
            </w:r>
            <w:r>
              <w:rPr>
                <w:rFonts w:hint="eastAsia" w:asciiTheme="minorEastAsia" w:hAnsiTheme="minorEastAsia" w:eastAsiaTheme="minorEastAsia"/>
              </w:rPr>
              <w:t>我市建立以土地的市场价格为基准的评估地价应用体系后，改变了原来以基准地价和评估地价并存的“双轨制”，城市更新、土地整备等各类用地出让均需纳入统一的地价应用体系。在本次新旧政策调整过程中，已充分考虑了此前相关政策对存量土地开发利用的支持，总体上保证了政策调整前后城市更新项目平均地价水平的基本平稳和顺畅过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90" w:type="dxa"/>
            <w:vMerge w:val="continue"/>
            <w:vAlign w:val="center"/>
          </w:tcPr>
          <w:p>
            <w:pPr>
              <w:jc w:val="center"/>
              <w:rPr>
                <w:rFonts w:cs="宋体" w:asciiTheme="minorEastAsia" w:hAnsiTheme="minorEastAsia" w:eastAsiaTheme="minorEastAsia"/>
                <w:color w:val="000000"/>
                <w:szCs w:val="21"/>
              </w:rPr>
            </w:pPr>
          </w:p>
        </w:tc>
        <w:tc>
          <w:tcPr>
            <w:tcW w:w="1792" w:type="dxa"/>
            <w:vMerge w:val="continue"/>
            <w:vAlign w:val="center"/>
          </w:tcPr>
          <w:p>
            <w:pPr>
              <w:jc w:val="center"/>
              <w:rPr>
                <w:rFonts w:asciiTheme="minorEastAsia" w:hAnsiTheme="minorEastAsia" w:eastAsiaTheme="minorEastAsia"/>
                <w:b/>
                <w:color w:val="000000"/>
                <w:szCs w:val="21"/>
              </w:rPr>
            </w:pPr>
          </w:p>
        </w:tc>
        <w:tc>
          <w:tcPr>
            <w:tcW w:w="1984" w:type="dxa"/>
            <w:vMerge w:val="continue"/>
            <w:vAlign w:val="center"/>
          </w:tcPr>
          <w:p>
            <w:pPr>
              <w:jc w:val="center"/>
              <w:rPr>
                <w:rFonts w:cs="宋体" w:asciiTheme="minorEastAsia" w:hAnsiTheme="minorEastAsia" w:eastAsiaTheme="minorEastAsia"/>
                <w:color w:val="000000"/>
                <w:szCs w:val="21"/>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26、建议：考虑本规则发布前已取得更新单元规划批复的，在批复核发之日起3年内办理首期用地出让手续的项目，该更新单位整体项目的地价计收标准及方式，可由市场主体自行选择按原有规定或新规定执行。</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理由：</w:t>
            </w:r>
            <w:r>
              <w:rPr>
                <w:rFonts w:hint="eastAsia" w:asciiTheme="minorEastAsia" w:hAnsiTheme="minorEastAsia" w:eastAsiaTheme="minorEastAsia"/>
                <w:szCs w:val="21"/>
              </w:rPr>
              <w:t>地价是项目投资测算的重要组成部分，对项目总投资影响重大。对于已取得专项规划批复的项目，前期测算以及实际拆迁谈判、签约工作中已明确了项目拆迁安置补偿标准，而地价的大幅增加将直接导致项目成本一同上涨、融资风险增加、经济可行性降低。开发单位过大的资金压力，一方面将造成项目实施困难，影响保障性住房、公共配套设施的落地，损害业主、周边匿名的利益；另一方面，过高的地价也将很快转嫁到市场中，增加楼市上行的压力。</w:t>
            </w:r>
          </w:p>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因此，对于已取得专项规划批复的项目，新的地价政策应当预留充足的政策衔接期，保留实施主体自行选择按照新地价标准或原地价标准缴纳的权益。</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（深圳市福田建设房地产开发（集团）股份有限公司）</w:t>
            </w:r>
          </w:p>
        </w:tc>
        <w:tc>
          <w:tcPr>
            <w:tcW w:w="4763" w:type="dxa"/>
            <w:vMerge w:val="continue"/>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90" w:type="dxa"/>
            <w:vMerge w:val="restart"/>
            <w:vAlign w:val="center"/>
          </w:tcPr>
          <w:p>
            <w:pPr>
              <w:jc w:val="center"/>
              <w:rPr>
                <w:rFonts w:cs="宋体" w:asciiTheme="minorEastAsia" w:hAnsiTheme="minorEastAsia" w:eastAsiaTheme="minorEastAsia"/>
                <w:color w:val="000000"/>
                <w:szCs w:val="28"/>
              </w:rPr>
            </w:pPr>
            <w:r>
              <w:rPr>
                <w:rFonts w:hint="eastAsia" w:asciiTheme="minorEastAsia" w:hAnsiTheme="minorEastAsia" w:eastAsiaTheme="minorEastAsia"/>
                <w:color w:val="000000"/>
                <w:szCs w:val="28"/>
              </w:rPr>
              <w:t>4</w:t>
            </w:r>
          </w:p>
        </w:tc>
        <w:tc>
          <w:tcPr>
            <w:tcW w:w="1792" w:type="dxa"/>
            <w:vMerge w:val="restart"/>
            <w:vAlign w:val="center"/>
          </w:tcPr>
          <w:p>
            <w:pPr>
              <w:jc w:val="center"/>
              <w:rPr>
                <w:rFonts w:asciiTheme="minorEastAsia" w:hAnsiTheme="minorEastAsia" w:eastAsiaTheme="minorEastAsia"/>
                <w:b/>
                <w:color w:val="000000" w:themeColor="text1"/>
                <w:szCs w:val="28"/>
                <w14:textFill>
                  <w14:solidFill>
                    <w14:schemeClr w14:val="tx1"/>
                  </w14:solidFill>
                </w14:textFill>
              </w:rPr>
            </w:pPr>
            <w:r>
              <w:rPr>
                <w:rFonts w:hint="eastAsia"/>
                <w:b/>
                <w:bCs/>
                <w:kern w:val="0"/>
                <w:szCs w:val="28"/>
              </w:rPr>
              <w:t>建筑类型适用地价标准及修正系数表</w:t>
            </w:r>
          </w:p>
        </w:tc>
        <w:tc>
          <w:tcPr>
            <w:tcW w:w="1984" w:type="dxa"/>
            <w:vMerge w:val="restart"/>
            <w:vAlign w:val="center"/>
          </w:tcPr>
          <w:p>
            <w:pPr>
              <w:jc w:val="center"/>
              <w:rPr>
                <w:rFonts w:cs="宋体" w:asciiTheme="minorEastAsia" w:hAnsiTheme="minorEastAsia" w:eastAsiaTheme="minorEastAsia"/>
                <w:color w:val="000000"/>
                <w:szCs w:val="28"/>
              </w:rPr>
            </w:pPr>
            <w:r>
              <w:rPr>
                <w:rFonts w:hint="eastAsia" w:asciiTheme="minorEastAsia" w:hAnsiTheme="minorEastAsia" w:eastAsiaTheme="minorEastAsia"/>
                <w:color w:val="000000"/>
                <w:szCs w:val="28"/>
              </w:rPr>
              <w:t xml:space="preserve">附表1 </w:t>
            </w:r>
          </w:p>
        </w:tc>
        <w:tc>
          <w:tcPr>
            <w:tcW w:w="12582" w:type="dxa"/>
            <w:vAlign w:val="center"/>
          </w:tcPr>
          <w:p>
            <w:pPr>
              <w:ind w:firstLine="560" w:firstLineChars="200"/>
              <w:jc w:val="left"/>
              <w:rPr>
                <w:rFonts w:asciiTheme="minorEastAsia" w:hAnsiTheme="minorEastAsia" w:eastAsiaTheme="minorEastAsia"/>
                <w:color w:val="000000"/>
                <w:szCs w:val="28"/>
              </w:rPr>
            </w:pPr>
            <w:r>
              <w:rPr>
                <w:rFonts w:hint="eastAsia" w:asciiTheme="minorEastAsia" w:hAnsiTheme="minorEastAsia" w:eastAsiaTheme="minorEastAsia"/>
                <w:color w:val="000000"/>
                <w:szCs w:val="28"/>
              </w:rPr>
              <w:t>27、建议：第4条公共租赁住房、安居型商品房修正系数为0.3，人才住房为0.4过高，改为0.25和0.35。（</w:t>
            </w:r>
            <w:r>
              <w:rPr>
                <w:rFonts w:hint="eastAsia" w:asciiTheme="minorEastAsia" w:hAnsiTheme="minorEastAsia" w:eastAsiaTheme="minorEastAsia"/>
                <w:b/>
                <w:color w:val="000000"/>
                <w:szCs w:val="28"/>
              </w:rPr>
              <w:t>深圳市华嵘投资控股有限公司</w:t>
            </w:r>
            <w:r>
              <w:rPr>
                <w:rFonts w:hint="eastAsia" w:asciiTheme="minorEastAsia" w:hAnsiTheme="minorEastAsia" w:eastAsiaTheme="minorEastAsia"/>
                <w:color w:val="000000"/>
                <w:szCs w:val="28"/>
              </w:rPr>
              <w:t>）</w:t>
            </w:r>
          </w:p>
        </w:tc>
        <w:tc>
          <w:tcPr>
            <w:tcW w:w="4763" w:type="dxa"/>
            <w:vMerge w:val="restart"/>
            <w:vAlign w:val="center"/>
          </w:tcPr>
          <w:p>
            <w:pPr>
              <w:jc w:val="center"/>
              <w:rPr>
                <w:rFonts w:asciiTheme="minorEastAsia" w:hAnsiTheme="minorEastAsia" w:eastAsiaTheme="minorEastAsia"/>
                <w:b/>
                <w:bCs/>
                <w:color w:val="9BBB59" w:themeColor="accent3"/>
                <w14:textFill>
                  <w14:solidFill>
                    <w14:schemeClr w14:val="accent3"/>
                  </w14:solidFill>
                </w14:textFill>
              </w:rPr>
            </w:pPr>
            <w:r>
              <w:rPr>
                <w:rFonts w:hint="eastAsia" w:asciiTheme="minorEastAsia" w:hAnsiTheme="minorEastAsia" w:eastAsiaTheme="minorEastAsia"/>
                <w:b/>
                <w:color w:val="FF0000"/>
              </w:rPr>
              <w:t>解释。</w:t>
            </w:r>
            <w:r>
              <w:rPr>
                <w:rFonts w:hint="eastAsia" w:asciiTheme="minorEastAsia" w:hAnsiTheme="minorEastAsia" w:eastAsiaTheme="minorEastAsia"/>
              </w:rPr>
              <w:t>公共</w:t>
            </w:r>
            <w:r>
              <w:rPr>
                <w:rFonts w:hint="eastAsia" w:asciiTheme="minorEastAsia" w:hAnsiTheme="minorEastAsia" w:eastAsiaTheme="minorEastAsia"/>
                <w:color w:val="000000"/>
                <w:szCs w:val="28"/>
              </w:rPr>
              <w:t>租赁住房、安居型商品房和人才住房地价标准</w:t>
            </w:r>
            <w:r>
              <w:rPr>
                <w:rFonts w:hint="eastAsia" w:asciiTheme="minorEastAsia" w:hAnsiTheme="minorEastAsia" w:eastAsiaTheme="minorEastAsia"/>
              </w:rPr>
              <w:t>与现行地价标准相比已大幅降低。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b/>
                <w:color w:val="000000" w:themeColor="text1"/>
                <w:szCs w:val="28"/>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8"/>
              </w:rPr>
            </w:pPr>
          </w:p>
        </w:tc>
        <w:tc>
          <w:tcPr>
            <w:tcW w:w="12582" w:type="dxa"/>
            <w:vAlign w:val="center"/>
          </w:tcPr>
          <w:p>
            <w:pPr>
              <w:ind w:firstLine="560" w:firstLineChars="200"/>
              <w:jc w:val="left"/>
              <w:rPr>
                <w:rFonts w:asciiTheme="minorEastAsia" w:hAnsiTheme="minorEastAsia" w:eastAsiaTheme="minorEastAsia"/>
                <w:color w:val="000000"/>
                <w:szCs w:val="28"/>
              </w:rPr>
            </w:pPr>
            <w:r>
              <w:rPr>
                <w:rFonts w:hint="eastAsia" w:asciiTheme="minorEastAsia" w:hAnsiTheme="minorEastAsia" w:eastAsiaTheme="minorEastAsia"/>
                <w:color w:val="000000"/>
                <w:szCs w:val="28"/>
              </w:rPr>
              <w:t>28、建议：我公司认为《深圳市地价测算规则》(第一次征求意见稿)制订的地价修订系数比较合理。如有新的调整，新调整的修订系数不应高于“公共租赁住房、安居型商品房修正系数0.25，人才住房修正系数0.35”的标准，适当降低标准系数，以促进市场存量土地活力。</w:t>
            </w:r>
          </w:p>
          <w:p>
            <w:pPr>
              <w:ind w:firstLine="562" w:firstLineChars="200"/>
              <w:jc w:val="left"/>
              <w:rPr>
                <w:rFonts w:asciiTheme="minorEastAsia" w:hAnsiTheme="minorEastAsia" w:eastAsiaTheme="minorEastAsia"/>
                <w:color w:val="000000"/>
                <w:szCs w:val="28"/>
              </w:rPr>
            </w:pPr>
            <w:r>
              <w:rPr>
                <w:rFonts w:hint="eastAsia" w:asciiTheme="minorEastAsia" w:hAnsiTheme="minorEastAsia" w:eastAsiaTheme="minorEastAsia"/>
                <w:b/>
                <w:color w:val="000000"/>
                <w:szCs w:val="28"/>
              </w:rPr>
              <w:t>理由：</w:t>
            </w:r>
            <w:r>
              <w:rPr>
                <w:rFonts w:hint="eastAsia" w:asciiTheme="minorEastAsia" w:hAnsiTheme="minorEastAsia" w:eastAsiaTheme="minorEastAsia"/>
                <w:color w:val="000000"/>
                <w:szCs w:val="28"/>
              </w:rPr>
              <w:t>针对附表1第4条: 我司组织专业经济测算团队进行分析“公共租赁住房、安居型商品房修正系数0.3，人才住房修正系数,0.4”的公示，该测算安居型商品房地价</w:t>
            </w:r>
            <w:r>
              <w:rPr>
                <w:rFonts w:hint="eastAsia" w:asciiTheme="minorEastAsia" w:hAnsiTheme="minorEastAsia" w:eastAsiaTheme="minorEastAsia"/>
                <w:color w:val="000000"/>
                <w:szCs w:val="28"/>
                <w:lang w:val="en-US" w:eastAsia="zh-CN"/>
              </w:rPr>
              <w:t>已经</w:t>
            </w:r>
            <w:bookmarkStart w:id="0" w:name="_GoBack"/>
            <w:bookmarkEnd w:id="0"/>
            <w:r>
              <w:rPr>
                <w:rFonts w:hint="eastAsia" w:asciiTheme="minorEastAsia" w:hAnsiTheme="minorEastAsia" w:eastAsiaTheme="minorEastAsia"/>
                <w:color w:val="000000"/>
                <w:szCs w:val="28"/>
              </w:rPr>
              <w:t>达到了城市更新项目商品住宅的地价水平，与现执行的《深圳市宗地地价测算规则(试行)》(深规土（2013)12号)类似，安居型商品房地价标准太高，导致开发企业不愿意拿出土地建设保障房。</w:t>
            </w:r>
            <w:r>
              <w:rPr>
                <w:rFonts w:hint="eastAsia" w:asciiTheme="minorEastAsia" w:hAnsiTheme="minorEastAsia" w:eastAsiaTheme="minorEastAsia"/>
                <w:b/>
                <w:color w:val="000000"/>
                <w:szCs w:val="28"/>
              </w:rPr>
              <w:t>（深圳市捷能投资有限公司）</w:t>
            </w:r>
          </w:p>
        </w:tc>
        <w:tc>
          <w:tcPr>
            <w:tcW w:w="4763" w:type="dxa"/>
            <w:vMerge w:val="continue"/>
            <w:vAlign w:val="center"/>
          </w:tcPr>
          <w:p>
            <w:pPr>
              <w:jc w:val="center"/>
              <w:rPr>
                <w:rFonts w:asciiTheme="minorEastAsia" w:hAnsiTheme="minorEastAsia" w:eastAsiaTheme="minorEastAsia"/>
                <w:b/>
                <w:bCs/>
                <w:color w:val="9BBB59" w:themeColor="accent3"/>
                <w14:textFill>
                  <w14:solidFill>
                    <w14:schemeClr w14:val="accent3"/>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b/>
                <w:color w:val="000000" w:themeColor="text1"/>
                <w:szCs w:val="28"/>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8"/>
              </w:rPr>
            </w:pPr>
          </w:p>
        </w:tc>
        <w:tc>
          <w:tcPr>
            <w:tcW w:w="12582" w:type="dxa"/>
            <w:vAlign w:val="center"/>
          </w:tcPr>
          <w:p>
            <w:pPr>
              <w:ind w:firstLine="560" w:firstLineChars="200"/>
              <w:jc w:val="left"/>
              <w:rPr>
                <w:rFonts w:asciiTheme="minorEastAsia" w:hAnsiTheme="minorEastAsia" w:eastAsiaTheme="minorEastAsia"/>
                <w:color w:val="000000"/>
                <w:szCs w:val="28"/>
              </w:rPr>
            </w:pPr>
            <w:r>
              <w:rPr>
                <w:rFonts w:hint="eastAsia" w:asciiTheme="minorEastAsia" w:hAnsiTheme="minorEastAsia" w:eastAsiaTheme="minorEastAsia"/>
                <w:color w:val="000000"/>
                <w:szCs w:val="28"/>
              </w:rPr>
              <w:t>29、建议：附表1中第5项的其中第2条：公共租赁住房、安居型商品房的地价标准及修正系数，现征求意见为0.3倍的标定地价，原意见为0.2倍的标定地价。建议按原意见执行。</w:t>
            </w:r>
          </w:p>
          <w:p>
            <w:pPr>
              <w:ind w:firstLine="562" w:firstLineChars="200"/>
              <w:jc w:val="left"/>
              <w:rPr>
                <w:rFonts w:asciiTheme="minorEastAsia" w:hAnsiTheme="minorEastAsia" w:eastAsiaTheme="minorEastAsia"/>
                <w:color w:val="000000"/>
                <w:szCs w:val="28"/>
              </w:rPr>
            </w:pPr>
            <w:r>
              <w:rPr>
                <w:rFonts w:hint="eastAsia" w:asciiTheme="minorEastAsia" w:hAnsiTheme="minorEastAsia" w:eastAsiaTheme="minorEastAsia"/>
                <w:b/>
                <w:color w:val="000000"/>
                <w:szCs w:val="28"/>
              </w:rPr>
              <w:t>理由：</w:t>
            </w:r>
            <w:r>
              <w:rPr>
                <w:rFonts w:hint="eastAsia" w:asciiTheme="minorEastAsia" w:hAnsiTheme="minorEastAsia" w:eastAsiaTheme="minorEastAsia"/>
                <w:color w:val="000000"/>
                <w:szCs w:val="28"/>
              </w:rPr>
              <w:t>工业用地在拿地的时候已经付出了巨额地价，再次提升地价标准会打击“工改保”地块建设单位的积极性。如果做“工改保”的项目盈利不能超过纯粹卖地的收入，那么就不会有地块用于“工改保”，建议安居型商品房调低地价，让开发商或业主有合理利润，有积极性参与“工改保”的建设。</w:t>
            </w:r>
          </w:p>
          <w:p>
            <w:pPr>
              <w:ind w:firstLine="562" w:firstLineChars="200"/>
              <w:jc w:val="left"/>
              <w:rPr>
                <w:rFonts w:asciiTheme="minorEastAsia" w:hAnsiTheme="minorEastAsia" w:eastAsiaTheme="minorEastAsia"/>
                <w:b/>
                <w:color w:val="000000"/>
                <w:szCs w:val="28"/>
              </w:rPr>
            </w:pPr>
            <w:r>
              <w:rPr>
                <w:rFonts w:hint="eastAsia" w:asciiTheme="minorEastAsia" w:hAnsiTheme="minorEastAsia" w:eastAsiaTheme="minorEastAsia"/>
                <w:b/>
                <w:color w:val="000000"/>
                <w:szCs w:val="28"/>
              </w:rPr>
              <w:t>（匿名）</w:t>
            </w:r>
          </w:p>
        </w:tc>
        <w:tc>
          <w:tcPr>
            <w:tcW w:w="4763" w:type="dxa"/>
            <w:vMerge w:val="continue"/>
            <w:vAlign w:val="center"/>
          </w:tcPr>
          <w:p>
            <w:pPr>
              <w:jc w:val="center"/>
              <w:rPr>
                <w:rFonts w:asciiTheme="minorEastAsia" w:hAnsiTheme="minorEastAsia" w:eastAsiaTheme="minorEastAsia"/>
                <w:b/>
                <w:bCs/>
                <w:color w:val="9BBB59" w:themeColor="accent3"/>
                <w14:textFill>
                  <w14:solidFill>
                    <w14:schemeClr w14:val="accent3"/>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b/>
                <w:color w:val="000000" w:themeColor="text1"/>
                <w:szCs w:val="28"/>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8"/>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30、建议：根据租金定价标准，相应降低公共租赁住房的地价修正系数。</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理由：</w:t>
            </w:r>
            <w:r>
              <w:rPr>
                <w:rFonts w:hint="eastAsia" w:asciiTheme="minorEastAsia" w:hAnsiTheme="minorEastAsia" w:eastAsiaTheme="minorEastAsia"/>
                <w:szCs w:val="21"/>
              </w:rPr>
              <w:t>按照附表1 建筑类型适用地价标准及修正系数表，公共租赁住房、安居型商品房修正系数为0.3，人才住房修正系数为0.4。按照附表3 产权限制修正系数表，不得转让的情况下，公共租赁住房、安居型商品房、人才住房修正系数为0.1。</w:t>
            </w:r>
          </w:p>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以此为计算依据，只考虑自持的情况下，</w:t>
            </w:r>
          </w:p>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公共租赁住房修正系数：0.3*0.1=0.03；</w:t>
            </w:r>
          </w:p>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安居型商品房修正系数：0.3*0.1=0.03；</w:t>
            </w:r>
          </w:p>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人才住房修正系数：0.4*0.1=0.04；</w:t>
            </w:r>
          </w:p>
          <w:p>
            <w:pPr>
              <w:ind w:firstLine="560" w:firstLineChars="200"/>
              <w:jc w:val="left"/>
              <w:rPr>
                <w:rFonts w:asciiTheme="minorEastAsia" w:hAnsiTheme="minorEastAsia" w:eastAsiaTheme="minorEastAsia"/>
                <w:b/>
                <w:color w:val="000000"/>
                <w:szCs w:val="28"/>
              </w:rPr>
            </w:pPr>
            <w:r>
              <w:rPr>
                <w:rFonts w:hint="eastAsia" w:asciiTheme="minorEastAsia" w:hAnsiTheme="minorEastAsia" w:eastAsiaTheme="minorEastAsia"/>
                <w:szCs w:val="21"/>
              </w:rPr>
              <w:t>公共租赁住房的地价修正系数与人才住房的地价修正系数较接近，而根据《深圳市公共租赁住房建设和管理办法》、《深圳市人才住房建设和管理办法》公共租赁住房租金是市场租金的30%左右，人才住房的租金是市场租金的60%左右，两者租金相差一倍。因此建议根据租金定价标准，相应降低公共租赁住房的地价修正系数。</w:t>
            </w:r>
            <w:r>
              <w:rPr>
                <w:rFonts w:hint="eastAsia" w:asciiTheme="minorEastAsia" w:hAnsiTheme="minorEastAsia" w:eastAsiaTheme="minorEastAsia"/>
                <w:b/>
                <w:szCs w:val="21"/>
              </w:rPr>
              <w:t>（深圳市住房和建设局）</w:t>
            </w:r>
          </w:p>
        </w:tc>
        <w:tc>
          <w:tcPr>
            <w:tcW w:w="4763" w:type="dxa"/>
            <w:vAlign w:val="center"/>
          </w:tcPr>
          <w:p>
            <w:pPr>
              <w:jc w:val="center"/>
              <w:rPr>
                <w:rFonts w:asciiTheme="minorEastAsia" w:hAnsiTheme="minorEastAsia" w:eastAsiaTheme="minorEastAsia"/>
                <w:bCs/>
              </w:rPr>
            </w:pPr>
            <w:r>
              <w:rPr>
                <w:rFonts w:hint="eastAsia" w:asciiTheme="minorEastAsia" w:hAnsiTheme="minorEastAsia" w:eastAsiaTheme="minorEastAsia"/>
                <w:b/>
                <w:color w:val="00B050"/>
              </w:rPr>
              <w:t>采纳。</w:t>
            </w:r>
            <w:r>
              <w:rPr>
                <w:rFonts w:hint="eastAsia" w:asciiTheme="minorEastAsia" w:hAnsiTheme="minorEastAsia" w:eastAsiaTheme="minorEastAsia"/>
                <w:bCs/>
              </w:rPr>
              <w:t>按照我市现行政策，公共租赁住房由市政府投资建设，产权归政府，不计收地价。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b/>
                <w:color w:val="000000" w:themeColor="text1"/>
                <w:szCs w:val="28"/>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8"/>
              </w:rPr>
            </w:pPr>
          </w:p>
        </w:tc>
        <w:tc>
          <w:tcPr>
            <w:tcW w:w="12582" w:type="dxa"/>
            <w:vAlign w:val="center"/>
          </w:tcPr>
          <w:p>
            <w:pPr>
              <w:ind w:firstLine="560" w:firstLineChars="200"/>
              <w:jc w:val="left"/>
              <w:rPr>
                <w:rFonts w:asciiTheme="minorEastAsia" w:hAnsiTheme="minorEastAsia" w:eastAsiaTheme="minorEastAsia"/>
                <w:color w:val="000000"/>
                <w:szCs w:val="28"/>
              </w:rPr>
            </w:pPr>
            <w:r>
              <w:rPr>
                <w:rFonts w:hint="eastAsia" w:asciiTheme="minorEastAsia" w:hAnsiTheme="minorEastAsia" w:eastAsiaTheme="minorEastAsia"/>
                <w:color w:val="000000"/>
                <w:szCs w:val="28"/>
              </w:rPr>
              <w:t>31、建议：附表1和附表7中明确非经营性的公用设施及地下空间等类型不计收地价。</w:t>
            </w:r>
          </w:p>
          <w:p>
            <w:pPr>
              <w:ind w:firstLine="560" w:firstLineChars="200"/>
              <w:jc w:val="left"/>
              <w:rPr>
                <w:rFonts w:asciiTheme="minorEastAsia" w:hAnsiTheme="minorEastAsia" w:eastAsiaTheme="minorEastAsia"/>
                <w:color w:val="000000"/>
                <w:szCs w:val="28"/>
              </w:rPr>
            </w:pPr>
            <w:r>
              <w:rPr>
                <w:rFonts w:hint="eastAsia" w:asciiTheme="minorEastAsia" w:hAnsiTheme="minorEastAsia" w:eastAsiaTheme="minorEastAsia"/>
                <w:color w:val="000000"/>
                <w:szCs w:val="21"/>
              </w:rPr>
              <w:t>（</w:t>
            </w:r>
            <w:r>
              <w:rPr>
                <w:rFonts w:hint="eastAsia" w:asciiTheme="minorEastAsia" w:hAnsiTheme="minorEastAsia" w:eastAsiaTheme="minorEastAsia"/>
                <w:b/>
                <w:color w:val="000000"/>
                <w:szCs w:val="21"/>
              </w:rPr>
              <w:t>深圳市金地新沙房地产开发有限公司</w:t>
            </w:r>
            <w:r>
              <w:rPr>
                <w:rFonts w:hint="eastAsia" w:asciiTheme="minorEastAsia" w:hAnsiTheme="minorEastAsia" w:eastAsiaTheme="minorEastAsia"/>
                <w:color w:val="000000"/>
                <w:szCs w:val="21"/>
              </w:rPr>
              <w:t>）</w:t>
            </w:r>
          </w:p>
        </w:tc>
        <w:tc>
          <w:tcPr>
            <w:tcW w:w="4763" w:type="dxa"/>
            <w:vAlign w:val="center"/>
          </w:tcPr>
          <w:p>
            <w:pPr>
              <w:jc w:val="center"/>
              <w:rPr>
                <w:rFonts w:asciiTheme="minorEastAsia" w:hAnsiTheme="minorEastAsia" w:eastAsiaTheme="minorEastAsia"/>
                <w:b/>
                <w:bCs/>
              </w:rPr>
            </w:pPr>
            <w:r>
              <w:rPr>
                <w:rFonts w:hint="eastAsia" w:asciiTheme="minorEastAsia" w:hAnsiTheme="minorEastAsia" w:eastAsiaTheme="minorEastAsia"/>
                <w:b/>
                <w:color w:val="00B050"/>
              </w:rPr>
              <w:t>采纳。</w:t>
            </w:r>
            <w:r>
              <w:rPr>
                <w:rFonts w:hint="eastAsia" w:asciiTheme="minorEastAsia" w:hAnsiTheme="minorEastAsia" w:eastAsiaTheme="minorEastAsia"/>
                <w:bCs/>
              </w:rPr>
              <w:t>公用设施及地下空间的地价已在附表1和附表7中明确，产权归政府的已在1.2中明确，不计收地价。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b/>
                <w:color w:val="000000" w:themeColor="text1"/>
                <w:szCs w:val="28"/>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8"/>
              </w:rPr>
            </w:pPr>
          </w:p>
        </w:tc>
        <w:tc>
          <w:tcPr>
            <w:tcW w:w="12582" w:type="dxa"/>
            <w:vAlign w:val="center"/>
          </w:tcPr>
          <w:p>
            <w:pPr>
              <w:ind w:firstLine="560" w:firstLineChars="200"/>
              <w:jc w:val="left"/>
              <w:rPr>
                <w:rFonts w:asciiTheme="minorEastAsia" w:hAnsiTheme="minorEastAsia" w:eastAsiaTheme="minorEastAsia"/>
                <w:b/>
                <w:szCs w:val="21"/>
              </w:rPr>
            </w:pPr>
            <w:r>
              <w:rPr>
                <w:rFonts w:hint="eastAsia" w:asciiTheme="minorEastAsia" w:hAnsiTheme="minorEastAsia" w:eastAsiaTheme="minorEastAsia"/>
                <w:szCs w:val="21"/>
              </w:rPr>
              <w:t>32、建议：适当减免保障性住房、非经营性公用设施及地下空间等类型的地价。</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（深圳市城市更新开发企业协会）</w:t>
            </w:r>
          </w:p>
        </w:tc>
        <w:tc>
          <w:tcPr>
            <w:tcW w:w="4763" w:type="dxa"/>
            <w:vMerge w:val="restart"/>
            <w:vAlign w:val="center"/>
          </w:tcPr>
          <w:p>
            <w:pPr>
              <w:jc w:val="center"/>
              <w:rPr>
                <w:rFonts w:asciiTheme="minorEastAsia" w:hAnsiTheme="minorEastAsia" w:eastAsiaTheme="minorEastAsia"/>
                <w:bCs/>
              </w:rPr>
            </w:pPr>
            <w:r>
              <w:rPr>
                <w:rFonts w:hint="eastAsia" w:asciiTheme="minorEastAsia" w:hAnsiTheme="minorEastAsia" w:eastAsiaTheme="minorEastAsia"/>
                <w:b/>
                <w:color w:val="00B050"/>
              </w:rPr>
              <w:t>采纳。</w:t>
            </w:r>
            <w:r>
              <w:rPr>
                <w:rFonts w:hint="eastAsia" w:asciiTheme="minorEastAsia" w:hAnsiTheme="minorEastAsia" w:eastAsiaTheme="minorEastAsia"/>
                <w:bCs/>
              </w:rPr>
              <w:t>公用设施及地下空间的地价已在附表1和附表7中明确。对于保障房及地下空间的地价已经大幅降低。</w:t>
            </w:r>
          </w:p>
          <w:p>
            <w:pPr>
              <w:jc w:val="center"/>
              <w:rPr>
                <w:rFonts w:asciiTheme="minorEastAsia" w:hAnsiTheme="minorEastAsia"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b/>
                <w:color w:val="000000" w:themeColor="text1"/>
                <w:szCs w:val="28"/>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8"/>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33、建议：附表1建筑类型适用地价标准及修正系数表和附表7地下空间修正系数表中，对于非经营性的公用设施及地下空间等类型可否进一步减免地价?</w:t>
            </w:r>
          </w:p>
          <w:p>
            <w:pPr>
              <w:ind w:firstLine="422" w:firstLineChars="150"/>
              <w:jc w:val="left"/>
              <w:rPr>
                <w:rFonts w:asciiTheme="minorEastAsia" w:hAnsiTheme="minorEastAsia" w:eastAsiaTheme="minorEastAsia"/>
                <w:szCs w:val="21"/>
              </w:rPr>
            </w:pPr>
            <w:r>
              <w:rPr>
                <w:rFonts w:hint="eastAsia" w:asciiTheme="minorEastAsia" w:hAnsiTheme="minorEastAsia" w:eastAsiaTheme="minorEastAsia"/>
                <w:b/>
                <w:szCs w:val="21"/>
              </w:rPr>
              <w:t xml:space="preserve"> 理由：</w:t>
            </w:r>
            <w:r>
              <w:rPr>
                <w:rFonts w:hint="eastAsia" w:asciiTheme="minorEastAsia" w:hAnsiTheme="minorEastAsia" w:eastAsiaTheme="minorEastAsia"/>
                <w:szCs w:val="21"/>
              </w:rPr>
              <w:t>《测算规则》(第二次征求意见稿)结合我市当前土地集约节约利用，市政管道、地下轨道、地下经营性空间等不同功能土地立体利用的强烈要求，加大了对立体空间开发利用的支持力度。</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（深圳市城市更新开发企业协会）</w:t>
            </w:r>
          </w:p>
        </w:tc>
        <w:tc>
          <w:tcPr>
            <w:tcW w:w="4763" w:type="dxa"/>
            <w:vMerge w:val="continue"/>
            <w:vAlign w:val="center"/>
          </w:tcPr>
          <w:p>
            <w:pPr>
              <w:jc w:val="center"/>
              <w:rPr>
                <w:rFonts w:asciiTheme="minorEastAsia" w:hAnsiTheme="minorEastAsia"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b/>
                <w:color w:val="000000" w:themeColor="text1"/>
                <w:szCs w:val="28"/>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8"/>
              </w:rPr>
            </w:pPr>
          </w:p>
        </w:tc>
        <w:tc>
          <w:tcPr>
            <w:tcW w:w="12582" w:type="dxa"/>
            <w:vAlign w:val="center"/>
          </w:tcPr>
          <w:p>
            <w:pPr>
              <w:ind w:firstLine="560" w:firstLineChars="200"/>
              <w:jc w:val="left"/>
              <w:rPr>
                <w:rFonts w:asciiTheme="minorEastAsia" w:hAnsiTheme="minorEastAsia" w:eastAsiaTheme="minorEastAsia"/>
                <w:color w:val="000000"/>
                <w:szCs w:val="28"/>
              </w:rPr>
            </w:pPr>
            <w:r>
              <w:rPr>
                <w:rFonts w:hint="eastAsia" w:asciiTheme="minorEastAsia" w:hAnsiTheme="minorEastAsia" w:eastAsiaTheme="minorEastAsia"/>
                <w:color w:val="000000"/>
                <w:szCs w:val="28"/>
              </w:rPr>
              <w:t>34、建议：在附表1 “建筑类型适用地价标准及修正系数表”第11项商业中增加“独立占地会议功能用地”修正系数项，修正系数建议为0.1或者0.05（限全年期自用）</w:t>
            </w:r>
          </w:p>
          <w:p>
            <w:pPr>
              <w:ind w:firstLine="562" w:firstLineChars="200"/>
              <w:jc w:val="left"/>
              <w:rPr>
                <w:rFonts w:asciiTheme="minorEastAsia" w:hAnsiTheme="minorEastAsia" w:eastAsiaTheme="minorEastAsia"/>
                <w:b/>
                <w:color w:val="000000"/>
                <w:szCs w:val="28"/>
              </w:rPr>
            </w:pPr>
            <w:r>
              <w:rPr>
                <w:rFonts w:hint="eastAsia" w:asciiTheme="minorEastAsia" w:hAnsiTheme="minorEastAsia" w:eastAsiaTheme="minorEastAsia"/>
                <w:b/>
                <w:color w:val="000000"/>
                <w:szCs w:val="28"/>
              </w:rPr>
              <w:t>理由：</w:t>
            </w:r>
          </w:p>
          <w:p>
            <w:pPr>
              <w:ind w:firstLine="560" w:firstLineChars="200"/>
              <w:jc w:val="left"/>
              <w:rPr>
                <w:rFonts w:asciiTheme="minorEastAsia" w:hAnsiTheme="minorEastAsia" w:eastAsiaTheme="minorEastAsia"/>
                <w:color w:val="000000"/>
                <w:szCs w:val="28"/>
              </w:rPr>
            </w:pPr>
            <w:r>
              <w:rPr>
                <w:rFonts w:hint="eastAsia" w:asciiTheme="minorEastAsia" w:hAnsiTheme="minorEastAsia" w:eastAsiaTheme="minorEastAsia"/>
                <w:color w:val="000000"/>
                <w:szCs w:val="28"/>
              </w:rPr>
              <w:t>一、独立占地会议用地基本是为落实政府片区配套或者政府战略需求所而建，赢利性差或者基本亏损。</w:t>
            </w:r>
          </w:p>
          <w:p>
            <w:pPr>
              <w:ind w:firstLine="560" w:firstLineChars="200"/>
              <w:jc w:val="left"/>
              <w:rPr>
                <w:rFonts w:asciiTheme="minorEastAsia" w:hAnsiTheme="minorEastAsia" w:eastAsiaTheme="minorEastAsia"/>
                <w:color w:val="000000"/>
                <w:szCs w:val="28"/>
              </w:rPr>
            </w:pPr>
            <w:r>
              <w:rPr>
                <w:rFonts w:hint="eastAsia" w:asciiTheme="minorEastAsia" w:hAnsiTheme="minorEastAsia" w:eastAsiaTheme="minorEastAsia"/>
                <w:color w:val="000000"/>
                <w:szCs w:val="28"/>
              </w:rPr>
              <w:t>二、以前大型会议中心基本由政府投资，或者政府全资国有公司投资建设及运营，经对国内现行运营的十多个会议中心进行考察，如算上固定资产投资，100%为亏损，如扣除固定资产投资，大部分会议中心也处于亏损状态，政府每年需投入大量补贴。</w:t>
            </w:r>
          </w:p>
          <w:p>
            <w:pPr>
              <w:ind w:firstLine="560" w:firstLineChars="200"/>
              <w:jc w:val="left"/>
              <w:rPr>
                <w:rFonts w:asciiTheme="minorEastAsia" w:hAnsiTheme="minorEastAsia" w:eastAsiaTheme="minorEastAsia"/>
                <w:color w:val="000000"/>
                <w:szCs w:val="28"/>
              </w:rPr>
            </w:pPr>
            <w:r>
              <w:rPr>
                <w:rFonts w:hint="eastAsia" w:asciiTheme="minorEastAsia" w:hAnsiTheme="minorEastAsia" w:eastAsiaTheme="minorEastAsia"/>
                <w:color w:val="000000"/>
                <w:szCs w:val="28"/>
              </w:rPr>
              <w:t>三、国家对楼堂馆所投资建设的管控越来越大，独立占地会议用地基本很难获得发改部门立项，而社会主体投资此类设施积极性不高。</w:t>
            </w:r>
          </w:p>
          <w:p>
            <w:pPr>
              <w:ind w:firstLine="560" w:firstLineChars="200"/>
              <w:jc w:val="left"/>
              <w:rPr>
                <w:rFonts w:asciiTheme="minorEastAsia" w:hAnsiTheme="minorEastAsia" w:eastAsiaTheme="minorEastAsia"/>
                <w:color w:val="000000"/>
                <w:szCs w:val="28"/>
              </w:rPr>
            </w:pPr>
            <w:r>
              <w:rPr>
                <w:rFonts w:hint="eastAsia" w:asciiTheme="minorEastAsia" w:hAnsiTheme="minorEastAsia" w:eastAsiaTheme="minorEastAsia"/>
                <w:color w:val="000000"/>
                <w:szCs w:val="28"/>
              </w:rPr>
              <w:t>四、目前前海按国家、省、市要求，拟建设独立占地两个会议中心，经前期多轮财务测算，按现行地价测算，40年期用地收回投资均需60年以上。</w:t>
            </w:r>
          </w:p>
          <w:p>
            <w:pPr>
              <w:ind w:firstLine="560" w:firstLineChars="200"/>
              <w:jc w:val="left"/>
              <w:rPr>
                <w:rFonts w:asciiTheme="minorEastAsia" w:hAnsiTheme="minorEastAsia" w:eastAsiaTheme="minorEastAsia"/>
                <w:color w:val="000000"/>
                <w:szCs w:val="28"/>
              </w:rPr>
            </w:pPr>
            <w:r>
              <w:rPr>
                <w:rFonts w:hint="eastAsia" w:asciiTheme="minorEastAsia" w:hAnsiTheme="minorEastAsia" w:eastAsiaTheme="minorEastAsia"/>
                <w:color w:val="000000"/>
                <w:szCs w:val="28"/>
              </w:rPr>
              <w:t>五、经询市地价评估中心，前海两个独立占地会议中心如按剩余法评估地价，全为负数！</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color w:val="000000"/>
                <w:szCs w:val="28"/>
              </w:rPr>
              <w:t>（前海管理局工作人员：</w:t>
            </w:r>
            <w:r>
              <w:rPr>
                <w:rFonts w:asciiTheme="minorEastAsia" w:hAnsiTheme="minorEastAsia" w:eastAsiaTheme="minorEastAsia"/>
                <w:b/>
                <w:color w:val="000000"/>
                <w:szCs w:val="28"/>
              </w:rPr>
              <w:t xml:space="preserve"> 554855863@163.com</w:t>
            </w:r>
            <w:r>
              <w:rPr>
                <w:rFonts w:hint="eastAsia" w:asciiTheme="minorEastAsia" w:hAnsiTheme="minorEastAsia" w:eastAsiaTheme="minorEastAsia"/>
                <w:b/>
                <w:color w:val="000000"/>
                <w:szCs w:val="28"/>
              </w:rPr>
              <w:t>）</w:t>
            </w:r>
          </w:p>
        </w:tc>
        <w:tc>
          <w:tcPr>
            <w:tcW w:w="4763" w:type="dxa"/>
            <w:vAlign w:val="center"/>
          </w:tcPr>
          <w:p>
            <w:pPr>
              <w:jc w:val="center"/>
              <w:rPr>
                <w:rFonts w:asciiTheme="minorEastAsia" w:hAnsiTheme="minorEastAsia" w:eastAsiaTheme="minorEastAsia"/>
                <w:bCs/>
              </w:rPr>
            </w:pPr>
            <w:r>
              <w:rPr>
                <w:rFonts w:hint="eastAsia" w:asciiTheme="minorEastAsia" w:hAnsiTheme="minorEastAsia" w:eastAsiaTheme="minorEastAsia"/>
                <w:b/>
                <w:color w:val="00B050"/>
              </w:rPr>
              <w:t>采纳。</w:t>
            </w:r>
            <w:r>
              <w:rPr>
                <w:rFonts w:hint="eastAsia" w:asciiTheme="minorEastAsia" w:hAnsiTheme="minorEastAsia" w:eastAsiaTheme="minorEastAsia"/>
                <w:bCs/>
              </w:rPr>
              <w:t>拟增加会议中心类型修正。</w:t>
            </w:r>
          </w:p>
          <w:p>
            <w:pPr>
              <w:jc w:val="center"/>
              <w:rPr>
                <w:rFonts w:asciiTheme="minorEastAsia" w:hAnsiTheme="minorEastAsia" w:eastAsiaTheme="minorEastAsia"/>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b/>
                <w:color w:val="000000" w:themeColor="text1"/>
                <w:szCs w:val="28"/>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8"/>
              </w:rPr>
            </w:pPr>
          </w:p>
        </w:tc>
        <w:tc>
          <w:tcPr>
            <w:tcW w:w="12582" w:type="dxa"/>
            <w:vAlign w:val="center"/>
          </w:tcPr>
          <w:p>
            <w:pPr>
              <w:ind w:firstLine="560" w:firstLineChars="200"/>
              <w:jc w:val="left"/>
              <w:rPr>
                <w:rFonts w:asciiTheme="minorEastAsia" w:hAnsiTheme="minorEastAsia" w:eastAsiaTheme="minorEastAsia"/>
                <w:color w:val="000000"/>
                <w:szCs w:val="28"/>
              </w:rPr>
            </w:pPr>
            <w:r>
              <w:rPr>
                <w:rFonts w:hint="eastAsia" w:asciiTheme="minorEastAsia" w:hAnsiTheme="minorEastAsia" w:eastAsiaTheme="minorEastAsia"/>
                <w:color w:val="000000"/>
                <w:szCs w:val="28"/>
              </w:rPr>
              <w:t>35、建议：将附表1第2款，仓库的建筑类型修正系数从1.5调整到1.0，和第1款厂房相同。</w:t>
            </w:r>
          </w:p>
          <w:p>
            <w:pPr>
              <w:ind w:firstLine="562" w:firstLineChars="200"/>
              <w:jc w:val="left"/>
              <w:rPr>
                <w:rFonts w:asciiTheme="minorEastAsia" w:hAnsiTheme="minorEastAsia" w:eastAsiaTheme="minorEastAsia"/>
                <w:color w:val="000000"/>
                <w:szCs w:val="28"/>
              </w:rPr>
            </w:pPr>
            <w:r>
              <w:rPr>
                <w:rFonts w:hint="eastAsia" w:asciiTheme="minorEastAsia" w:hAnsiTheme="minorEastAsia" w:eastAsiaTheme="minorEastAsia"/>
                <w:b/>
                <w:color w:val="000000"/>
                <w:szCs w:val="28"/>
              </w:rPr>
              <w:t>理由：</w:t>
            </w:r>
            <w:r>
              <w:rPr>
                <w:rFonts w:hint="eastAsia" w:asciiTheme="minorEastAsia" w:hAnsiTheme="minorEastAsia" w:eastAsiaTheme="minorEastAsia"/>
                <w:color w:val="000000"/>
                <w:szCs w:val="28"/>
              </w:rPr>
              <w:t>从实际使用功能角度讲，仓库和厂房的用途具有较高一致性和关联性。考虑到全国主要一二线城市厂房和仓库的地价评估均采用工业基准地价，两者地价标准并无差异，而且《深圳市宗地地价测算规则（试行）》规定厂房与仓库的地价修正系数相同，都为1。因此，仓库的建筑类型修正系数应该和厂房保持一致。</w:t>
            </w:r>
            <w:r>
              <w:rPr>
                <w:rFonts w:hint="eastAsia" w:asciiTheme="minorEastAsia" w:hAnsiTheme="minorEastAsia" w:eastAsiaTheme="minorEastAsia"/>
                <w:b/>
                <w:szCs w:val="21"/>
              </w:rPr>
              <w:t xml:space="preserve">（第六届人大代表姚建辉） </w:t>
            </w:r>
          </w:p>
        </w:tc>
        <w:tc>
          <w:tcPr>
            <w:tcW w:w="4763" w:type="dxa"/>
            <w:vAlign w:val="center"/>
          </w:tcPr>
          <w:p>
            <w:pPr>
              <w:jc w:val="center"/>
              <w:rPr>
                <w:rFonts w:asciiTheme="minorEastAsia" w:hAnsiTheme="minorEastAsia" w:eastAsiaTheme="minorEastAsia"/>
                <w:bCs/>
              </w:rPr>
            </w:pPr>
            <w:r>
              <w:rPr>
                <w:rFonts w:hint="eastAsia" w:asciiTheme="minorEastAsia" w:hAnsiTheme="minorEastAsia" w:eastAsiaTheme="minorEastAsia"/>
                <w:b/>
                <w:bCs/>
                <w:color w:val="FF0000"/>
              </w:rPr>
              <w:t>解释。</w:t>
            </w:r>
            <w:r>
              <w:rPr>
                <w:rFonts w:hint="eastAsia" w:asciiTheme="minorEastAsia" w:hAnsiTheme="minorEastAsia" w:eastAsiaTheme="minorEastAsia"/>
                <w:bCs/>
              </w:rPr>
              <w:t>厂房和仓库从土地和建筑物分属不同类型，发展导向上也有存在差异。</w:t>
            </w:r>
          </w:p>
          <w:p>
            <w:pPr>
              <w:jc w:val="center"/>
              <w:rPr>
                <w:rFonts w:asciiTheme="minorEastAsia" w:hAnsiTheme="minorEastAsia" w:eastAsiaTheme="minorEastAsia"/>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b/>
                <w:color w:val="000000" w:themeColor="text1"/>
                <w:szCs w:val="28"/>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8"/>
              </w:rPr>
            </w:pPr>
          </w:p>
        </w:tc>
        <w:tc>
          <w:tcPr>
            <w:tcW w:w="12582" w:type="dxa"/>
            <w:vAlign w:val="center"/>
          </w:tcPr>
          <w:p>
            <w:pPr>
              <w:ind w:firstLine="560" w:firstLineChars="200"/>
              <w:jc w:val="left"/>
              <w:rPr>
                <w:rFonts w:asciiTheme="minorEastAsia" w:hAnsiTheme="minorEastAsia" w:eastAsiaTheme="minorEastAsia"/>
                <w:color w:val="000000"/>
                <w:szCs w:val="28"/>
              </w:rPr>
            </w:pPr>
            <w:r>
              <w:rPr>
                <w:rFonts w:hint="eastAsia" w:asciiTheme="minorEastAsia" w:hAnsiTheme="minorEastAsia" w:eastAsiaTheme="minorEastAsia"/>
                <w:color w:val="000000"/>
                <w:szCs w:val="28"/>
              </w:rPr>
              <w:t>36、建议：将附表1第7款文化设施、医疗卫生设施、教育设施、科研用房的地价“按工业70%及办公30%测算”。</w:t>
            </w:r>
          </w:p>
          <w:p>
            <w:pPr>
              <w:ind w:firstLine="562" w:firstLineChars="200"/>
              <w:jc w:val="left"/>
              <w:rPr>
                <w:rFonts w:asciiTheme="minorEastAsia" w:hAnsiTheme="minorEastAsia" w:eastAsiaTheme="minorEastAsia"/>
                <w:color w:val="000000"/>
                <w:szCs w:val="28"/>
              </w:rPr>
            </w:pPr>
            <w:r>
              <w:rPr>
                <w:rFonts w:hint="eastAsia" w:asciiTheme="minorEastAsia" w:hAnsiTheme="minorEastAsia" w:eastAsiaTheme="minorEastAsia"/>
                <w:b/>
                <w:color w:val="000000"/>
                <w:szCs w:val="28"/>
              </w:rPr>
              <w:t>理由：</w:t>
            </w:r>
            <w:r>
              <w:rPr>
                <w:rFonts w:hint="eastAsia" w:asciiTheme="minorEastAsia" w:hAnsiTheme="minorEastAsia" w:eastAsiaTheme="minorEastAsia"/>
                <w:color w:val="000000"/>
                <w:szCs w:val="28"/>
              </w:rPr>
              <w:t>此类用地在功能上更接近于工业用地，结合近几年出台的政策法规，新型产业用地逐渐回归产业运营的本质，和纯办公功能有明显区别，因此其地价测算标准应该更倾向于工业用地，而不是办公用地。</w:t>
            </w:r>
            <w:r>
              <w:rPr>
                <w:rFonts w:hint="eastAsia" w:asciiTheme="minorEastAsia" w:hAnsiTheme="minorEastAsia" w:eastAsiaTheme="minorEastAsia"/>
                <w:b/>
                <w:szCs w:val="21"/>
              </w:rPr>
              <w:t>（第六届人大代表姚建辉）</w:t>
            </w:r>
          </w:p>
        </w:tc>
        <w:tc>
          <w:tcPr>
            <w:tcW w:w="4763" w:type="dxa"/>
            <w:vAlign w:val="center"/>
          </w:tcPr>
          <w:p>
            <w:pPr>
              <w:jc w:val="center"/>
              <w:rPr>
                <w:rFonts w:asciiTheme="minorEastAsia" w:hAnsiTheme="minorEastAsia" w:eastAsiaTheme="minorEastAsia"/>
                <w:bCs/>
              </w:rPr>
            </w:pPr>
            <w:r>
              <w:rPr>
                <w:rFonts w:hint="eastAsia" w:asciiTheme="minorEastAsia" w:hAnsiTheme="minorEastAsia" w:eastAsiaTheme="minorEastAsia"/>
                <w:b/>
                <w:bCs/>
                <w:color w:val="FF0000"/>
              </w:rPr>
              <w:t>解释。</w:t>
            </w:r>
            <w:r>
              <w:rPr>
                <w:rFonts w:hint="eastAsia" w:asciiTheme="minorEastAsia" w:hAnsiTheme="minorEastAsia" w:eastAsiaTheme="minorEastAsia"/>
                <w:bCs/>
              </w:rPr>
              <w:t>该类用地地价标准取值为办公的0.3，已充分考虑其特殊性并与现行地价水平进行了衔接。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890" w:type="dxa"/>
            <w:vMerge w:val="restart"/>
            <w:vAlign w:val="center"/>
          </w:tcPr>
          <w:p>
            <w:pPr>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5</w:t>
            </w:r>
          </w:p>
        </w:tc>
        <w:tc>
          <w:tcPr>
            <w:tcW w:w="1792" w:type="dxa"/>
            <w:vMerge w:val="restart"/>
            <w:vAlign w:val="center"/>
          </w:tcPr>
          <w:p>
            <w:pPr>
              <w:jc w:val="center"/>
              <w:rPr>
                <w:rFonts w:asciiTheme="minorEastAsia" w:hAnsiTheme="minorEastAsia" w:eastAsiaTheme="minorEastAsia"/>
                <w:b/>
                <w:color w:val="000000" w:themeColor="text1"/>
                <w:szCs w:val="28"/>
                <w14:textFill>
                  <w14:solidFill>
                    <w14:schemeClr w14:val="tx1"/>
                  </w14:solidFill>
                </w14:textFill>
              </w:rPr>
            </w:pPr>
            <w:r>
              <w:rPr>
                <w:rFonts w:hint="eastAsia"/>
                <w:b/>
                <w:bCs/>
                <w:kern w:val="0"/>
                <w:szCs w:val="28"/>
              </w:rPr>
              <w:t>产权限制修正系数表</w:t>
            </w:r>
          </w:p>
        </w:tc>
        <w:tc>
          <w:tcPr>
            <w:tcW w:w="1984" w:type="dxa"/>
            <w:vMerge w:val="restart"/>
            <w:vAlign w:val="center"/>
          </w:tcPr>
          <w:p>
            <w:pPr>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附表3</w:t>
            </w:r>
          </w:p>
        </w:tc>
        <w:tc>
          <w:tcPr>
            <w:tcW w:w="12582" w:type="dxa"/>
            <w:vAlign w:val="center"/>
          </w:tcPr>
          <w:p>
            <w:pPr>
              <w:ind w:firstLine="560" w:firstLineChars="200"/>
              <w:jc w:val="left"/>
              <w:rPr>
                <w:rFonts w:asciiTheme="minorEastAsia" w:hAnsiTheme="minorEastAsia" w:eastAsiaTheme="minorEastAsia"/>
                <w:szCs w:val="28"/>
              </w:rPr>
            </w:pPr>
            <w:r>
              <w:rPr>
                <w:rFonts w:hint="eastAsia" w:asciiTheme="minorEastAsia" w:hAnsiTheme="minorEastAsia" w:eastAsiaTheme="minorEastAsia"/>
                <w:szCs w:val="28"/>
              </w:rPr>
              <w:t>37、关于“备注1：附表1中建筑类型4产权修正按照相应产权条件下的厂房及办公建筑类型修正”，建议用计算公式明确出来，可考虑采取以下两种形式之一：</w:t>
            </w:r>
          </w:p>
          <w:p>
            <w:pPr>
              <w:ind w:firstLine="560" w:firstLineChars="200"/>
              <w:jc w:val="left"/>
              <w:rPr>
                <w:rFonts w:asciiTheme="minorEastAsia" w:hAnsiTheme="minorEastAsia" w:eastAsiaTheme="minorEastAsia"/>
                <w:szCs w:val="28"/>
              </w:rPr>
            </w:pPr>
            <w:r>
              <w:rPr>
                <w:rFonts w:hint="eastAsia" w:asciiTheme="minorEastAsia" w:hAnsiTheme="minorEastAsia" w:eastAsiaTheme="minorEastAsia"/>
                <w:szCs w:val="28"/>
              </w:rPr>
              <w:t>（一）建筑类型4产权修正的地价＝(厂房的土地市场价格×0.5×建筑类型4建筑面积×对应产权限制修正系数×其他修正系数) +(办公的土地市场价格×0.5×建筑类型4建筑面积×对应产权限制修正系数×其他修正系数)；</w:t>
            </w:r>
          </w:p>
          <w:p>
            <w:pPr>
              <w:ind w:firstLine="560" w:firstLineChars="200"/>
              <w:jc w:val="left"/>
              <w:rPr>
                <w:rFonts w:asciiTheme="minorEastAsia" w:hAnsiTheme="minorEastAsia" w:eastAsiaTheme="minorEastAsia"/>
                <w:szCs w:val="28"/>
              </w:rPr>
            </w:pPr>
            <w:r>
              <w:rPr>
                <w:rFonts w:hint="eastAsia" w:asciiTheme="minorEastAsia" w:hAnsiTheme="minorEastAsia" w:eastAsiaTheme="minorEastAsia"/>
                <w:szCs w:val="28"/>
              </w:rPr>
              <w:t>（二）建筑类型4产权修正系数＝(厂房对应产权限制修正系数×0.5) +(办公对应产权限制修正系数×0.5)，即不得转让=1×0.5+0.6×0.5=0.8，限整体转让=1.5×0.5+0.8×0.5=1.15，允许分割转让=5×0.5+1×0.5=3。</w:t>
            </w:r>
            <w:r>
              <w:rPr>
                <w:rFonts w:hint="eastAsia" w:asciiTheme="minorEastAsia" w:hAnsiTheme="minorEastAsia" w:eastAsiaTheme="minorEastAsia"/>
                <w:b/>
                <w:szCs w:val="21"/>
              </w:rPr>
              <w:t>（深圳市龙岗区城市更新和土地整备局）</w:t>
            </w:r>
          </w:p>
        </w:tc>
        <w:tc>
          <w:tcPr>
            <w:tcW w:w="4763" w:type="dxa"/>
            <w:vMerge w:val="restart"/>
            <w:vAlign w:val="center"/>
          </w:tcPr>
          <w:p>
            <w:pPr>
              <w:jc w:val="center"/>
              <w:rPr>
                <w:rFonts w:asciiTheme="minorEastAsia" w:hAnsiTheme="minorEastAsia" w:eastAsiaTheme="minorEastAsia"/>
                <w:b/>
                <w:bCs/>
              </w:rPr>
            </w:pPr>
            <w:r>
              <w:rPr>
                <w:rFonts w:hint="eastAsia" w:asciiTheme="minorEastAsia" w:hAnsiTheme="minorEastAsia" w:eastAsiaTheme="minorEastAsia"/>
                <w:b/>
                <w:bCs/>
                <w:color w:val="FF0000"/>
              </w:rPr>
              <w:t>解释。</w:t>
            </w:r>
            <w:r>
              <w:rPr>
                <w:rFonts w:hint="eastAsia" w:asciiTheme="minorEastAsia" w:hAnsiTheme="minorEastAsia" w:eastAsiaTheme="minorEastAsia"/>
                <w:bCs/>
              </w:rPr>
              <w:t>产权修正系数计算已通过备注进行了说明。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b/>
                <w:color w:val="000000" w:themeColor="text1"/>
                <w:szCs w:val="28"/>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8"/>
              </w:rPr>
            </w:pPr>
          </w:p>
        </w:tc>
        <w:tc>
          <w:tcPr>
            <w:tcW w:w="12582" w:type="dxa"/>
            <w:vAlign w:val="center"/>
          </w:tcPr>
          <w:p>
            <w:pPr>
              <w:ind w:firstLine="560" w:firstLineChars="200"/>
              <w:jc w:val="left"/>
              <w:rPr>
                <w:rFonts w:asciiTheme="minorEastAsia" w:hAnsiTheme="minorEastAsia" w:eastAsiaTheme="minorEastAsia"/>
                <w:szCs w:val="28"/>
              </w:rPr>
            </w:pPr>
            <w:r>
              <w:rPr>
                <w:rFonts w:hint="eastAsia" w:asciiTheme="minorEastAsia" w:hAnsiTheme="minorEastAsia" w:eastAsiaTheme="minorEastAsia"/>
                <w:szCs w:val="28"/>
              </w:rPr>
              <w:t>38、建议：附表3中，序号2，建筑类型4中对应的产权条件均为工业，建议明细此处的修正系数，达到《关于深入推进城市更新工作促进城市高质量发展的若干措施》第十九条中提出制定通俗易懂的规程；</w:t>
            </w:r>
            <w:r>
              <w:rPr>
                <w:rFonts w:hint="eastAsia" w:asciiTheme="minorEastAsia" w:hAnsiTheme="minorEastAsia" w:eastAsiaTheme="minorEastAsia"/>
                <w:b/>
                <w:szCs w:val="28"/>
              </w:rPr>
              <w:t>（匿名）</w:t>
            </w:r>
          </w:p>
        </w:tc>
        <w:tc>
          <w:tcPr>
            <w:tcW w:w="4763" w:type="dxa"/>
            <w:vMerge w:val="continue"/>
            <w:vAlign w:val="center"/>
          </w:tcPr>
          <w:p>
            <w:pPr>
              <w:jc w:val="center"/>
              <w:rPr>
                <w:rFonts w:asciiTheme="minorEastAsia" w:hAnsiTheme="minorEastAsia" w:eastAsiaTheme="minorEastAsia"/>
                <w:b/>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b/>
                <w:color w:val="000000" w:themeColor="text1"/>
                <w:szCs w:val="28"/>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8"/>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39、建议：适当降低附表3序号2关于允许分割转让的修正系数。</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理由：</w:t>
            </w:r>
            <w:r>
              <w:rPr>
                <w:rFonts w:hint="eastAsia" w:asciiTheme="minorEastAsia" w:hAnsiTheme="minorEastAsia" w:eastAsiaTheme="minorEastAsia"/>
                <w:szCs w:val="21"/>
              </w:rPr>
              <w:t>“附表3序号2关于允许分割转让的修正系数较高，按该表上的修正系数计算的地价比按《暂行措施》规定的计算方法计算所得值高3倍多，因此，建议适当降低该修正系数。以下是演算示例。</w:t>
            </w:r>
          </w:p>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举例:龙华区某国有已出让工改Ml项目，工业、办公基准地价分别为303元/m</w:t>
            </w:r>
            <w:r>
              <w:rPr>
                <w:rFonts w:hint="eastAsia" w:asciiTheme="minorEastAsia" w:hAnsiTheme="minorEastAsia" w:eastAsiaTheme="minorEastAsia"/>
                <w:szCs w:val="21"/>
                <w:vertAlign w:val="superscript"/>
              </w:rPr>
              <w:t>2</w:t>
            </w:r>
            <w:r>
              <w:rPr>
                <w:rFonts w:hint="eastAsia" w:asciiTheme="minorEastAsia" w:hAnsiTheme="minorEastAsia" w:eastAsiaTheme="minorEastAsia"/>
                <w:szCs w:val="21"/>
              </w:rPr>
              <w:t>和1417元/m</w:t>
            </w:r>
            <w:r>
              <w:rPr>
                <w:rFonts w:hint="eastAsia" w:asciiTheme="minorEastAsia" w:hAnsiTheme="minorEastAsia" w:eastAsiaTheme="minorEastAsia"/>
                <w:szCs w:val="21"/>
                <w:vertAlign w:val="superscript"/>
              </w:rPr>
              <w:t>2</w:t>
            </w:r>
            <w:r>
              <w:rPr>
                <w:rFonts w:hint="eastAsia" w:asciiTheme="minorEastAsia" w:hAnsiTheme="minorEastAsia" w:eastAsiaTheme="minorEastAsia"/>
                <w:szCs w:val="21"/>
              </w:rPr>
              <w:t>。</w:t>
            </w:r>
          </w:p>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（1）按暂行措施计收地价标准:工业基准地价303*工业类物业年期修正系数1.384*50%+办公基准地价1417*办公类物业年期修正系数1.141*50%=1018元/m</w:t>
            </w:r>
            <w:r>
              <w:rPr>
                <w:rFonts w:hint="eastAsia" w:asciiTheme="minorEastAsia" w:hAnsiTheme="minorEastAsia" w:eastAsiaTheme="minorEastAsia"/>
                <w:szCs w:val="21"/>
                <w:vertAlign w:val="superscript"/>
              </w:rPr>
              <w:t>2</w:t>
            </w:r>
            <w:r>
              <w:rPr>
                <w:rFonts w:hint="eastAsia" w:asciiTheme="minorEastAsia" w:hAnsiTheme="minorEastAsia" w:eastAsiaTheme="minorEastAsia"/>
                <w:szCs w:val="21"/>
              </w:rPr>
              <w:t>。</w:t>
            </w:r>
          </w:p>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（2）按第二次征求意见稿，假设土地的市场价格按厂房售价18000的30%=5400元/m</w:t>
            </w:r>
            <w:r>
              <w:rPr>
                <w:rFonts w:hint="eastAsia" w:asciiTheme="minorEastAsia" w:hAnsiTheme="minorEastAsia" w:eastAsiaTheme="minorEastAsia"/>
                <w:szCs w:val="21"/>
                <w:vertAlign w:val="superscript"/>
              </w:rPr>
              <w:t>2</w:t>
            </w:r>
            <w:r>
              <w:rPr>
                <w:rFonts w:hint="eastAsia" w:asciiTheme="minorEastAsia" w:hAnsiTheme="minorEastAsia" w:eastAsiaTheme="minorEastAsia"/>
                <w:szCs w:val="21"/>
              </w:rPr>
              <w:t>计收地价标准为:</w:t>
            </w:r>
          </w:p>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土地市场价格5400*厂房建筑类型修正系数l*工业类土地使用年期修正系数1.1876*允许分割转让产权限制修正系数5*拆除重建类城市更新项目修正系数次序6第1项适用工业地价修正因子0.15=4810元/m</w:t>
            </w:r>
            <w:r>
              <w:rPr>
                <w:rFonts w:hint="eastAsia" w:asciiTheme="minorEastAsia" w:hAnsiTheme="minorEastAsia" w:eastAsiaTheme="minorEastAsia"/>
                <w:szCs w:val="21"/>
                <w:vertAlign w:val="superscript"/>
              </w:rPr>
              <w:t xml:space="preserve">2      </w:t>
            </w:r>
            <w:r>
              <w:rPr>
                <w:rFonts w:hint="eastAsia" w:asciiTheme="minorEastAsia" w:hAnsiTheme="minorEastAsia" w:eastAsiaTheme="minorEastAsia"/>
                <w:b/>
                <w:szCs w:val="21"/>
              </w:rPr>
              <w:t>（深圳市城市更新开发企业协会）</w:t>
            </w:r>
          </w:p>
          <w:p>
            <w:pPr>
              <w:ind w:firstLine="560" w:firstLineChars="200"/>
              <w:jc w:val="left"/>
              <w:rPr>
                <w:rFonts w:asciiTheme="minorEastAsia" w:hAnsiTheme="minorEastAsia" w:eastAsiaTheme="minorEastAsia"/>
                <w:szCs w:val="21"/>
              </w:rPr>
            </w:pPr>
            <w:r>
              <w:drawing>
                <wp:inline distT="0" distB="0" distL="0" distR="0">
                  <wp:extent cx="5318760" cy="749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319105" cy="749300"/>
                          </a:xfrm>
                          <a:prstGeom prst="rect">
                            <a:avLst/>
                          </a:prstGeom>
                        </pic:spPr>
                      </pic:pic>
                    </a:graphicData>
                  </a:graphic>
                </wp:inline>
              </w:drawing>
            </w:r>
          </w:p>
        </w:tc>
        <w:tc>
          <w:tcPr>
            <w:tcW w:w="4763" w:type="dxa"/>
            <w:vAlign w:val="center"/>
          </w:tcPr>
          <w:p>
            <w:pPr>
              <w:jc w:val="center"/>
              <w:rPr>
                <w:rFonts w:asciiTheme="minorEastAsia" w:hAnsiTheme="minorEastAsia" w:eastAsiaTheme="minorEastAsia"/>
                <w:bCs/>
              </w:rPr>
            </w:pPr>
            <w:r>
              <w:rPr>
                <w:rFonts w:hint="eastAsia" w:asciiTheme="minorEastAsia" w:hAnsiTheme="minorEastAsia" w:eastAsiaTheme="minorEastAsia"/>
                <w:b/>
                <w:bCs/>
                <w:color w:val="FF0000"/>
              </w:rPr>
              <w:t>解释。</w:t>
            </w:r>
            <w:r>
              <w:rPr>
                <w:rFonts w:hint="eastAsia" w:asciiTheme="minorEastAsia" w:hAnsiTheme="minorEastAsia" w:eastAsiaTheme="minorEastAsia"/>
                <w:bCs/>
              </w:rPr>
              <w:t>地价政策理解有误，计算公式中不应该再重复乘以产权系数。正确算式为：</w:t>
            </w:r>
          </w:p>
          <w:p>
            <w:pPr>
              <w:jc w:val="center"/>
              <w:rPr>
                <w:rFonts w:asciiTheme="minorEastAsia" w:hAnsiTheme="minorEastAsia" w:eastAsiaTheme="minorEastAsia"/>
                <w:bCs/>
                <w:highlight w:val="yellow"/>
              </w:rPr>
            </w:pPr>
            <w:r>
              <w:rPr>
                <w:rFonts w:hint="eastAsia" w:asciiTheme="minorEastAsia" w:hAnsiTheme="minorEastAsia" w:eastAsiaTheme="minorEastAsia"/>
                <w:bCs/>
              </w:rPr>
              <w:t>厂房分割转让市场价格*厂房建筑类型修正系数*工业类土地使用年期修正系数*拆除重建类城市更新项目修正系数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b/>
                <w:color w:val="000000" w:themeColor="text1"/>
                <w:szCs w:val="28"/>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8"/>
              </w:rPr>
            </w:pPr>
          </w:p>
        </w:tc>
        <w:tc>
          <w:tcPr>
            <w:tcW w:w="12582" w:type="dxa"/>
            <w:vAlign w:val="center"/>
          </w:tcPr>
          <w:p>
            <w:pPr>
              <w:ind w:firstLine="560" w:firstLineChars="200"/>
              <w:jc w:val="left"/>
              <w:rPr>
                <w:rFonts w:asciiTheme="minorEastAsia" w:hAnsiTheme="minorEastAsia" w:eastAsiaTheme="minorEastAsia"/>
                <w:szCs w:val="28"/>
              </w:rPr>
            </w:pPr>
            <w:r>
              <w:rPr>
                <w:rFonts w:hint="eastAsia" w:asciiTheme="minorEastAsia" w:hAnsiTheme="minorEastAsia" w:eastAsiaTheme="minorEastAsia"/>
                <w:szCs w:val="28"/>
              </w:rPr>
              <w:t>40、附表3产权限制修正系数表中序号1、2，建议：适当降低不得转让、限制整体转让、允许分割转让的修正系数。</w:t>
            </w:r>
          </w:p>
          <w:p>
            <w:pPr>
              <w:ind w:firstLine="562" w:firstLineChars="200"/>
              <w:jc w:val="left"/>
              <w:rPr>
                <w:rFonts w:asciiTheme="minorEastAsia" w:hAnsiTheme="minorEastAsia" w:eastAsiaTheme="minorEastAsia"/>
                <w:szCs w:val="28"/>
              </w:rPr>
            </w:pPr>
            <w:r>
              <w:rPr>
                <w:rFonts w:hint="eastAsia" w:asciiTheme="minorEastAsia" w:hAnsiTheme="minorEastAsia" w:eastAsiaTheme="minorEastAsia"/>
                <w:b/>
                <w:szCs w:val="28"/>
              </w:rPr>
              <w:t>理由：</w:t>
            </w:r>
            <w:r>
              <w:rPr>
                <w:rFonts w:hint="eastAsia" w:asciiTheme="minorEastAsia" w:hAnsiTheme="minorEastAsia" w:eastAsiaTheme="minorEastAsia"/>
                <w:szCs w:val="28"/>
              </w:rPr>
              <w:t>普通厂房的允许分割转让的修正系数5、产业研发用房的修正系数是3。补缴地价太高，很多工改工城市更新项目将经济不可行，势必增加拆迁矛盾。同时直接大幅度提高普通厂房及产业用房的物业使用成本，降低企业竞争力。如希望限制工改工项目，不建议采用大幅提高补缴地价水平的简单粗暴的方式。</w:t>
            </w:r>
            <w:r>
              <w:rPr>
                <w:rFonts w:hint="eastAsia" w:asciiTheme="minorEastAsia" w:hAnsiTheme="minorEastAsia" w:eastAsiaTheme="minorEastAsia"/>
                <w:b/>
                <w:szCs w:val="21"/>
              </w:rPr>
              <w:t>（匿名）</w:t>
            </w:r>
          </w:p>
        </w:tc>
        <w:tc>
          <w:tcPr>
            <w:tcW w:w="4763" w:type="dxa"/>
            <w:vMerge w:val="restart"/>
            <w:vAlign w:val="center"/>
          </w:tcPr>
          <w:p>
            <w:pPr>
              <w:jc w:val="center"/>
              <w:rPr>
                <w:rFonts w:asciiTheme="minorEastAsia" w:hAnsiTheme="minorEastAsia" w:eastAsiaTheme="minorEastAsia"/>
                <w:b/>
                <w:bCs/>
              </w:rPr>
            </w:pPr>
            <w:r>
              <w:rPr>
                <w:rFonts w:hint="eastAsia" w:asciiTheme="minorEastAsia" w:hAnsiTheme="minorEastAsia" w:eastAsiaTheme="minorEastAsia"/>
                <w:b/>
                <w:bCs/>
                <w:color w:val="FF0000"/>
              </w:rPr>
              <w:t>解释。</w:t>
            </w:r>
            <w:r>
              <w:rPr>
                <w:rFonts w:hint="eastAsia" w:asciiTheme="minorEastAsia" w:hAnsiTheme="minorEastAsia" w:eastAsiaTheme="minorEastAsia"/>
                <w:bCs/>
              </w:rPr>
              <w:t>本规则的政策导向为鼓励制造业企业用地自持，支持实体经济发展。</w:t>
            </w:r>
          </w:p>
          <w:p>
            <w:pPr>
              <w:jc w:val="center"/>
              <w:rPr>
                <w:rFonts w:asciiTheme="minorEastAsia" w:hAnsiTheme="minorEastAsia"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b/>
                <w:color w:val="000000" w:themeColor="text1"/>
                <w:szCs w:val="28"/>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8"/>
              </w:rPr>
            </w:pPr>
          </w:p>
        </w:tc>
        <w:tc>
          <w:tcPr>
            <w:tcW w:w="12582" w:type="dxa"/>
            <w:vAlign w:val="center"/>
          </w:tcPr>
          <w:p>
            <w:pPr>
              <w:ind w:firstLine="560" w:firstLineChars="200"/>
              <w:jc w:val="left"/>
              <w:rPr>
                <w:rFonts w:asciiTheme="minorEastAsia" w:hAnsiTheme="minorEastAsia" w:eastAsiaTheme="minorEastAsia"/>
                <w:szCs w:val="28"/>
              </w:rPr>
            </w:pPr>
            <w:r>
              <w:rPr>
                <w:rFonts w:hint="eastAsia" w:asciiTheme="minorEastAsia" w:hAnsiTheme="minorEastAsia" w:eastAsiaTheme="minorEastAsia"/>
                <w:szCs w:val="28"/>
              </w:rPr>
              <w:t>41、建议：最好还是设定修正系数1.0以上的均对应商品性质（至少可以整体转让）。</w:t>
            </w:r>
          </w:p>
          <w:p>
            <w:pPr>
              <w:ind w:firstLine="562" w:firstLineChars="200"/>
              <w:jc w:val="left"/>
              <w:rPr>
                <w:rFonts w:asciiTheme="minorEastAsia" w:hAnsiTheme="minorEastAsia" w:eastAsiaTheme="minorEastAsia"/>
                <w:szCs w:val="28"/>
              </w:rPr>
            </w:pPr>
            <w:r>
              <w:rPr>
                <w:rFonts w:hint="eastAsia" w:asciiTheme="minorEastAsia" w:hAnsiTheme="minorEastAsia" w:eastAsiaTheme="minorEastAsia"/>
                <w:b/>
                <w:szCs w:val="28"/>
              </w:rPr>
              <w:t>理由：</w:t>
            </w:r>
            <w:r>
              <w:rPr>
                <w:rFonts w:hint="eastAsia" w:asciiTheme="minorEastAsia" w:hAnsiTheme="minorEastAsia" w:eastAsiaTheme="minorEastAsia"/>
                <w:szCs w:val="28"/>
              </w:rPr>
              <w:t>按政策理解，标定地价即为市场地价。但在《规则》产权限制修正系数规定中，对工业厂房等规定标定地价修正系数1倍的不得转让，修正系数1.5倍以上的才允许整体转让。这就似乎给人以“1.5倍标定地价才是市场地价”的感觉。</w:t>
            </w:r>
            <w:r>
              <w:rPr>
                <w:rFonts w:hint="eastAsia" w:asciiTheme="minorEastAsia" w:hAnsiTheme="minorEastAsia" w:eastAsiaTheme="minorEastAsia"/>
                <w:b/>
                <w:szCs w:val="28"/>
              </w:rPr>
              <w:t>（深圳玮城置业有限公司）</w:t>
            </w:r>
          </w:p>
        </w:tc>
        <w:tc>
          <w:tcPr>
            <w:tcW w:w="4763" w:type="dxa"/>
            <w:vMerge w:val="continue"/>
            <w:vAlign w:val="center"/>
          </w:tcPr>
          <w:p>
            <w:pPr>
              <w:jc w:val="center"/>
              <w:rPr>
                <w:rFonts w:asciiTheme="minorEastAsia" w:hAnsiTheme="minorEastAsia"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b/>
                <w:color w:val="000000" w:themeColor="text1"/>
                <w:szCs w:val="28"/>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8"/>
              </w:rPr>
            </w:pPr>
          </w:p>
        </w:tc>
        <w:tc>
          <w:tcPr>
            <w:tcW w:w="12582" w:type="dxa"/>
            <w:vAlign w:val="center"/>
          </w:tcPr>
          <w:p>
            <w:pPr>
              <w:ind w:firstLine="560" w:firstLineChars="200"/>
              <w:jc w:val="left"/>
              <w:rPr>
                <w:rFonts w:asciiTheme="minorEastAsia" w:hAnsiTheme="minorEastAsia" w:eastAsiaTheme="minorEastAsia"/>
                <w:szCs w:val="28"/>
              </w:rPr>
            </w:pPr>
            <w:r>
              <w:rPr>
                <w:rFonts w:hint="eastAsia" w:asciiTheme="minorEastAsia" w:hAnsiTheme="minorEastAsia" w:eastAsiaTheme="minorEastAsia"/>
                <w:szCs w:val="28"/>
              </w:rPr>
              <w:t>42、建议：结合地价的本质及产业用房的实际收入情况，科学地重新测算产业用房分割转让地价的修正系数。</w:t>
            </w:r>
            <w:r>
              <w:rPr>
                <w:rFonts w:hint="eastAsia" w:asciiTheme="minorEastAsia" w:hAnsiTheme="minorEastAsia" w:eastAsiaTheme="minorEastAsia"/>
                <w:b/>
                <w:szCs w:val="28"/>
              </w:rPr>
              <w:t>（深圳玮城置业有限公司）</w:t>
            </w:r>
          </w:p>
          <w:p>
            <w:pPr>
              <w:ind w:firstLine="562" w:firstLineChars="200"/>
              <w:jc w:val="left"/>
              <w:rPr>
                <w:rFonts w:asciiTheme="minorEastAsia" w:hAnsiTheme="minorEastAsia" w:eastAsiaTheme="minorEastAsia"/>
                <w:szCs w:val="28"/>
              </w:rPr>
            </w:pPr>
            <w:r>
              <w:rPr>
                <w:rFonts w:hint="eastAsia" w:asciiTheme="minorEastAsia" w:hAnsiTheme="minorEastAsia" w:eastAsiaTheme="minorEastAsia"/>
                <w:b/>
                <w:szCs w:val="28"/>
              </w:rPr>
              <w:t>理由：</w:t>
            </w:r>
            <w:r>
              <w:rPr>
                <w:rFonts w:hint="eastAsia" w:asciiTheme="minorEastAsia" w:hAnsiTheme="minorEastAsia" w:eastAsiaTheme="minorEastAsia"/>
                <w:szCs w:val="28"/>
              </w:rPr>
              <w:t>我们反复研究对照以为，缴纳5倍修正系数地价允许分割转让，该修正系数与整体转让的对比差别过大，并不合理。</w:t>
            </w:r>
          </w:p>
          <w:p>
            <w:pPr>
              <w:ind w:firstLine="560" w:firstLineChars="200"/>
              <w:jc w:val="left"/>
              <w:rPr>
                <w:rFonts w:asciiTheme="minorEastAsia" w:hAnsiTheme="minorEastAsia" w:eastAsiaTheme="minorEastAsia"/>
                <w:szCs w:val="28"/>
              </w:rPr>
            </w:pPr>
            <w:r>
              <w:rPr>
                <w:rFonts w:hint="eastAsia" w:asciiTheme="minorEastAsia" w:hAnsiTheme="minorEastAsia" w:eastAsiaTheme="minorEastAsia"/>
                <w:szCs w:val="28"/>
              </w:rPr>
              <w:t>其一，地价来源于平均利润以上的那部分超额利润，可以概括为，地价是土地利用条件变化（含土地性质变化）引起的超额利润。土地利用条件（如规划指标，产权性质）一经新设或变化，就产生地价。工业楼宇分割转让地价是从整体转让到分割转让这个土地利用条件变化引起的超额利润。当然，可分割转让的产业用房，确有利于融资及变现，有利于提升经营的信心，可是众所周知，产业用房分割转让与否毕竟不能成倍地影响其生产收入或年租金。</w:t>
            </w:r>
          </w:p>
          <w:p>
            <w:pPr>
              <w:ind w:firstLine="560" w:firstLineChars="200"/>
              <w:jc w:val="left"/>
              <w:rPr>
                <w:rFonts w:asciiTheme="minorEastAsia" w:hAnsiTheme="minorEastAsia" w:eastAsiaTheme="minorEastAsia"/>
                <w:szCs w:val="28"/>
              </w:rPr>
            </w:pPr>
            <w:r>
              <w:rPr>
                <w:rFonts w:hint="eastAsia" w:asciiTheme="minorEastAsia" w:hAnsiTheme="minorEastAsia" w:eastAsiaTheme="minorEastAsia"/>
                <w:szCs w:val="28"/>
              </w:rPr>
              <w:t>其二，产业用房不是住宅商品房，不是消费品，它毕竟只是生产用房。因此，原则上不宜用剩余法即通过房屋售价推算地价的办法来评估地价（最多只能做参考），产业用房的地价标准只能来源于产业用房的生产收益或租金收入，以防止出现类似于“面粉贵过面包”的现象。工业楼宇分割转让政策的本意是盘活产业用房，使得中小生产企业也拥有产业用房，安心在深圳发展生产，而如果其年生产受益（或年租金）连地价的年利息都还不上（这实际上是很容易测算的），其结果就是与我们制定政策所希望的防止产业空心化的愿望相左。</w:t>
            </w:r>
          </w:p>
          <w:p>
            <w:pPr>
              <w:ind w:firstLine="560" w:firstLineChars="200"/>
              <w:jc w:val="left"/>
              <w:rPr>
                <w:rFonts w:asciiTheme="minorEastAsia" w:hAnsiTheme="minorEastAsia" w:eastAsiaTheme="minorEastAsia"/>
                <w:szCs w:val="28"/>
              </w:rPr>
            </w:pPr>
            <w:r>
              <w:rPr>
                <w:rFonts w:hint="eastAsia" w:asciiTheme="minorEastAsia" w:hAnsiTheme="minorEastAsia" w:eastAsiaTheme="minorEastAsia"/>
                <w:szCs w:val="28"/>
              </w:rPr>
              <w:t>其三，作为消费品性质的住宅，限整体转让与允许分割转让地价修正系数仅有0.2的差别；而作为一般生产用房的工业楼宇，为什么其限整体转让与分割转让地价修正系数反而有3.5之多的差距？</w:t>
            </w:r>
          </w:p>
        </w:tc>
        <w:tc>
          <w:tcPr>
            <w:tcW w:w="4763" w:type="dxa"/>
            <w:vMerge w:val="continue"/>
            <w:vAlign w:val="center"/>
          </w:tcPr>
          <w:p>
            <w:pPr>
              <w:jc w:val="center"/>
              <w:rPr>
                <w:rFonts w:asciiTheme="minorEastAsia" w:hAnsiTheme="minorEastAsia"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b/>
                <w:color w:val="000000" w:themeColor="text1"/>
                <w:szCs w:val="28"/>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8"/>
              </w:rPr>
            </w:pPr>
          </w:p>
        </w:tc>
        <w:tc>
          <w:tcPr>
            <w:tcW w:w="12582" w:type="dxa"/>
            <w:vAlign w:val="center"/>
          </w:tcPr>
          <w:p>
            <w:pPr>
              <w:ind w:firstLine="560" w:firstLineChars="200"/>
              <w:jc w:val="left"/>
              <w:rPr>
                <w:rFonts w:asciiTheme="minorEastAsia" w:hAnsiTheme="minorEastAsia" w:eastAsiaTheme="minorEastAsia"/>
                <w:szCs w:val="28"/>
              </w:rPr>
            </w:pPr>
            <w:r>
              <w:rPr>
                <w:rFonts w:hint="eastAsia" w:asciiTheme="minorEastAsia" w:hAnsiTheme="minorEastAsia" w:eastAsiaTheme="minorEastAsia"/>
                <w:szCs w:val="28"/>
              </w:rPr>
              <w:t>43、建议：保障性住房的商业地价作进一步降低，与原基准地价持平或允许改造为商品住宅。</w:t>
            </w:r>
          </w:p>
          <w:p>
            <w:pPr>
              <w:ind w:firstLine="562" w:firstLineChars="200"/>
              <w:jc w:val="left"/>
              <w:rPr>
                <w:rFonts w:asciiTheme="minorEastAsia" w:hAnsiTheme="minorEastAsia" w:eastAsiaTheme="minorEastAsia"/>
                <w:szCs w:val="28"/>
                <w:highlight w:val="yellow"/>
              </w:rPr>
            </w:pPr>
            <w:r>
              <w:rPr>
                <w:rFonts w:hint="eastAsia" w:asciiTheme="minorEastAsia" w:hAnsiTheme="minorEastAsia" w:eastAsiaTheme="minorEastAsia"/>
                <w:b/>
                <w:szCs w:val="28"/>
              </w:rPr>
              <w:t>理由：</w:t>
            </w:r>
            <w:r>
              <w:rPr>
                <w:rFonts w:hint="eastAsia" w:asciiTheme="minorEastAsia" w:hAnsiTheme="minorEastAsia" w:eastAsiaTheme="minorEastAsia"/>
                <w:szCs w:val="28"/>
              </w:rPr>
              <w:t>附表3产权限制修正系数表中第4项：人才住房和保障性住房配建的商业部分在不得转让的情况下需要交0.6倍的标定地价，远超原先的基准地价，“工改保”项目大部分为了盈利都配建了比较多的商业，由于此类项目地理位置偏远，商业难以销售。</w:t>
            </w:r>
            <w:r>
              <w:rPr>
                <w:rFonts w:hint="eastAsia" w:asciiTheme="minorEastAsia" w:hAnsiTheme="minorEastAsia" w:eastAsiaTheme="minorEastAsia"/>
                <w:b/>
                <w:szCs w:val="28"/>
              </w:rPr>
              <w:t>（匿名）</w:t>
            </w:r>
          </w:p>
        </w:tc>
        <w:tc>
          <w:tcPr>
            <w:tcW w:w="4763" w:type="dxa"/>
            <w:vAlign w:val="center"/>
          </w:tcPr>
          <w:p>
            <w:pPr>
              <w:jc w:val="center"/>
              <w:rPr>
                <w:rFonts w:asciiTheme="minorEastAsia" w:hAnsiTheme="minorEastAsia" w:eastAsiaTheme="minorEastAsia"/>
                <w:bCs/>
                <w:highlight w:val="yellow"/>
              </w:rPr>
            </w:pPr>
            <w:r>
              <w:rPr>
                <w:rFonts w:hint="eastAsia" w:asciiTheme="minorEastAsia" w:hAnsiTheme="minorEastAsia" w:eastAsiaTheme="minorEastAsia"/>
                <w:b/>
                <w:bCs/>
                <w:color w:val="FF0000"/>
              </w:rPr>
              <w:t>解释。</w:t>
            </w:r>
            <w:r>
              <w:rPr>
                <w:rFonts w:hint="eastAsia" w:asciiTheme="minorEastAsia" w:hAnsiTheme="minorEastAsia" w:eastAsiaTheme="minorEastAsia"/>
                <w:bCs/>
                <w:color w:val="000000" w:themeColor="text1"/>
                <w14:textFill>
                  <w14:solidFill>
                    <w14:schemeClr w14:val="tx1"/>
                  </w14:solidFill>
                </w14:textFill>
              </w:rPr>
              <w:t>在设定保障性住房的地价标准时已将住房部分和配套商业部分的地价进行了统筹考虑。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b/>
                <w:color w:val="000000" w:themeColor="text1"/>
                <w:szCs w:val="28"/>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8"/>
              </w:rPr>
            </w:pPr>
          </w:p>
        </w:tc>
        <w:tc>
          <w:tcPr>
            <w:tcW w:w="12582" w:type="dxa"/>
            <w:vAlign w:val="center"/>
          </w:tcPr>
          <w:p>
            <w:pPr>
              <w:ind w:firstLine="560" w:firstLineChars="200"/>
              <w:jc w:val="left"/>
              <w:rPr>
                <w:rFonts w:asciiTheme="minorEastAsia" w:hAnsiTheme="minorEastAsia" w:eastAsiaTheme="minorEastAsia"/>
                <w:szCs w:val="28"/>
              </w:rPr>
            </w:pPr>
            <w:r>
              <w:rPr>
                <w:rFonts w:hint="eastAsia" w:asciiTheme="minorEastAsia" w:hAnsiTheme="minorEastAsia" w:eastAsiaTheme="minorEastAsia"/>
                <w:szCs w:val="28"/>
              </w:rPr>
              <w:t>44、提问：目前规则中产权移交政府的公共租赁住房不计收地价，按照此次征求意见稿附表3中的修正系数是0.1，表示计收地价，是否与当前政策背景相符？</w:t>
            </w:r>
          </w:p>
          <w:p>
            <w:pPr>
              <w:ind w:firstLine="560" w:firstLineChars="200"/>
              <w:jc w:val="left"/>
              <w:rPr>
                <w:rFonts w:asciiTheme="minorEastAsia" w:hAnsiTheme="minorEastAsia" w:eastAsiaTheme="minorEastAsia"/>
                <w:szCs w:val="28"/>
              </w:rPr>
            </w:pPr>
            <w:r>
              <w:rPr>
                <w:rFonts w:hint="eastAsia" w:asciiTheme="minorEastAsia" w:hAnsiTheme="minorEastAsia" w:eastAsiaTheme="minorEastAsia"/>
                <w:szCs w:val="28"/>
              </w:rPr>
              <w:t>建议在附表三序号3中增加一栏产权移交政府的公共租赁住房修正系数为0；</w:t>
            </w:r>
            <w:r>
              <w:rPr>
                <w:rFonts w:hint="eastAsia" w:asciiTheme="minorEastAsia" w:hAnsiTheme="minorEastAsia" w:eastAsiaTheme="minorEastAsia"/>
                <w:b/>
                <w:szCs w:val="28"/>
              </w:rPr>
              <w:t>（匿名）</w:t>
            </w:r>
          </w:p>
        </w:tc>
        <w:tc>
          <w:tcPr>
            <w:tcW w:w="4763" w:type="dxa"/>
            <w:vAlign w:val="center"/>
          </w:tcPr>
          <w:p>
            <w:pPr>
              <w:jc w:val="center"/>
              <w:rPr>
                <w:rFonts w:asciiTheme="minorEastAsia" w:hAnsiTheme="minorEastAsia" w:eastAsiaTheme="minorEastAsia"/>
                <w:b/>
                <w:bCs/>
              </w:rPr>
            </w:pPr>
            <w:r>
              <w:rPr>
                <w:rFonts w:hint="eastAsia" w:asciiTheme="minorEastAsia" w:hAnsiTheme="minorEastAsia" w:eastAsiaTheme="minorEastAsia"/>
                <w:b/>
                <w:color w:val="00B050"/>
              </w:rPr>
              <w:t>采纳。</w:t>
            </w:r>
            <w:r>
              <w:rPr>
                <w:rFonts w:hint="eastAsia" w:asciiTheme="minorEastAsia" w:hAnsiTheme="minorEastAsia" w:eastAsiaTheme="minorEastAsia"/>
                <w:bCs/>
              </w:rPr>
              <w:t>在规则1.2中已明确说明，产权归政府所有的建筑面积不计地价。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890" w:type="dxa"/>
            <w:vMerge w:val="restart"/>
            <w:vAlign w:val="center"/>
          </w:tcPr>
          <w:p>
            <w:pPr>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6</w:t>
            </w:r>
          </w:p>
        </w:tc>
        <w:tc>
          <w:tcPr>
            <w:tcW w:w="1792" w:type="dxa"/>
            <w:vMerge w:val="restart"/>
            <w:vAlign w:val="center"/>
          </w:tcPr>
          <w:p>
            <w:pPr>
              <w:jc w:val="center"/>
              <w:rPr>
                <w:rFonts w:asciiTheme="minorEastAsia" w:hAnsiTheme="minorEastAsia" w:eastAsiaTheme="minorEastAsia"/>
                <w:b/>
                <w:color w:val="000000" w:themeColor="text1"/>
                <w:szCs w:val="28"/>
                <w14:textFill>
                  <w14:solidFill>
                    <w14:schemeClr w14:val="tx1"/>
                  </w14:solidFill>
                </w14:textFill>
              </w:rPr>
            </w:pPr>
            <w:r>
              <w:rPr>
                <w:rFonts w:hint="eastAsia"/>
                <w:b/>
                <w:bCs/>
                <w:kern w:val="0"/>
                <w:szCs w:val="28"/>
              </w:rPr>
              <w:t>商业层数修正系数表</w:t>
            </w:r>
          </w:p>
        </w:tc>
        <w:tc>
          <w:tcPr>
            <w:tcW w:w="1984" w:type="dxa"/>
            <w:vMerge w:val="restart"/>
            <w:vAlign w:val="center"/>
          </w:tcPr>
          <w:p>
            <w:pPr>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附表6</w:t>
            </w:r>
          </w:p>
        </w:tc>
        <w:tc>
          <w:tcPr>
            <w:tcW w:w="12582" w:type="dxa"/>
            <w:vAlign w:val="center"/>
          </w:tcPr>
          <w:p>
            <w:pPr>
              <w:ind w:firstLine="560" w:firstLineChars="200"/>
              <w:jc w:val="left"/>
              <w:rPr>
                <w:rFonts w:asciiTheme="minorEastAsia" w:hAnsiTheme="minorEastAsia" w:eastAsiaTheme="minorEastAsia"/>
                <w:szCs w:val="28"/>
              </w:rPr>
            </w:pPr>
            <w:r>
              <w:rPr>
                <w:rFonts w:hint="eastAsia" w:asciiTheme="minorEastAsia" w:hAnsiTheme="minorEastAsia" w:eastAsiaTheme="minorEastAsia"/>
                <w:szCs w:val="28"/>
              </w:rPr>
              <w:t>45、关于附表6“备注：对于新出让土地，根据地上商业建筑面积和宗地建筑覆盖率可以测算商业层数；若为已经建成商业物业补地价类型，可直接选择实际商业层数测算”。</w:t>
            </w:r>
          </w:p>
          <w:p>
            <w:pPr>
              <w:ind w:firstLine="560" w:firstLineChars="200"/>
              <w:jc w:val="left"/>
              <w:rPr>
                <w:rFonts w:asciiTheme="minorEastAsia" w:hAnsiTheme="minorEastAsia" w:eastAsiaTheme="minorEastAsia"/>
                <w:szCs w:val="28"/>
              </w:rPr>
            </w:pPr>
            <w:r>
              <w:rPr>
                <w:rFonts w:hint="eastAsia" w:asciiTheme="minorEastAsia" w:hAnsiTheme="minorEastAsia" w:eastAsiaTheme="minorEastAsia"/>
                <w:szCs w:val="28"/>
              </w:rPr>
              <w:t>建议：</w:t>
            </w:r>
          </w:p>
          <w:p>
            <w:pPr>
              <w:ind w:firstLine="420" w:firstLineChars="150"/>
              <w:jc w:val="left"/>
              <w:rPr>
                <w:rFonts w:asciiTheme="minorEastAsia" w:hAnsiTheme="minorEastAsia" w:eastAsiaTheme="minorEastAsia"/>
                <w:szCs w:val="28"/>
              </w:rPr>
            </w:pPr>
            <w:r>
              <w:rPr>
                <w:rFonts w:hint="eastAsia" w:asciiTheme="minorEastAsia" w:hAnsiTheme="minorEastAsia" w:eastAsiaTheme="minorEastAsia"/>
                <w:szCs w:val="28"/>
              </w:rPr>
              <w:t>（一）如测算出来的商业层数为1.45层等非整数的情况，如何确定修正系数？建议明确。</w:t>
            </w:r>
          </w:p>
          <w:p>
            <w:pPr>
              <w:ind w:firstLine="420" w:firstLineChars="150"/>
              <w:jc w:val="left"/>
              <w:rPr>
                <w:rFonts w:asciiTheme="minorEastAsia" w:hAnsiTheme="minorEastAsia" w:eastAsiaTheme="minorEastAsia"/>
                <w:szCs w:val="28"/>
              </w:rPr>
            </w:pPr>
            <w:r>
              <w:rPr>
                <w:rFonts w:hint="eastAsia" w:asciiTheme="minorEastAsia" w:hAnsiTheme="minorEastAsia" w:eastAsiaTheme="minorEastAsia"/>
                <w:szCs w:val="28"/>
              </w:rPr>
              <w:t>（二）对“已经建成商业物业补地价类型”，是否包括规划验收阶段或竣工验收阶段已建成商业物业补地价的情况？建议明确。</w:t>
            </w:r>
            <w:r>
              <w:rPr>
                <w:rFonts w:hint="eastAsia" w:asciiTheme="minorEastAsia" w:hAnsiTheme="minorEastAsia" w:eastAsiaTheme="minorEastAsia"/>
                <w:b/>
                <w:szCs w:val="21"/>
              </w:rPr>
              <w:t>（深圳市龙岗区城市更新和土地整备局）</w:t>
            </w:r>
          </w:p>
        </w:tc>
        <w:tc>
          <w:tcPr>
            <w:tcW w:w="4763" w:type="dxa"/>
            <w:vAlign w:val="center"/>
          </w:tcPr>
          <w:p>
            <w:pPr>
              <w:rPr>
                <w:rFonts w:asciiTheme="minorEastAsia" w:hAnsiTheme="minorEastAsia" w:eastAsiaTheme="minorEastAsia"/>
                <w:szCs w:val="28"/>
              </w:rPr>
            </w:pPr>
            <w:r>
              <w:rPr>
                <w:rFonts w:hint="eastAsia" w:asciiTheme="minorEastAsia" w:hAnsiTheme="minorEastAsia" w:eastAsiaTheme="minorEastAsia"/>
                <w:b/>
                <w:color w:val="FF0000"/>
                <w:szCs w:val="28"/>
              </w:rPr>
              <w:t>解释。</w:t>
            </w:r>
            <w:r>
              <w:rPr>
                <w:rFonts w:hint="eastAsia" w:asciiTheme="minorEastAsia" w:hAnsiTheme="minorEastAsia" w:eastAsiaTheme="minorEastAsia"/>
                <w:szCs w:val="28"/>
              </w:rPr>
              <w:t>附表6地上商业楼层修正系数表备注中已明确超过一层的按照二层计算；对“已经建成商业物业补地价类型”在规划验收阶段确定。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b/>
                <w:color w:val="000000" w:themeColor="text1"/>
                <w:szCs w:val="28"/>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8"/>
              </w:rPr>
            </w:pPr>
          </w:p>
        </w:tc>
        <w:tc>
          <w:tcPr>
            <w:tcW w:w="12582" w:type="dxa"/>
            <w:vAlign w:val="center"/>
          </w:tcPr>
          <w:p>
            <w:pPr>
              <w:ind w:firstLine="560" w:firstLineChars="200"/>
              <w:jc w:val="left"/>
              <w:rPr>
                <w:rFonts w:asciiTheme="minorEastAsia" w:hAnsiTheme="minorEastAsia" w:eastAsiaTheme="minorEastAsia"/>
                <w:szCs w:val="28"/>
              </w:rPr>
            </w:pPr>
            <w:r>
              <w:rPr>
                <w:rFonts w:hint="eastAsia" w:asciiTheme="minorEastAsia" w:hAnsiTheme="minorEastAsia" w:eastAsiaTheme="minorEastAsia"/>
                <w:szCs w:val="28"/>
              </w:rPr>
              <w:t>46、建议：请明确指出标定地价系数修正法和剩余法进行评估得出的商业土地市场价格是指“商业三层的土地市场价格”。</w:t>
            </w:r>
          </w:p>
          <w:p>
            <w:pPr>
              <w:ind w:firstLine="562" w:firstLineChars="200"/>
              <w:jc w:val="left"/>
              <w:rPr>
                <w:rFonts w:asciiTheme="minorEastAsia" w:hAnsiTheme="minorEastAsia" w:eastAsiaTheme="minorEastAsia"/>
                <w:szCs w:val="28"/>
              </w:rPr>
            </w:pPr>
            <w:r>
              <w:rPr>
                <w:rFonts w:hint="eastAsia" w:asciiTheme="minorEastAsia" w:hAnsiTheme="minorEastAsia" w:eastAsiaTheme="minorEastAsia"/>
                <w:b/>
                <w:szCs w:val="28"/>
              </w:rPr>
              <w:t>理由：</w:t>
            </w:r>
            <w:r>
              <w:rPr>
                <w:rFonts w:hint="eastAsia" w:asciiTheme="minorEastAsia" w:hAnsiTheme="minorEastAsia" w:eastAsiaTheme="minorEastAsia"/>
                <w:szCs w:val="28"/>
              </w:rPr>
              <w:t>征求意见稿中没有明确标定地价系数修正法和剩余法进行评估得出的商业土地市场价格是指商业几层的土地市场价格，而“附表6关于商业层数修正系数表”中三层商业修正系数为1，二层商业修正系数为1.169，一层商业修正系数为1.4613等。如果不明确几层商业的土地市场价格，会在“附表6关于商业层数修正系数表”中实际修正时出现混淆。</w:t>
            </w:r>
            <w:r>
              <w:rPr>
                <w:rFonts w:hint="eastAsia" w:asciiTheme="minorEastAsia" w:hAnsiTheme="minorEastAsia" w:eastAsiaTheme="minorEastAsia"/>
                <w:b/>
                <w:szCs w:val="21"/>
              </w:rPr>
              <w:t>（恒大地产集团(深圳)有限公司）</w:t>
            </w:r>
          </w:p>
        </w:tc>
        <w:tc>
          <w:tcPr>
            <w:tcW w:w="4763" w:type="dxa"/>
            <w:vAlign w:val="center"/>
          </w:tcPr>
          <w:p>
            <w:pPr>
              <w:jc w:val="center"/>
              <w:rPr>
                <w:rFonts w:asciiTheme="minorEastAsia" w:hAnsiTheme="minorEastAsia" w:eastAsiaTheme="minorEastAsia"/>
                <w:b/>
                <w:bCs/>
              </w:rPr>
            </w:pPr>
            <w:r>
              <w:rPr>
                <w:rFonts w:hint="eastAsia" w:asciiTheme="minorEastAsia" w:hAnsiTheme="minorEastAsia" w:eastAsiaTheme="minorEastAsia"/>
                <w:b/>
                <w:color w:val="00B050"/>
              </w:rPr>
              <w:t>采纳。</w:t>
            </w:r>
            <w:r>
              <w:rPr>
                <w:rFonts w:hint="eastAsia" w:asciiTheme="minorEastAsia" w:hAnsiTheme="minorEastAsia" w:eastAsiaTheme="minorEastAsia"/>
                <w:szCs w:val="28"/>
              </w:rPr>
              <w:t>已将附表6修改为“地上商业楼层修正系数表”。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890" w:type="dxa"/>
            <w:vMerge w:val="restart"/>
            <w:vAlign w:val="center"/>
          </w:tcPr>
          <w:p>
            <w:pPr>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7</w:t>
            </w:r>
          </w:p>
        </w:tc>
        <w:tc>
          <w:tcPr>
            <w:tcW w:w="1792" w:type="dxa"/>
            <w:vMerge w:val="restart"/>
            <w:vAlign w:val="center"/>
          </w:tcPr>
          <w:p>
            <w:pPr>
              <w:jc w:val="center"/>
              <w:rPr>
                <w:rFonts w:asciiTheme="minorEastAsia" w:hAnsiTheme="minorEastAsia" w:eastAsiaTheme="minorEastAsia"/>
                <w:b/>
                <w:color w:val="000000" w:themeColor="text1"/>
                <w:szCs w:val="28"/>
                <w14:textFill>
                  <w14:solidFill>
                    <w14:schemeClr w14:val="tx1"/>
                  </w14:solidFill>
                </w14:textFill>
              </w:rPr>
            </w:pPr>
            <w:r>
              <w:rPr>
                <w:rFonts w:hint="eastAsia" w:asciiTheme="minorEastAsia" w:hAnsiTheme="minorEastAsia" w:eastAsiaTheme="minorEastAsia"/>
                <w:b/>
                <w:color w:val="000000" w:themeColor="text1"/>
                <w:szCs w:val="28"/>
                <w14:textFill>
                  <w14:solidFill>
                    <w14:schemeClr w14:val="tx1"/>
                  </w14:solidFill>
                </w14:textFill>
              </w:rPr>
              <w:t>地下空间修正系数表</w:t>
            </w:r>
          </w:p>
        </w:tc>
        <w:tc>
          <w:tcPr>
            <w:tcW w:w="1984" w:type="dxa"/>
            <w:vMerge w:val="restart"/>
            <w:vAlign w:val="center"/>
          </w:tcPr>
          <w:p>
            <w:pPr>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附表7</w:t>
            </w: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47、建议：进一步明确通道等空间类型的地价。本征求意见稿中未提及第一次征求意见稿中的地下轨道、地下市政设施、和连接两宗地块的对外开放的公共通道等地上、地下空间的地价计算方式。建议考虑并明确此类未占用独立空间的通道不计收地价。</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理由：</w:t>
            </w:r>
            <w:r>
              <w:rPr>
                <w:rFonts w:hint="eastAsia" w:asciiTheme="minorEastAsia" w:hAnsiTheme="minorEastAsia" w:eastAsiaTheme="minorEastAsia"/>
                <w:szCs w:val="21"/>
              </w:rPr>
              <w:t>鉴于地下车库、地下商业及一些地上建筑中常设有通道类型的设施，在建筑形式上不占用独立空间，如按占用独立空间的全地价标准计收，则欠缺合理性。</w:t>
            </w:r>
          </w:p>
          <w:p>
            <w:pPr>
              <w:ind w:firstLine="562" w:firstLineChars="200"/>
              <w:jc w:val="left"/>
              <w:rPr>
                <w:rFonts w:asciiTheme="minorEastAsia" w:hAnsiTheme="minorEastAsia" w:eastAsiaTheme="minorEastAsia"/>
                <w:szCs w:val="28"/>
              </w:rPr>
            </w:pPr>
            <w:r>
              <w:rPr>
                <w:rFonts w:hint="eastAsia" w:asciiTheme="minorEastAsia" w:hAnsiTheme="minorEastAsia" w:eastAsiaTheme="minorEastAsia"/>
                <w:b/>
                <w:szCs w:val="21"/>
              </w:rPr>
              <w:t>（深圳市福田建设房地产开发（集团）股份有限公司）</w:t>
            </w:r>
          </w:p>
        </w:tc>
        <w:tc>
          <w:tcPr>
            <w:tcW w:w="4763" w:type="dxa"/>
            <w:vAlign w:val="center"/>
          </w:tcPr>
          <w:p>
            <w:pPr>
              <w:jc w:val="center"/>
              <w:rPr>
                <w:rFonts w:asciiTheme="minorEastAsia" w:hAnsiTheme="minorEastAsia" w:eastAsiaTheme="minorEastAsia"/>
                <w:b/>
                <w:bCs/>
              </w:rPr>
            </w:pPr>
            <w:r>
              <w:rPr>
                <w:rFonts w:hint="eastAsia" w:asciiTheme="minorEastAsia" w:hAnsiTheme="minorEastAsia" w:eastAsiaTheme="minorEastAsia"/>
                <w:b/>
                <w:color w:val="00B050"/>
              </w:rPr>
              <w:t>采纳。</w:t>
            </w:r>
            <w:r>
              <w:rPr>
                <w:rFonts w:hint="eastAsia" w:asciiTheme="minorEastAsia" w:hAnsiTheme="minorEastAsia" w:eastAsiaTheme="minorEastAsia"/>
                <w:szCs w:val="28"/>
              </w:rPr>
              <w:t>地价测算是根据规划设计条件进行，不占独立空间的通道等未包含在规划设计条件的建筑面积，则不计收地价。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b/>
                <w:color w:val="000000" w:themeColor="text1"/>
                <w:szCs w:val="28"/>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8"/>
              </w:rPr>
            </w:pPr>
          </w:p>
        </w:tc>
        <w:tc>
          <w:tcPr>
            <w:tcW w:w="12582" w:type="dxa"/>
            <w:vAlign w:val="center"/>
          </w:tcPr>
          <w:p>
            <w:pPr>
              <w:ind w:firstLine="560" w:firstLineChars="200"/>
              <w:jc w:val="left"/>
              <w:rPr>
                <w:rFonts w:asciiTheme="minorEastAsia" w:hAnsiTheme="minorEastAsia" w:eastAsiaTheme="minorEastAsia"/>
                <w:szCs w:val="28"/>
              </w:rPr>
            </w:pPr>
            <w:r>
              <w:rPr>
                <w:rFonts w:hint="eastAsia" w:asciiTheme="minorEastAsia" w:hAnsiTheme="minorEastAsia" w:eastAsiaTheme="minorEastAsia"/>
                <w:szCs w:val="28"/>
              </w:rPr>
              <w:t>48、提问：地下商业计容积率部分的修正系数应当如何确定？</w:t>
            </w:r>
          </w:p>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8"/>
              </w:rPr>
              <w:t>建议：在附表6中进一步明确地下商业修正系数；</w:t>
            </w:r>
            <w:r>
              <w:rPr>
                <w:rFonts w:hint="eastAsia" w:asciiTheme="minorEastAsia" w:hAnsiTheme="minorEastAsia" w:eastAsiaTheme="minorEastAsia"/>
                <w:b/>
                <w:szCs w:val="28"/>
              </w:rPr>
              <w:t>（匿名）</w:t>
            </w:r>
          </w:p>
        </w:tc>
        <w:tc>
          <w:tcPr>
            <w:tcW w:w="4763" w:type="dxa"/>
            <w:vAlign w:val="center"/>
          </w:tcPr>
          <w:p>
            <w:pPr>
              <w:jc w:val="center"/>
              <w:rPr>
                <w:rFonts w:asciiTheme="minorEastAsia" w:hAnsiTheme="minorEastAsia" w:eastAsiaTheme="minorEastAsia"/>
                <w:b/>
                <w:bCs/>
              </w:rPr>
            </w:pPr>
            <w:r>
              <w:rPr>
                <w:rFonts w:hint="eastAsia" w:asciiTheme="minorEastAsia" w:hAnsiTheme="minorEastAsia" w:eastAsiaTheme="minorEastAsia"/>
                <w:b/>
                <w:color w:val="00B050"/>
              </w:rPr>
              <w:t>采纳。</w:t>
            </w:r>
            <w:r>
              <w:rPr>
                <w:rFonts w:hint="eastAsia" w:asciiTheme="minorEastAsia" w:hAnsiTheme="minorEastAsia" w:eastAsiaTheme="minorEastAsia"/>
                <w:szCs w:val="28"/>
              </w:rPr>
              <w:t>已在附表7的备注中进行了说明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6" w:hRule="atLeast"/>
          <w:jc w:val="center"/>
        </w:trPr>
        <w:tc>
          <w:tcPr>
            <w:tcW w:w="890" w:type="dxa"/>
            <w:vMerge w:val="restart"/>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w:t>
            </w:r>
          </w:p>
        </w:tc>
        <w:tc>
          <w:tcPr>
            <w:tcW w:w="1792" w:type="dxa"/>
            <w:vMerge w:val="restart"/>
            <w:vAlign w:val="center"/>
          </w:tcPr>
          <w:p>
            <w:pPr>
              <w:jc w:val="center"/>
              <w:rPr>
                <w:rFonts w:asciiTheme="minorEastAsia" w:hAnsiTheme="minorEastAsia" w:eastAsiaTheme="minorEastAsia"/>
                <w:b/>
                <w:color w:val="000000" w:themeColor="text1"/>
                <w:szCs w:val="21"/>
                <w14:textFill>
                  <w14:solidFill>
                    <w14:schemeClr w14:val="tx1"/>
                  </w14:solidFill>
                </w14:textFill>
              </w:rPr>
            </w:pPr>
            <w:r>
              <w:rPr>
                <w:rFonts w:hint="eastAsia"/>
                <w:b/>
                <w:bCs/>
                <w:kern w:val="0"/>
                <w:szCs w:val="28"/>
              </w:rPr>
              <w:t>棚户区改造项目修正系数表</w:t>
            </w:r>
          </w:p>
        </w:tc>
        <w:tc>
          <w:tcPr>
            <w:tcW w:w="1984" w:type="dxa"/>
            <w:vMerge w:val="restart"/>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附表8</w:t>
            </w: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49、建议：附表8备注第1条，1992年前市政府划定的旧城旧村改造用地遗留项目参照附表10的第5条“深府〔2006〕258号文件确定的70个旧城旧村改造项目除城中村用地、旧屋村用地外的其余用地”的修正系数计算地价。而且此类项目周期长，中间产生债务、债权变更复杂，理清关系难度大，资金成本高，此类项目在地价政策上应进一步优惠，建议修正后进一步打折。附表8备注第1条，建议补充说明“1992年前市政府划定的旧城旧村改造用地遗留项目在推进过程中如果存在司法机关裁定、判决等情况，在地价测算时对由司法机关或政府机关认定的项目推进的特外费用，在项目缴纳地价款时，根据司法机关或政府机关认定的数额进行扣减”。</w:t>
            </w:r>
          </w:p>
          <w:p>
            <w:pPr>
              <w:ind w:firstLine="56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理由</w:t>
            </w:r>
            <w:r>
              <w:rPr>
                <w:rFonts w:hint="eastAsia" w:asciiTheme="minorEastAsia" w:hAnsiTheme="minorEastAsia" w:eastAsiaTheme="minorEastAsia"/>
                <w:szCs w:val="21"/>
              </w:rPr>
              <w:t>：1992年前市政府划定的旧城旧村改造用地遗留项目这类旧改项目是深圳市城市更新项目的一部分，在实施上基本都是由当年市区政府按照城市更新类项目推进的，只是在2010年全市历史遗留旧改类项目结转更新项目时遗漏的部分，当时只考虑了特区外宝安、龙岗的70个遗留项目的更新项目结转问题。此类项目与更新项目操作程序一致，因此在地价政策上也应该与拆迁处重建类更新项目保持一致。此类项目除了还迁建筑面积，还有住宅、商业办公等，和棚改政策不同，不能简单按照备注1中的区分安置已取得房地产证的建筑面积、安置未取得房地产证的建筑面积、其余建筑面积计收地价。我司是南山区旧改项目滨海大厦的重整方，滨海大厦项目烂尾多年，我司为解决该项目问题先后投入5.31亿元，与84位债权人达成重整意见，我司的这类非常规成本在地价测算规则中没有考虑，建议增加上述地价核减条款。</w:t>
            </w:r>
            <w:r>
              <w:rPr>
                <w:rFonts w:hint="eastAsia" w:asciiTheme="minorEastAsia" w:hAnsiTheme="minorEastAsia" w:eastAsiaTheme="minorEastAsia"/>
                <w:b/>
                <w:szCs w:val="21"/>
              </w:rPr>
              <w:t>（深圳市科盛达实业有限公司）</w:t>
            </w:r>
          </w:p>
        </w:tc>
        <w:tc>
          <w:tcPr>
            <w:tcW w:w="4763" w:type="dxa"/>
            <w:vMerge w:val="restart"/>
            <w:vAlign w:val="center"/>
          </w:tcPr>
          <w:p>
            <w:pPr>
              <w:jc w:val="center"/>
              <w:rPr>
                <w:rFonts w:asciiTheme="minorEastAsia" w:hAnsiTheme="minorEastAsia" w:eastAsiaTheme="minorEastAsia"/>
                <w:b/>
                <w:bCs/>
                <w:color w:val="9BBB59" w:themeColor="accent3"/>
                <w14:textFill>
                  <w14:solidFill>
                    <w14:schemeClr w14:val="accent3"/>
                  </w14:solidFill>
                </w14:textFill>
              </w:rPr>
            </w:pPr>
          </w:p>
          <w:p>
            <w:pPr>
              <w:jc w:val="center"/>
              <w:rPr>
                <w:rFonts w:asciiTheme="minorEastAsia" w:hAnsiTheme="minorEastAsia" w:eastAsiaTheme="minorEastAsia"/>
                <w:bCs/>
              </w:rPr>
            </w:pPr>
            <w:r>
              <w:rPr>
                <w:rFonts w:hint="eastAsia" w:asciiTheme="minorEastAsia" w:hAnsiTheme="minorEastAsia" w:eastAsiaTheme="minorEastAsia"/>
                <w:b/>
                <w:bCs/>
                <w:color w:val="FF0000"/>
              </w:rPr>
              <w:t>解释。</w:t>
            </w:r>
            <w:r>
              <w:rPr>
                <w:rFonts w:hint="eastAsia" w:asciiTheme="minorEastAsia" w:hAnsiTheme="minorEastAsia" w:eastAsiaTheme="minorEastAsia"/>
                <w:bCs/>
              </w:rPr>
              <w:t>旧城旧村改造</w:t>
            </w:r>
            <w:r>
              <w:rPr>
                <w:rFonts w:hint="eastAsia" w:asciiTheme="minorEastAsia" w:hAnsiTheme="minorEastAsia" w:eastAsiaTheme="minorEastAsia"/>
                <w:bCs/>
                <w:szCs w:val="21"/>
              </w:rPr>
              <w:t>遗留项目</w:t>
            </w:r>
            <w:r>
              <w:rPr>
                <w:rFonts w:hint="eastAsia" w:asciiTheme="minorEastAsia" w:hAnsiTheme="minorEastAsia" w:eastAsiaTheme="minorEastAsia"/>
                <w:bCs/>
              </w:rPr>
              <w:t>地价政策制定过程中已考虑此类项目合理的项目开发成本和安置回迁因素，参照棚户区改造项目地价政策较为合理，也符合 《深圳经济特区土地使用权出让条例》的规定。此类项目未纳入城市更新计划，未按照现行城市更新政策贡献用地及配建保障性用房，不宜直接适用城市更新地价政策。</w:t>
            </w:r>
          </w:p>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90" w:type="dxa"/>
            <w:vMerge w:val="continue"/>
            <w:vAlign w:val="center"/>
          </w:tcPr>
          <w:p>
            <w:pPr>
              <w:jc w:val="center"/>
              <w:rPr>
                <w:rFonts w:asciiTheme="minorEastAsia" w:hAnsiTheme="minorEastAsia" w:eastAsiaTheme="minorEastAsia"/>
                <w:color w:val="000000"/>
                <w:szCs w:val="21"/>
              </w:rPr>
            </w:pPr>
          </w:p>
        </w:tc>
        <w:tc>
          <w:tcPr>
            <w:tcW w:w="1792" w:type="dxa"/>
            <w:vMerge w:val="continue"/>
            <w:vAlign w:val="center"/>
          </w:tcPr>
          <w:p>
            <w:pPr>
              <w:jc w:val="center"/>
              <w:rPr>
                <w:rFonts w:asciiTheme="minorEastAsia" w:hAnsiTheme="minorEastAsia" w:eastAsiaTheme="minorEastAsia"/>
                <w:b/>
                <w:color w:val="000000" w:themeColor="text1"/>
                <w:szCs w:val="21"/>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1"/>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50、建议：“1992年前市政府划定的旧城旧村改造用地遗留项目”参照拆除重建类城市更新项目修正系数计算表。即对于附表8中，“1992年前市政府划定的旧城旧村改造用地遗留项目，适用棚户区改造项目修正系数，区分已取得房地产证建筑面积、安置未取得房产证的建筑面积、其余建筑面积计收地价”这一条，建议修改为“1992年前市政府划定的旧城旧村改造用地遗留项目，参照拆除重建类城市更新项目修正系数计算表中5条‘深府〔2006) 258号文件确定的70个旧城旧村改造项目除城中村用地、旧屋村用地外的其余用地’修正系数计算地价”。</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理由一</w:t>
            </w:r>
            <w:r>
              <w:rPr>
                <w:rFonts w:hint="eastAsia" w:asciiTheme="minorEastAsia" w:hAnsiTheme="minorEastAsia" w:eastAsiaTheme="minorEastAsia"/>
                <w:szCs w:val="21"/>
              </w:rPr>
              <w:t xml:space="preserve">:1992年前市政府划定的旧城旧村改造用地遗留项目，当年已取得计划立项批准，这类旧改项目是深圳拆除重建类更新项目的前身，是深圳市城市更新项目的一部分，从历史上看一脉相承，无法割裂，城市更新是特区发展的重要组成部分，“尊重历史、实事求是”一直是一项重要原则。   </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理由二:</w:t>
            </w:r>
            <w:r>
              <w:rPr>
                <w:rFonts w:hint="eastAsia" w:asciiTheme="minorEastAsia" w:hAnsiTheme="minorEastAsia" w:eastAsiaTheme="minorEastAsia"/>
                <w:szCs w:val="21"/>
              </w:rPr>
              <w:t xml:space="preserve">这类项目在实施上基本都是由当年市、区政府按照城市更新类项目推进的，只是在2010年全市历史遗留旧改类项目结转更新项目时遗漏的部分，当时只考虑了特区外宝安、龙岗的70个遗留项目的更新项目结转问题。    </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理由三:</w:t>
            </w:r>
            <w:r>
              <w:rPr>
                <w:rFonts w:hint="eastAsia" w:asciiTheme="minorEastAsia" w:hAnsiTheme="minorEastAsia" w:eastAsiaTheme="minorEastAsia"/>
                <w:szCs w:val="21"/>
              </w:rPr>
              <w:t xml:space="preserve">此类项目与现有更新项目操作程序一致，都需办理规划确认、土地清理、拆迁监管、主体确认等业务，因此在地价政策上也应与拆除重建类更新项目保持一致。   </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理由四:</w:t>
            </w:r>
            <w:r>
              <w:rPr>
                <w:rFonts w:hint="eastAsia" w:asciiTheme="minorEastAsia" w:hAnsiTheme="minorEastAsia" w:eastAsiaTheme="minorEastAsia"/>
                <w:szCs w:val="21"/>
              </w:rPr>
              <w:t>这类项目规划中，除还迁建筑面积外还有住宅、商业、办公等多种功能，不同于后来的棚户区改造政策，剩余面积只是简单的政策性用房，不能简单的划归为“区分已取得房地产证建筑面积、安置未取得房产证的建筑面积、其余建筑面积”来计收地价。</w:t>
            </w:r>
            <w:r>
              <w:rPr>
                <w:rFonts w:hint="eastAsia" w:asciiTheme="minorEastAsia" w:hAnsiTheme="minorEastAsia" w:eastAsiaTheme="minorEastAsia"/>
                <w:b/>
                <w:szCs w:val="21"/>
              </w:rPr>
              <w:t>（深圳市城市更新开发企业协会）</w:t>
            </w:r>
          </w:p>
        </w:tc>
        <w:tc>
          <w:tcPr>
            <w:tcW w:w="4763" w:type="dxa"/>
            <w:vMerge w:val="continue"/>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890" w:type="dxa"/>
            <w:vMerge w:val="continue"/>
            <w:vAlign w:val="center"/>
          </w:tcPr>
          <w:p>
            <w:pPr>
              <w:jc w:val="center"/>
              <w:rPr>
                <w:rFonts w:asciiTheme="minorEastAsia" w:hAnsiTheme="minorEastAsia" w:eastAsiaTheme="minorEastAsia"/>
                <w:color w:val="000000"/>
                <w:szCs w:val="21"/>
              </w:rPr>
            </w:pPr>
          </w:p>
        </w:tc>
        <w:tc>
          <w:tcPr>
            <w:tcW w:w="1792" w:type="dxa"/>
            <w:vMerge w:val="continue"/>
            <w:vAlign w:val="center"/>
          </w:tcPr>
          <w:p>
            <w:pPr>
              <w:jc w:val="center"/>
              <w:rPr>
                <w:rFonts w:asciiTheme="minorEastAsia" w:hAnsiTheme="minorEastAsia" w:eastAsiaTheme="minorEastAsia"/>
                <w:b/>
                <w:color w:val="000000" w:themeColor="text1"/>
                <w:szCs w:val="21"/>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1"/>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51、建议：降低附表8第4条“其余面积”项目修正系数，住宅、商业、办公系数建议调整为0.5。</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8"/>
              </w:rPr>
              <w:t>理由</w:t>
            </w:r>
            <w:r>
              <w:rPr>
                <w:rFonts w:hint="eastAsia" w:asciiTheme="minorEastAsia" w:hAnsiTheme="minorEastAsia" w:eastAsiaTheme="minorEastAsia"/>
                <w:szCs w:val="28"/>
              </w:rPr>
              <w:t>：</w:t>
            </w:r>
            <w:r>
              <w:rPr>
                <w:rFonts w:hint="eastAsia" w:asciiTheme="minorEastAsia" w:hAnsiTheme="minorEastAsia" w:eastAsiaTheme="minorEastAsia"/>
                <w:szCs w:val="21"/>
              </w:rPr>
              <w:t>1992年前市政府划定的旧城旧村改造用地遗留项目在经过数十年的旧城改造工作中，已付出高昂的拆赔及过渡安置费用，项目时间周期长，投资成本高，社会维稳压力大，项目本身承载了巨大经济压力及社会责任。为保证此类项目今后顺利推进，消除历史遗留问题给政府、社会和企业的风险，建议降低“其余面积”项目修正系数。</w:t>
            </w:r>
            <w:r>
              <w:rPr>
                <w:rFonts w:hint="eastAsia" w:asciiTheme="minorEastAsia" w:hAnsiTheme="minorEastAsia" w:eastAsiaTheme="minorEastAsia"/>
                <w:b/>
                <w:szCs w:val="21"/>
              </w:rPr>
              <w:t>（恒大地产集团(深圳)有限公司）</w:t>
            </w:r>
          </w:p>
        </w:tc>
        <w:tc>
          <w:tcPr>
            <w:tcW w:w="4763" w:type="dxa"/>
            <w:vAlign w:val="center"/>
          </w:tcPr>
          <w:p>
            <w:pPr>
              <w:jc w:val="center"/>
              <w:rPr>
                <w:rFonts w:asciiTheme="minorEastAsia" w:hAnsiTheme="minorEastAsia" w:eastAsiaTheme="minorEastAsia"/>
              </w:rPr>
            </w:pPr>
            <w:r>
              <w:rPr>
                <w:rFonts w:hint="eastAsia" w:asciiTheme="minorEastAsia" w:hAnsiTheme="minorEastAsia" w:eastAsiaTheme="minorEastAsia"/>
                <w:b/>
                <w:color w:val="FF0000"/>
              </w:rPr>
              <w:t>解释。</w:t>
            </w:r>
            <w:r>
              <w:rPr>
                <w:rFonts w:hint="eastAsia" w:asciiTheme="minorEastAsia" w:hAnsiTheme="minorEastAsia" w:eastAsiaTheme="minorEastAsia"/>
              </w:rPr>
              <w:t>旧城旧村改造</w:t>
            </w:r>
            <w:r>
              <w:rPr>
                <w:rFonts w:hint="eastAsia" w:asciiTheme="minorEastAsia" w:hAnsiTheme="minorEastAsia" w:eastAsiaTheme="minorEastAsia"/>
                <w:szCs w:val="21"/>
              </w:rPr>
              <w:t>遗留项目中的“其余面积”是指扣除回迁安置后的新增建筑面积，项目修正系数确定为1符合</w:t>
            </w:r>
            <w:r>
              <w:rPr>
                <w:rFonts w:hint="eastAsia" w:asciiTheme="minorEastAsia" w:hAnsiTheme="minorEastAsia" w:eastAsiaTheme="minorEastAsia"/>
              </w:rPr>
              <w:t xml:space="preserve"> 《深圳经济特区土地使用权出让条例》“旧城改造用地必须按照公告的市场价格出让”的规定。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90"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w:t>
            </w:r>
          </w:p>
        </w:tc>
        <w:tc>
          <w:tcPr>
            <w:tcW w:w="1792" w:type="dxa"/>
            <w:vAlign w:val="center"/>
          </w:tcPr>
          <w:p>
            <w:pPr>
              <w:jc w:val="center"/>
              <w:rPr>
                <w:rFonts w:asciiTheme="minorEastAsia" w:hAnsiTheme="minorEastAsia" w:eastAsiaTheme="minorEastAsia"/>
                <w:b/>
                <w:color w:val="000000" w:themeColor="text1"/>
                <w:szCs w:val="21"/>
                <w14:textFill>
                  <w14:solidFill>
                    <w14:schemeClr w14:val="tx1"/>
                  </w14:solidFill>
                </w14:textFill>
              </w:rPr>
            </w:pPr>
            <w:r>
              <w:rPr>
                <w:rFonts w:hint="eastAsia" w:ascii="宋体" w:hAnsi="宋体" w:cs="宋体"/>
                <w:b/>
                <w:kern w:val="0"/>
                <w:szCs w:val="28"/>
              </w:rPr>
              <w:t>留用土地项目修正系数表</w:t>
            </w:r>
          </w:p>
        </w:tc>
        <w:tc>
          <w:tcPr>
            <w:tcW w:w="1984"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附表9</w:t>
            </w: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52、建议：附表9中 非农建设用地和征返地进入市场在本社区外安置征返用地的，分为等价值部分和超出等价值部分，在实际操作中难以量化，市场机构和股份公司难以把握其价值，容易造成腐败，建议改为以容积率来划分，以便明确市场预期，推动村企合作廉洁高效，方便接受监督；</w:t>
            </w:r>
            <w:r>
              <w:rPr>
                <w:rFonts w:hint="eastAsia" w:asciiTheme="minorEastAsia" w:hAnsiTheme="minorEastAsia" w:eastAsiaTheme="minorEastAsia"/>
                <w:b/>
                <w:szCs w:val="21"/>
              </w:rPr>
              <w:t>（zhangch2082@qq.com）</w:t>
            </w:r>
          </w:p>
        </w:tc>
        <w:tc>
          <w:tcPr>
            <w:tcW w:w="4763" w:type="dxa"/>
            <w:vAlign w:val="center"/>
          </w:tcPr>
          <w:p>
            <w:pPr>
              <w:jc w:val="center"/>
              <w:rPr>
                <w:rFonts w:asciiTheme="minorEastAsia" w:hAnsiTheme="minorEastAsia" w:eastAsiaTheme="minorEastAsia"/>
              </w:rPr>
            </w:pPr>
            <w:r>
              <w:rPr>
                <w:rFonts w:hint="eastAsia" w:asciiTheme="minorEastAsia" w:hAnsiTheme="minorEastAsia" w:eastAsiaTheme="minorEastAsia"/>
                <w:b/>
                <w:color w:val="FF0000"/>
                <w:szCs w:val="21"/>
              </w:rPr>
              <w:t>解释。</w:t>
            </w:r>
            <w:r>
              <w:rPr>
                <w:rFonts w:hint="eastAsia" w:asciiTheme="minorEastAsia" w:hAnsiTheme="minorEastAsia" w:eastAsiaTheme="minorEastAsia"/>
                <w:szCs w:val="21"/>
              </w:rPr>
              <w:t>等价值部分和超出等价值部分的区分是根据《深圳市人民政府印发关于征地安置补偿和土地置换若干规定（试行）的通知》(深府〔2015〕81号文)确定。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jc w:val="center"/>
        </w:trPr>
        <w:tc>
          <w:tcPr>
            <w:tcW w:w="890" w:type="dxa"/>
            <w:vMerge w:val="restart"/>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8"/>
              </w:rPr>
              <w:t>10</w:t>
            </w:r>
          </w:p>
        </w:tc>
        <w:tc>
          <w:tcPr>
            <w:tcW w:w="1792" w:type="dxa"/>
            <w:vMerge w:val="restart"/>
            <w:vAlign w:val="center"/>
          </w:tcPr>
          <w:p>
            <w:pPr>
              <w:jc w:val="center"/>
              <w:rPr>
                <w:rFonts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b/>
                <w:kern w:val="0"/>
                <w:szCs w:val="28"/>
              </w:rPr>
              <w:t>拆除重建类城市更新项目修正系数计算表</w:t>
            </w:r>
          </w:p>
        </w:tc>
        <w:tc>
          <w:tcPr>
            <w:tcW w:w="1984" w:type="dxa"/>
            <w:vMerge w:val="restart"/>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8"/>
              </w:rPr>
              <w:t>附表10</w:t>
            </w: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53、</w:t>
            </w:r>
            <w:r>
              <w:rPr>
                <w:rFonts w:hint="eastAsia" w:asciiTheme="minorEastAsia" w:hAnsiTheme="minorEastAsia" w:eastAsiaTheme="minorEastAsia"/>
                <w:szCs w:val="28"/>
              </w:rPr>
              <w:t>附表10</w:t>
            </w:r>
            <w:r>
              <w:rPr>
                <w:rFonts w:hint="eastAsia" w:asciiTheme="minorEastAsia" w:hAnsiTheme="minorEastAsia" w:eastAsiaTheme="minorEastAsia"/>
                <w:szCs w:val="21"/>
              </w:rPr>
              <w:t>第6条：“国有已批用地（除居住、商业服务业用地）改造为居住、商业服务业用地”缺少公共租赁住房、安居型商品房、人才住房的地价修正因子，建议按照《深圳市城市更新项目保障性住房配建规定》（深规土[2016]11号）第十条规定：“改造方向为居住用地的项目配建的安居型商品房，按该项目安居型商品房以外住宅部分应缴地价标准的50%计收地价，但最高不超过其按公告基准地价标准应计收的地价。改造方向为新型产业用地的城市更新项目建设的安居型商品房，按住宅类公告基准地价标准的50%计收地价”。</w:t>
            </w:r>
            <w:r>
              <w:rPr>
                <w:rFonts w:hint="eastAsia" w:asciiTheme="minorEastAsia" w:hAnsiTheme="minorEastAsia" w:eastAsiaTheme="minorEastAsia"/>
                <w:szCs w:val="28"/>
              </w:rPr>
              <w:t>（</w:t>
            </w:r>
            <w:r>
              <w:rPr>
                <w:rFonts w:hint="eastAsia" w:asciiTheme="minorEastAsia" w:hAnsiTheme="minorEastAsia" w:eastAsiaTheme="minorEastAsia"/>
                <w:b/>
                <w:szCs w:val="28"/>
              </w:rPr>
              <w:t>深圳市华嵘投资控股有限公司</w:t>
            </w:r>
            <w:r>
              <w:rPr>
                <w:rFonts w:hint="eastAsia" w:asciiTheme="minorEastAsia" w:hAnsiTheme="minorEastAsia" w:eastAsiaTheme="minorEastAsia"/>
                <w:szCs w:val="28"/>
              </w:rPr>
              <w:t>）</w:t>
            </w:r>
          </w:p>
        </w:tc>
        <w:tc>
          <w:tcPr>
            <w:tcW w:w="4763" w:type="dxa"/>
            <w:vAlign w:val="center"/>
          </w:tcPr>
          <w:p>
            <w:pPr>
              <w:jc w:val="center"/>
              <w:rPr>
                <w:rFonts w:asciiTheme="minorEastAsia" w:hAnsiTheme="minorEastAsia" w:eastAsiaTheme="minorEastAsia"/>
              </w:rPr>
            </w:pPr>
            <w:r>
              <w:rPr>
                <w:rFonts w:hint="eastAsia" w:asciiTheme="minorEastAsia" w:hAnsiTheme="minorEastAsia" w:eastAsiaTheme="minorEastAsia"/>
                <w:b/>
                <w:color w:val="00B050"/>
              </w:rPr>
              <w:t>采纳。</w:t>
            </w:r>
            <w:r>
              <w:rPr>
                <w:rFonts w:hint="eastAsia" w:asciiTheme="minorEastAsia" w:hAnsiTheme="minorEastAsia" w:eastAsiaTheme="minorEastAsia"/>
              </w:rPr>
              <w:t>公共租赁住房、安居型商品房、人才住房同样适用住宅地价修正因子。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8"/>
              </w:rPr>
            </w:pPr>
          </w:p>
        </w:tc>
        <w:tc>
          <w:tcPr>
            <w:tcW w:w="12582" w:type="dxa"/>
            <w:vAlign w:val="center"/>
          </w:tcPr>
          <w:p>
            <w:pPr>
              <w:ind w:firstLine="560" w:firstLineChars="200"/>
              <w:jc w:val="left"/>
              <w:rPr>
                <w:rFonts w:asciiTheme="minorEastAsia" w:hAnsiTheme="minorEastAsia" w:eastAsiaTheme="minorEastAsia"/>
                <w:szCs w:val="28"/>
              </w:rPr>
            </w:pPr>
            <w:r>
              <w:rPr>
                <w:rFonts w:hint="eastAsia" w:asciiTheme="minorEastAsia" w:hAnsiTheme="minorEastAsia" w:eastAsiaTheme="minorEastAsia"/>
                <w:szCs w:val="21"/>
              </w:rPr>
              <w:t>54、建议：</w:t>
            </w:r>
            <w:r>
              <w:rPr>
                <w:rFonts w:hint="eastAsia" w:asciiTheme="minorEastAsia" w:hAnsiTheme="minorEastAsia" w:eastAsiaTheme="minorEastAsia"/>
                <w:szCs w:val="28"/>
              </w:rPr>
              <w:t>附表10</w:t>
            </w:r>
            <w:r>
              <w:rPr>
                <w:rFonts w:hint="eastAsia" w:asciiTheme="minorEastAsia" w:hAnsiTheme="minorEastAsia" w:eastAsiaTheme="minorEastAsia"/>
                <w:szCs w:val="21"/>
              </w:rPr>
              <w:t>备注的第3条增加一条“改造方向为人才住房、保障性住房的，人才住房、保障性住房按照本项目住宅地价的0.3倍计收”</w:t>
            </w:r>
            <w:r>
              <w:rPr>
                <w:rFonts w:hint="eastAsia" w:asciiTheme="minorEastAsia" w:hAnsiTheme="minorEastAsia" w:eastAsiaTheme="minorEastAsia"/>
                <w:szCs w:val="28"/>
              </w:rPr>
              <w:t xml:space="preserve"> （</w:t>
            </w:r>
            <w:r>
              <w:rPr>
                <w:rFonts w:hint="eastAsia" w:asciiTheme="minorEastAsia" w:hAnsiTheme="minorEastAsia" w:eastAsiaTheme="minorEastAsia"/>
                <w:b/>
                <w:szCs w:val="28"/>
              </w:rPr>
              <w:t>深圳市华嵘投资控股有限公司</w:t>
            </w:r>
            <w:r>
              <w:rPr>
                <w:rFonts w:hint="eastAsia" w:asciiTheme="minorEastAsia" w:hAnsiTheme="minorEastAsia" w:eastAsiaTheme="minorEastAsia"/>
                <w:szCs w:val="28"/>
              </w:rPr>
              <w:t>）</w:t>
            </w:r>
          </w:p>
        </w:tc>
        <w:tc>
          <w:tcPr>
            <w:tcW w:w="4763" w:type="dxa"/>
            <w:vAlign w:val="center"/>
          </w:tcPr>
          <w:p>
            <w:pPr>
              <w:jc w:val="center"/>
              <w:rPr>
                <w:rFonts w:asciiTheme="minorEastAsia" w:hAnsiTheme="minorEastAsia" w:eastAsiaTheme="minorEastAsia"/>
              </w:rPr>
            </w:pPr>
            <w:r>
              <w:rPr>
                <w:rFonts w:hint="eastAsia" w:asciiTheme="minorEastAsia" w:hAnsiTheme="minorEastAsia" w:eastAsiaTheme="minorEastAsia"/>
                <w:b/>
                <w:color w:val="00B050"/>
              </w:rPr>
              <w:t>部分采纳。</w:t>
            </w:r>
            <w:r>
              <w:rPr>
                <w:rFonts w:hint="eastAsia" w:asciiTheme="minorEastAsia" w:hAnsiTheme="minorEastAsia" w:eastAsiaTheme="minorEastAsia"/>
              </w:rPr>
              <w:t>公共租赁住房、安居型商品房、人才住房同样适用住宅地价修正因子。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8"/>
              </w:rPr>
            </w:pPr>
          </w:p>
        </w:tc>
        <w:tc>
          <w:tcPr>
            <w:tcW w:w="12582" w:type="dxa"/>
            <w:vAlign w:val="center"/>
          </w:tcPr>
          <w:p>
            <w:pPr>
              <w:ind w:firstLine="560" w:firstLineChars="200"/>
              <w:jc w:val="left"/>
              <w:rPr>
                <w:rFonts w:asciiTheme="minorEastAsia" w:hAnsiTheme="minorEastAsia" w:eastAsiaTheme="minorEastAsia"/>
                <w:szCs w:val="28"/>
              </w:rPr>
            </w:pPr>
            <w:r>
              <w:rPr>
                <w:rFonts w:hint="eastAsia" w:asciiTheme="minorEastAsia" w:hAnsiTheme="minorEastAsia" w:eastAsiaTheme="minorEastAsia"/>
                <w:szCs w:val="28"/>
              </w:rPr>
              <w:t>55、建议：降低城市更新项目涉及工改商的地价系数。</w:t>
            </w:r>
          </w:p>
          <w:p>
            <w:pPr>
              <w:ind w:firstLine="562" w:firstLineChars="200"/>
              <w:jc w:val="left"/>
              <w:rPr>
                <w:rFonts w:asciiTheme="minorEastAsia" w:hAnsiTheme="minorEastAsia" w:eastAsiaTheme="minorEastAsia"/>
                <w:szCs w:val="28"/>
              </w:rPr>
            </w:pPr>
            <w:r>
              <w:rPr>
                <w:rFonts w:hint="eastAsia" w:asciiTheme="minorEastAsia" w:hAnsiTheme="minorEastAsia" w:eastAsiaTheme="minorEastAsia"/>
                <w:b/>
                <w:szCs w:val="28"/>
              </w:rPr>
              <w:t>理由</w:t>
            </w:r>
            <w:r>
              <w:rPr>
                <w:rFonts w:hint="eastAsia" w:asciiTheme="minorEastAsia" w:hAnsiTheme="minorEastAsia" w:eastAsiaTheme="minorEastAsia"/>
                <w:szCs w:val="28"/>
              </w:rPr>
              <w:t>：工改商地价已经非常高，深圳的工业厂房不论是物业补偿还是现金补偿都和住宅补偿基本持平，甚至超过了住宅的补偿标准，而且因为电商的影响，商业物业销售和经营艰难。</w:t>
            </w:r>
          </w:p>
          <w:p>
            <w:pPr>
              <w:ind w:firstLine="560" w:firstLineChars="200"/>
              <w:jc w:val="left"/>
              <w:rPr>
                <w:rFonts w:asciiTheme="minorEastAsia" w:hAnsiTheme="minorEastAsia" w:eastAsiaTheme="minorEastAsia"/>
                <w:szCs w:val="28"/>
              </w:rPr>
            </w:pPr>
            <w:r>
              <w:rPr>
                <w:rFonts w:hint="eastAsia" w:asciiTheme="minorEastAsia" w:hAnsiTheme="minorEastAsia" w:eastAsiaTheme="minorEastAsia"/>
                <w:szCs w:val="28"/>
              </w:rPr>
              <w:t>（</w:t>
            </w:r>
            <w:r>
              <w:rPr>
                <w:rFonts w:hint="eastAsia" w:asciiTheme="minorEastAsia" w:hAnsiTheme="minorEastAsia" w:eastAsiaTheme="minorEastAsia"/>
                <w:b/>
                <w:szCs w:val="28"/>
              </w:rPr>
              <w:t>深圳市恒裕实业（集团）有限公司</w:t>
            </w:r>
            <w:r>
              <w:rPr>
                <w:rFonts w:hint="eastAsia" w:asciiTheme="minorEastAsia" w:hAnsiTheme="minorEastAsia" w:eastAsiaTheme="minorEastAsia"/>
                <w:szCs w:val="28"/>
              </w:rPr>
              <w:t>）</w:t>
            </w:r>
            <w:r>
              <w:rPr>
                <w:rFonts w:hint="eastAsia" w:asciiTheme="minorEastAsia" w:hAnsiTheme="minorEastAsia" w:eastAsiaTheme="minorEastAsia"/>
                <w:b/>
                <w:szCs w:val="28"/>
              </w:rPr>
              <w:t>（深圳市优瑞商贸有限公司）</w:t>
            </w:r>
          </w:p>
        </w:tc>
        <w:tc>
          <w:tcPr>
            <w:tcW w:w="4763" w:type="dxa"/>
            <w:vAlign w:val="center"/>
          </w:tcPr>
          <w:p>
            <w:pPr>
              <w:jc w:val="center"/>
              <w:rPr>
                <w:rFonts w:asciiTheme="minorEastAsia" w:hAnsiTheme="minorEastAsia" w:eastAsiaTheme="minorEastAsia"/>
                <w:color w:val="FF0000"/>
              </w:rPr>
            </w:pPr>
            <w:r>
              <w:rPr>
                <w:rFonts w:hint="eastAsia" w:asciiTheme="minorEastAsia" w:hAnsiTheme="minorEastAsia" w:eastAsiaTheme="minorEastAsia"/>
                <w:b/>
                <w:color w:val="00B050"/>
              </w:rPr>
              <w:t>采纳。</w:t>
            </w:r>
            <w:r>
              <w:rPr>
                <w:rFonts w:hint="eastAsia" w:asciiTheme="minorEastAsia" w:hAnsiTheme="minorEastAsia" w:eastAsiaTheme="minorEastAsia"/>
              </w:rPr>
              <w:t>土地的市场价格已综合考虑市场条件及价格水平。与上一版征求意见稿相比，已经补充商业楼层修正系数，对于商业建筑面积占比较高的项目，已适当降低楼面地价的平均水平。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8"/>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56、建议：明确城市更新项目中配建产权归政府所有的公共租赁住房和人才住房等保障性住房免缴地价。</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理由：</w:t>
            </w:r>
            <w:r>
              <w:rPr>
                <w:rFonts w:hint="eastAsia" w:asciiTheme="minorEastAsia" w:hAnsiTheme="minorEastAsia" w:eastAsiaTheme="minorEastAsia"/>
                <w:szCs w:val="21"/>
              </w:rPr>
              <w:t>《深圳市规划和国土资源委员会关于印发《深圳市城市更新项目保障性住房配建比例暂行规定》的通知》（深规土[2010]843号）第十一条：城市更新项目中配建的保障性住房免缴地价，并由政府回购，产权归政府所有，回购价格按照保障性住房建造成本加百分之三利润的价格执行。</w:t>
            </w:r>
          </w:p>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b/>
                <w:szCs w:val="21"/>
              </w:rPr>
              <w:t>深圳市金地新沙房地产开发有限公司</w:t>
            </w:r>
            <w:r>
              <w:rPr>
                <w:rFonts w:hint="eastAsia" w:asciiTheme="minorEastAsia" w:hAnsiTheme="minorEastAsia" w:eastAsiaTheme="minorEastAsia"/>
                <w:szCs w:val="21"/>
              </w:rPr>
              <w:t>）</w:t>
            </w:r>
          </w:p>
        </w:tc>
        <w:tc>
          <w:tcPr>
            <w:tcW w:w="4763" w:type="dxa"/>
            <w:vMerge w:val="restart"/>
            <w:vAlign w:val="center"/>
          </w:tcPr>
          <w:p>
            <w:pPr>
              <w:jc w:val="center"/>
              <w:rPr>
                <w:rFonts w:asciiTheme="minorEastAsia" w:hAnsiTheme="minorEastAsia" w:eastAsiaTheme="minorEastAsia"/>
              </w:rPr>
            </w:pPr>
            <w:r>
              <w:rPr>
                <w:rFonts w:hint="eastAsia" w:asciiTheme="minorEastAsia" w:hAnsiTheme="minorEastAsia" w:eastAsiaTheme="minorEastAsia"/>
                <w:b/>
                <w:color w:val="00B050"/>
              </w:rPr>
              <w:t>采纳。</w:t>
            </w:r>
            <w:r>
              <w:rPr>
                <w:rFonts w:hint="eastAsia" w:asciiTheme="minorEastAsia" w:hAnsiTheme="minorEastAsia" w:eastAsiaTheme="minorEastAsia"/>
              </w:rPr>
              <w:t>在规则1.2中已做明确说明，产权归政府所有的建筑面积不计地价。</w:t>
            </w:r>
          </w:p>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8"/>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57、提问：城市更新项目中配建产权归政府所有的公共租赁住房和人才住房等保障性住房可否减免地价？    </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理由：</w:t>
            </w:r>
            <w:r>
              <w:rPr>
                <w:rFonts w:hint="eastAsia" w:asciiTheme="minorEastAsia" w:hAnsiTheme="minorEastAsia" w:eastAsiaTheme="minorEastAsia"/>
                <w:szCs w:val="21"/>
              </w:rPr>
              <w:t>《深圳市规划和国土资源委员会关于印发&lt;深圳市城市更新项目保障性住房配建规定&gt;的通知》(深规土〔2016) 11号)第十条规定:城市更新项目配建的公共租赁住房及搬迁安置用房，免缴地价，建成后由政府回购，产权归政府所有。改造方向为居住用地的项目配建的安居型商品房，按该项目安居型商品房以外住宅部分应缴地价标准的50%计收地价，但最高不超过其按公告基准地价标准应计收的地价。改造方向为新型产业用地的城市更新项目建设的安居型商品房，按住宅类公告基准地价标准的50%计收地价。《测算规则》(二次征求意见稿)提出我市供应建设用地使用权价格、租金及临时用地使用费的确定均以土地的市场价格为基础进行测算，并提出公共租赁住房、安居型商品房和人才住房的地价分别按照住宅类土地市场价格的30%, 30%和40%确定。对于城市更新项目中配建的产权归政府的公共租赁住房和人才住房等保障性住房是否可以明确减免地价?</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（深圳市城市更新开发企业协会）</w:t>
            </w:r>
          </w:p>
        </w:tc>
        <w:tc>
          <w:tcPr>
            <w:tcW w:w="4763" w:type="dxa"/>
            <w:vMerge w:val="continue"/>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8"/>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58、建议：附表10中第3款城中村用地的修正因子改为0.1×（1-5/r）；第4款旧屋村用地的修正因子分别改为0.1×（1-2/r）。</w:t>
            </w:r>
          </w:p>
          <w:p>
            <w:pPr>
              <w:ind w:firstLine="56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理由：</w:t>
            </w:r>
            <w:r>
              <w:rPr>
                <w:rFonts w:hint="eastAsia" w:asciiTheme="minorEastAsia" w:hAnsiTheme="minorEastAsia" w:eastAsiaTheme="minorEastAsia"/>
                <w:szCs w:val="21"/>
              </w:rPr>
              <w:t>《关于加强和改进城市更新实施工作暂行措施的通知》（深府办【2016】38号）大幅度提高了保障房的配建比例，直接减少城市更新项目的收益，为提高开发单位配建保障房的积极性，按《暂行措施》（深府办【2016】38号）配建保障房或人才公寓的城市更新单元，将城中村用地免缴地价的容积率从2.5提升至5.0，将旧屋村用地免缴地价的容积率从1.5提升至2.0。</w:t>
            </w:r>
          </w:p>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暂行措施》（深府办【2016】38号）实施期间，很多项目已经按要求配建保障房并完成包括非农建设用地的集体资产处置备案。《深圳市地价测算规则》在大幅提升地价的基础上降低了免缴地价的起点。此规定将加剧开发单位与集体经济组织的社会矛盾，不利于城市更新项目的推进转化。</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（匿名）</w:t>
            </w:r>
          </w:p>
        </w:tc>
        <w:tc>
          <w:tcPr>
            <w:tcW w:w="4763" w:type="dxa"/>
            <w:vAlign w:val="center"/>
          </w:tcPr>
          <w:p>
            <w:pPr>
              <w:jc w:val="center"/>
              <w:rPr>
                <w:rFonts w:asciiTheme="minorEastAsia" w:hAnsiTheme="minorEastAsia" w:eastAsiaTheme="minorEastAsia"/>
              </w:rPr>
            </w:pPr>
            <w:r>
              <w:rPr>
                <w:rFonts w:hint="eastAsia" w:asciiTheme="minorEastAsia" w:hAnsiTheme="minorEastAsia" w:eastAsiaTheme="minorEastAsia"/>
                <w:b/>
                <w:color w:val="00B050"/>
              </w:rPr>
              <w:t>采纳。</w:t>
            </w:r>
            <w:r>
              <w:rPr>
                <w:rFonts w:hint="eastAsia" w:asciiTheme="minorEastAsia" w:hAnsiTheme="minorEastAsia" w:eastAsiaTheme="minorEastAsia"/>
              </w:rPr>
              <w:t>按深府办〔2016〕38号文件要求配建人才住房、保障性住房或人才公寓的城市更新项目，已经在附表10的说明中给予0.8倍的系数修正。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8"/>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59、提问：附表10更新项目修正系数表中序号3和4的说明中，r为城市更新地价测算整体的平均容积率（地上容积部分），按照《深圳市城市更新单元规划容积率审查规定》中规划容积包括地上部分和地下部分，请问地下计容积率部分如何计收地下，此处如何衔接？</w:t>
            </w:r>
            <w:r>
              <w:rPr>
                <w:rFonts w:hint="eastAsia" w:asciiTheme="minorEastAsia" w:hAnsiTheme="minorEastAsia" w:eastAsiaTheme="minorEastAsia"/>
                <w:b/>
                <w:szCs w:val="21"/>
              </w:rPr>
              <w:t>（匿名）</w:t>
            </w:r>
          </w:p>
        </w:tc>
        <w:tc>
          <w:tcPr>
            <w:tcW w:w="4763" w:type="dxa"/>
            <w:vAlign w:val="center"/>
          </w:tcPr>
          <w:p>
            <w:pPr>
              <w:jc w:val="center"/>
              <w:rPr>
                <w:rFonts w:asciiTheme="minorEastAsia" w:hAnsiTheme="minorEastAsia" w:eastAsiaTheme="minorEastAsia"/>
              </w:rPr>
            </w:pPr>
            <w:r>
              <w:rPr>
                <w:rFonts w:hint="eastAsia" w:asciiTheme="minorEastAsia" w:hAnsiTheme="minorEastAsia" w:eastAsiaTheme="minorEastAsia"/>
                <w:b/>
                <w:color w:val="00B050"/>
              </w:rPr>
              <w:t>采纳。</w:t>
            </w:r>
            <w:r>
              <w:rPr>
                <w:rFonts w:hint="eastAsia" w:asciiTheme="minorEastAsia" w:hAnsiTheme="minorEastAsia" w:eastAsiaTheme="minorEastAsia"/>
              </w:rPr>
              <w:t>r为一个整体范围内全部开发建设用地的地上规定建筑面积+地下规定建筑面积之和与总用地面积的比值。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1"/>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60、建议：适当降低附表10序号6国有已批用地(除居住、商业服务业用地)改造为居住、商业服务业用地适用商业地价的修正系数。</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理由：</w:t>
            </w:r>
            <w:r>
              <w:rPr>
                <w:rFonts w:hint="eastAsia" w:asciiTheme="minorEastAsia" w:hAnsiTheme="minorEastAsia" w:eastAsiaTheme="minorEastAsia"/>
                <w:szCs w:val="21"/>
              </w:rPr>
              <w:t>附表10序号6国有已批用地(除居住、商业服务业用地)改造为居住、商业服务业用地适用商业地价修正因子偏高，按该系数计算的二层商业和五层商业的地价比按《暂行措施》规定的计算方式分别高48%和15%。因此，建议适当降低该修正系数。以下是演算示例。</w:t>
            </w:r>
          </w:p>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举例:龙华区某国有已出让工业改商业项目，商业基准地价2155元。</w:t>
            </w:r>
          </w:p>
          <w:p>
            <w:pPr>
              <w:ind w:firstLine="560" w:firstLineChars="200"/>
              <w:jc w:val="left"/>
              <w:rPr>
                <w:rFonts w:asciiTheme="minorEastAsia" w:hAnsiTheme="minorEastAsia" w:eastAsiaTheme="minorEastAsia"/>
                <w:szCs w:val="21"/>
                <w:vertAlign w:val="superscript"/>
              </w:rPr>
            </w:pPr>
            <w:r>
              <w:rPr>
                <w:rFonts w:hint="eastAsia" w:asciiTheme="minorEastAsia" w:hAnsiTheme="minorEastAsia" w:eastAsiaTheme="minorEastAsia"/>
                <w:szCs w:val="21"/>
              </w:rPr>
              <w:t>（1）按暂行措施计收地价标准:基准地价2155*5=10775元/m</w:t>
            </w:r>
            <w:r>
              <w:rPr>
                <w:rFonts w:hint="eastAsia" w:asciiTheme="minorEastAsia" w:hAnsiTheme="minorEastAsia" w:eastAsiaTheme="minorEastAsia"/>
                <w:szCs w:val="21"/>
                <w:vertAlign w:val="superscript"/>
              </w:rPr>
              <w:t>2</w:t>
            </w:r>
          </w:p>
          <w:p>
            <w:pPr>
              <w:ind w:firstLine="560" w:firstLineChars="200"/>
              <w:jc w:val="left"/>
              <w:rPr>
                <w:rFonts w:asciiTheme="minorEastAsia" w:hAnsiTheme="minorEastAsia" w:eastAsiaTheme="minorEastAsia"/>
                <w:szCs w:val="21"/>
                <w:vertAlign w:val="superscript"/>
              </w:rPr>
            </w:pPr>
            <w:r>
              <w:rPr>
                <w:rFonts w:hint="eastAsia" w:asciiTheme="minorEastAsia" w:hAnsiTheme="minorEastAsia" w:eastAsiaTheme="minorEastAsia"/>
                <w:szCs w:val="21"/>
              </w:rPr>
              <w:t>（2）按第二次征求意见稿，假设土地的市场价格按2层商业售价45000元/m</w:t>
            </w:r>
            <w:r>
              <w:rPr>
                <w:rFonts w:hint="eastAsia" w:asciiTheme="minorEastAsia" w:hAnsiTheme="minorEastAsia" w:eastAsiaTheme="minorEastAsia"/>
                <w:szCs w:val="21"/>
                <w:vertAlign w:val="superscript"/>
              </w:rPr>
              <w:t>2</w:t>
            </w:r>
            <w:r>
              <w:rPr>
                <w:rFonts w:hint="eastAsia" w:asciiTheme="minorEastAsia" w:hAnsiTheme="minorEastAsia" w:eastAsiaTheme="minorEastAsia"/>
                <w:szCs w:val="21"/>
              </w:rPr>
              <w:t>的30%=13500元/m</w:t>
            </w:r>
            <w:r>
              <w:rPr>
                <w:rFonts w:hint="eastAsia" w:asciiTheme="minorEastAsia" w:hAnsiTheme="minorEastAsia" w:eastAsiaTheme="minorEastAsia"/>
                <w:szCs w:val="21"/>
                <w:vertAlign w:val="superscript"/>
              </w:rPr>
              <w:t>2</w:t>
            </w:r>
            <w:r>
              <w:rPr>
                <w:rFonts w:hint="eastAsia" w:asciiTheme="minorEastAsia" w:hAnsiTheme="minorEastAsia" w:eastAsiaTheme="minorEastAsia"/>
                <w:szCs w:val="21"/>
              </w:rPr>
              <w:t>，计收地价标准为:土地市场价格13500元/m</w:t>
            </w:r>
            <w:r>
              <w:rPr>
                <w:rFonts w:hint="eastAsia" w:asciiTheme="minorEastAsia" w:hAnsiTheme="minorEastAsia" w:eastAsiaTheme="minorEastAsia"/>
                <w:szCs w:val="21"/>
                <w:vertAlign w:val="superscript"/>
              </w:rPr>
              <w:t>2</w:t>
            </w:r>
          </w:p>
          <w:p>
            <w:pPr>
              <w:ind w:firstLine="560" w:firstLineChars="200"/>
              <w:jc w:val="left"/>
              <w:rPr>
                <w:rFonts w:asciiTheme="minorEastAsia" w:hAnsiTheme="minorEastAsia" w:eastAsiaTheme="minorEastAsia"/>
                <w:szCs w:val="21"/>
                <w:vertAlign w:val="superscript"/>
              </w:rPr>
            </w:pPr>
            <w:r>
              <w:rPr>
                <w:rFonts w:hint="eastAsia" w:asciiTheme="minorEastAsia" w:hAnsiTheme="minorEastAsia" w:eastAsiaTheme="minorEastAsia"/>
                <w:szCs w:val="21"/>
              </w:rPr>
              <w:t>计收地价标准为:土地市场价格13500*商业建筑类型修正系数1*商业类土地使用年期修正系数1*允许分割转让产权限制修正系数l*商业层数修正系数（1.4613+1.169）/2*拆除重建类城市更新项目修正系数次序6第3项适用商业地价修正因子0.9=15980元/m</w:t>
            </w:r>
            <w:r>
              <w:rPr>
                <w:rFonts w:hint="eastAsia" w:asciiTheme="minorEastAsia" w:hAnsiTheme="minorEastAsia" w:eastAsiaTheme="minorEastAsia"/>
                <w:szCs w:val="21"/>
                <w:vertAlign w:val="superscript"/>
              </w:rPr>
              <w:t>2</w:t>
            </w:r>
            <w:r>
              <w:rPr>
                <w:rFonts w:hint="eastAsia" w:asciiTheme="minorEastAsia" w:hAnsiTheme="minorEastAsia" w:eastAsiaTheme="minorEastAsia"/>
                <w:szCs w:val="21"/>
              </w:rPr>
              <w:t>。</w:t>
            </w:r>
          </w:p>
          <w:p>
            <w:pPr>
              <w:ind w:firstLine="560" w:firstLineChars="200"/>
              <w:jc w:val="center"/>
              <w:rPr>
                <w:rFonts w:asciiTheme="minorEastAsia" w:hAnsiTheme="minorEastAsia" w:eastAsiaTheme="minorEastAsia"/>
                <w:szCs w:val="21"/>
              </w:rPr>
            </w:pPr>
            <w:r>
              <w:drawing>
                <wp:inline distT="0" distB="0" distL="0" distR="0">
                  <wp:extent cx="5207000" cy="119316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00980" cy="1191891"/>
                          </a:xfrm>
                          <a:prstGeom prst="rect">
                            <a:avLst/>
                          </a:prstGeom>
                        </pic:spPr>
                      </pic:pic>
                    </a:graphicData>
                  </a:graphic>
                </wp:inline>
              </w:drawing>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（深圳市城市更新开发企业协会）</w:t>
            </w:r>
          </w:p>
        </w:tc>
        <w:tc>
          <w:tcPr>
            <w:tcW w:w="4763" w:type="dxa"/>
            <w:vAlign w:val="center"/>
          </w:tcPr>
          <w:p>
            <w:pPr>
              <w:jc w:val="center"/>
              <w:rPr>
                <w:rFonts w:asciiTheme="minorEastAsia" w:hAnsiTheme="minorEastAsia" w:eastAsiaTheme="minorEastAsia"/>
              </w:rPr>
            </w:pPr>
            <w:r>
              <w:rPr>
                <w:rFonts w:hint="eastAsia" w:asciiTheme="minorEastAsia" w:hAnsiTheme="minorEastAsia" w:eastAsiaTheme="minorEastAsia"/>
                <w:b/>
                <w:color w:val="FF0000"/>
              </w:rPr>
              <w:t>解释。</w:t>
            </w:r>
            <w:r>
              <w:rPr>
                <w:rFonts w:hint="eastAsia" w:asciiTheme="minorEastAsia" w:hAnsiTheme="minorEastAsia" w:eastAsiaTheme="minorEastAsia"/>
              </w:rPr>
              <w:t>政策理解不准确。商业楼层修正系数引用有误。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1"/>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61、建议：附表10 第6条第2款“国有已批居住、商业服务业用地改造为居住、商业服务业用地”的说明项改为“经市政府批准的游乐设施用地改造为居住、商业服务用地的，按相应修正因子的2.5倍计算”</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理由：</w:t>
            </w:r>
            <w:r>
              <w:rPr>
                <w:rFonts w:hint="eastAsia" w:asciiTheme="minorEastAsia" w:hAnsiTheme="minorEastAsia" w:eastAsiaTheme="minorEastAsia"/>
                <w:szCs w:val="21"/>
              </w:rPr>
              <w:t>从全国范围来看，主要一二线城市商业用地基准地价为游乐类用地基准地价的2.4-3.6倍（中位数为2.8倍），并考虑到《地价测算》附表1中商业用地的建筑类型修正系数为游乐设施用地的2.5倍。（</w:t>
            </w:r>
            <w:r>
              <w:rPr>
                <w:rFonts w:hint="eastAsia" w:asciiTheme="minorEastAsia" w:hAnsiTheme="minorEastAsia" w:eastAsiaTheme="minorEastAsia"/>
                <w:b/>
                <w:szCs w:val="21"/>
              </w:rPr>
              <w:t>深圳市第六届人大代表：姚建辉</w:t>
            </w:r>
            <w:r>
              <w:rPr>
                <w:rFonts w:hint="eastAsia" w:asciiTheme="minorEastAsia" w:hAnsiTheme="minorEastAsia" w:eastAsiaTheme="minorEastAsia"/>
                <w:szCs w:val="21"/>
              </w:rPr>
              <w:t>）</w:t>
            </w:r>
          </w:p>
        </w:tc>
        <w:tc>
          <w:tcPr>
            <w:tcW w:w="4763" w:type="dxa"/>
            <w:vAlign w:val="center"/>
          </w:tcPr>
          <w:p>
            <w:pPr>
              <w:jc w:val="center"/>
              <w:rPr>
                <w:rFonts w:asciiTheme="minorEastAsia" w:hAnsiTheme="minorEastAsia" w:eastAsiaTheme="minorEastAsia"/>
                <w:iCs/>
                <w:color w:val="000000" w:themeColor="text1"/>
                <w:szCs w:val="21"/>
                <w14:textFill>
                  <w14:solidFill>
                    <w14:schemeClr w14:val="tx1"/>
                  </w14:solidFill>
                </w14:textFill>
              </w:rPr>
            </w:pPr>
            <w:r>
              <w:rPr>
                <w:rFonts w:hint="eastAsia" w:asciiTheme="minorEastAsia" w:hAnsiTheme="minorEastAsia" w:eastAsiaTheme="minorEastAsia"/>
                <w:b/>
                <w:iCs/>
                <w:color w:val="FF0000"/>
              </w:rPr>
              <w:t>解释。</w:t>
            </w:r>
            <w:r>
              <w:rPr>
                <w:rFonts w:hint="eastAsia" w:asciiTheme="minorEastAsia" w:hAnsiTheme="minorEastAsia" w:eastAsiaTheme="minorEastAsia"/>
                <w:iCs/>
                <w:color w:val="000000" w:themeColor="text1"/>
                <w14:textFill>
                  <w14:solidFill>
                    <w14:schemeClr w14:val="tx1"/>
                  </w14:solidFill>
                </w14:textFill>
              </w:rPr>
              <w:t>在本规则制定过程中，已按照</w:t>
            </w:r>
            <w:r>
              <w:rPr>
                <w:rFonts w:hint="eastAsia" w:asciiTheme="minorEastAsia" w:hAnsiTheme="minorEastAsia" w:eastAsiaTheme="minorEastAsia"/>
                <w:iCs/>
                <w:color w:val="000000" w:themeColor="text1"/>
                <w:szCs w:val="21"/>
                <w14:textFill>
                  <w14:solidFill>
                    <w14:schemeClr w14:val="tx1"/>
                  </w14:solidFill>
                </w14:textFill>
              </w:rPr>
              <w:t>商业用地地价与游乐类用地地价关系以及相应市场价格水平进行了充分测算。</w:t>
            </w:r>
          </w:p>
          <w:p>
            <w:pPr>
              <w:jc w:val="center"/>
              <w:rPr>
                <w:rFonts w:asciiTheme="minorEastAsia" w:hAnsiTheme="minorEastAsia" w:eastAsiaTheme="minorEastAsia"/>
                <w:i/>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1"/>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62、建议：适当调低附表10第6款第一条：“国有已批用地改造为工业用地、物流仓储用地”，第二条“国有已批用地（除居住、商业服务业用地）改造为居住、商业服务业用地”的修正因子系数。</w:t>
            </w:r>
          </w:p>
          <w:p>
            <w:pPr>
              <w:ind w:firstLine="56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理由：</w:t>
            </w:r>
            <w:r>
              <w:rPr>
                <w:rFonts w:hint="eastAsia" w:asciiTheme="minorEastAsia" w:hAnsiTheme="minorEastAsia" w:eastAsiaTheme="minorEastAsia"/>
                <w:szCs w:val="21"/>
              </w:rPr>
              <w:t>目前深圳市大部分城市更新项目的市场可售的物业占计容建筑面积的比例很低，平均为30%-40%，取中间值35%。把回迁建筑面积的补缴地价折合到可售建筑面积部分，单方可售楼面地价为单方补缴地价的2-3倍。本政策规定工改居住的修正因子为0.4，则折合到单方可售楼面地价为单方补缴地价的0.8-1.2倍，即为市场地价的0.8-1.2倍；工改商的修正因子为0.9，则折合到单方可售楼面地价为单方补缴地价的1.8-2.7倍，即为市场地价的1.8-2.7倍；此外还要负担沉重的建安成本、拆迁费用（装修费、搬迁费、过渡安置费、停产停业补偿费、签约奖励金）以及城市更新项目前期高昂的融资成本。</w:t>
            </w:r>
            <w:r>
              <w:rPr>
                <w:rFonts w:hint="eastAsia" w:asciiTheme="minorEastAsia" w:hAnsiTheme="minorEastAsia" w:eastAsiaTheme="minorEastAsia"/>
                <w:b/>
                <w:szCs w:val="21"/>
              </w:rPr>
              <w:t>（匿名）</w:t>
            </w:r>
          </w:p>
        </w:tc>
        <w:tc>
          <w:tcPr>
            <w:tcW w:w="4763" w:type="dxa"/>
            <w:vMerge w:val="restart"/>
            <w:vAlign w:val="center"/>
          </w:tcPr>
          <w:p>
            <w:pPr>
              <w:jc w:val="center"/>
              <w:rPr>
                <w:rFonts w:asciiTheme="minorEastAsia" w:hAnsiTheme="minorEastAsia" w:eastAsiaTheme="minorEastAsia"/>
              </w:rPr>
            </w:pPr>
          </w:p>
          <w:p>
            <w:pPr>
              <w:jc w:val="center"/>
              <w:rPr>
                <w:rFonts w:asciiTheme="minorEastAsia" w:hAnsiTheme="minorEastAsia" w:eastAsiaTheme="minorEastAsia"/>
              </w:rPr>
            </w:pPr>
            <w:r>
              <w:rPr>
                <w:rFonts w:hint="eastAsia" w:asciiTheme="minorEastAsia" w:hAnsiTheme="minorEastAsia" w:eastAsiaTheme="minorEastAsia"/>
                <w:b/>
                <w:bCs/>
                <w:color w:val="FF0000"/>
              </w:rPr>
              <w:t>解释。</w:t>
            </w:r>
            <w:r>
              <w:rPr>
                <w:rFonts w:hint="eastAsia" w:asciiTheme="minorEastAsia" w:hAnsiTheme="minorEastAsia" w:eastAsiaTheme="minorEastAsia"/>
              </w:rPr>
              <w:t>在本规则制定过程中，已充分考虑了此前相关政策对存量土地开发利用的支持，总体上保证了政策调整前后城市更新项目平均地价水平的基本平稳和顺畅过渡，不宜过度降低个别类型的地价水平。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1"/>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63、建议：附表10中拆除重建类城市更新项目，相同用地类别中，商业办公、工业的修正系数与住宅相同。</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理由:</w:t>
            </w:r>
            <w:r>
              <w:rPr>
                <w:rFonts w:hint="eastAsia" w:asciiTheme="minorEastAsia" w:hAnsiTheme="minorEastAsia" w:eastAsiaTheme="minorEastAsia"/>
                <w:szCs w:val="21"/>
              </w:rPr>
              <w:t>拆除重建类城市更新项目的各类型开发物业指标在专项规划申报阶段根据相关政策确定；其次，根据标定地价系数修正法和剩余法进行评估得出的各类型物业土地市场价格已充分体现了各类型</w:t>
            </w:r>
          </w:p>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物业在估价时点时不同类型物业的市场价格的差异，而附表10中拆除重建类城市更新项目，相同用地类别中，商业、办公和工业的修正系数比住宅高。</w:t>
            </w:r>
            <w:r>
              <w:rPr>
                <w:rFonts w:hint="eastAsia" w:asciiTheme="minorEastAsia" w:hAnsiTheme="minorEastAsia" w:eastAsiaTheme="minorEastAsia"/>
                <w:b/>
                <w:szCs w:val="21"/>
              </w:rPr>
              <w:t>（恒大地产集团(深圳)有限公司）</w:t>
            </w:r>
          </w:p>
        </w:tc>
        <w:tc>
          <w:tcPr>
            <w:tcW w:w="4763" w:type="dxa"/>
            <w:vMerge w:val="continue"/>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1"/>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64、建议：在新地价体系考虑城市更新项目的现状密度，对于现状密度高的项目给予一定的地价优惠，保证项目能够经济可行。</w:t>
            </w:r>
            <w:r>
              <w:rPr>
                <w:rFonts w:hint="eastAsia" w:asciiTheme="minorEastAsia" w:hAnsiTheme="minorEastAsia" w:eastAsiaTheme="minorEastAsia"/>
                <w:b/>
                <w:szCs w:val="21"/>
              </w:rPr>
              <w:t>（匿名）</w:t>
            </w:r>
          </w:p>
        </w:tc>
        <w:tc>
          <w:tcPr>
            <w:tcW w:w="4763" w:type="dxa"/>
            <w:vMerge w:val="continue"/>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1"/>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65、建议：对于城市发展，为保证匿名利益，从优化土地资源配置、提高土地利用效率、提高项目的实施率出发，应鼓励开发单位利用低效用地进行二次开发。在城市更新项目的开发建设中，开发单位承担着保障性住房、公共配套设施等的微利、无偿建设任务，按照新地价规定还需补缴额外的地价，而资金压力很大程度影响着开发单位的积极性及配合度。</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理由：</w:t>
            </w:r>
            <w:r>
              <w:rPr>
                <w:rFonts w:hint="eastAsia" w:asciiTheme="minorEastAsia" w:hAnsiTheme="minorEastAsia" w:eastAsiaTheme="minorEastAsia"/>
                <w:szCs w:val="21"/>
              </w:rPr>
              <w:t>为创造更好、更优的市民发展及生活环境，应有更多的实际措施鼓励开发单位进行社会贡献。而减轻开发单位在取得土地时因一次性支付土地出让金所造成的财务风险，分摊运营过程中资金压力，才能将更多资金投入生产经营环节,加快城市更新进程。因此，对于城市更新贡献率高的项目（如贡献率达40%以上），建议考虑按比例合理给予地价缴纳的激励、优惠政策，如降低地价系数、延长剩余地价的缴纳时间等措施。</w:t>
            </w:r>
            <w:r>
              <w:rPr>
                <w:rFonts w:hint="eastAsia" w:asciiTheme="minorEastAsia" w:hAnsiTheme="minorEastAsia" w:eastAsiaTheme="minorEastAsia"/>
                <w:b/>
                <w:szCs w:val="21"/>
              </w:rPr>
              <w:t>（深圳市福田建设房地产开发（集团）股份有限公司）</w:t>
            </w:r>
          </w:p>
        </w:tc>
        <w:tc>
          <w:tcPr>
            <w:tcW w:w="4763" w:type="dxa"/>
            <w:vAlign w:val="center"/>
          </w:tcPr>
          <w:p>
            <w:pPr>
              <w:jc w:val="center"/>
              <w:rPr>
                <w:rFonts w:asciiTheme="minorEastAsia" w:hAnsiTheme="minorEastAsia" w:eastAsiaTheme="minorEastAsia"/>
              </w:rPr>
            </w:pPr>
            <w:r>
              <w:rPr>
                <w:rFonts w:hint="eastAsia" w:asciiTheme="minorEastAsia" w:hAnsiTheme="minorEastAsia" w:eastAsiaTheme="minorEastAsia"/>
                <w:b/>
                <w:color w:val="FF0000"/>
              </w:rPr>
              <w:t>解释。</w:t>
            </w:r>
            <w:r>
              <w:rPr>
                <w:rFonts w:hint="eastAsia" w:asciiTheme="minorEastAsia" w:hAnsiTheme="minorEastAsia" w:eastAsiaTheme="minorEastAsia"/>
              </w:rPr>
              <w:t>《深圳市拆除重建类城市更新单元规划容积率审查规定》中已在城市更新项目容积率测算方面考虑了土地贡献率的影响，地价政策不宜和土地贡献率挂钩。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1"/>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66、建议：《深圳市地价测算规则》实施后缴纳地价应与实施前缴纳地价差额不超过一定比例，以稳定城市更新参与者的权益关系，随着标定地价的每年第一季度更新，做到稳步上涨或下浮，避免缴纳地价的大涨大跌。</w:t>
            </w:r>
            <w:r>
              <w:rPr>
                <w:rFonts w:hint="eastAsia" w:asciiTheme="minorEastAsia" w:hAnsiTheme="minorEastAsia" w:eastAsiaTheme="minorEastAsia"/>
                <w:b/>
                <w:szCs w:val="21"/>
              </w:rPr>
              <w:t>（匿名）</w:t>
            </w:r>
          </w:p>
        </w:tc>
        <w:tc>
          <w:tcPr>
            <w:tcW w:w="4763" w:type="dxa"/>
            <w:vAlign w:val="center"/>
          </w:tcPr>
          <w:p>
            <w:pPr>
              <w:jc w:val="center"/>
              <w:rPr>
                <w:rFonts w:asciiTheme="minorEastAsia" w:hAnsiTheme="minorEastAsia" w:eastAsiaTheme="minorEastAsia"/>
              </w:rPr>
            </w:pPr>
            <w:r>
              <w:rPr>
                <w:rFonts w:hint="eastAsia" w:asciiTheme="minorEastAsia" w:hAnsiTheme="minorEastAsia" w:eastAsiaTheme="minorEastAsia"/>
                <w:b/>
                <w:bCs/>
                <w:color w:val="FF0000"/>
              </w:rPr>
              <w:t>解释。</w:t>
            </w:r>
            <w:r>
              <w:rPr>
                <w:rFonts w:hint="eastAsia" w:asciiTheme="minorEastAsia" w:hAnsiTheme="minorEastAsia" w:eastAsiaTheme="minorEastAsia"/>
              </w:rPr>
              <w:t>本规则制定过程中考虑了此前相关政策对存量土地利用的政策倾斜和支持，总体上保证了政策调整前后城市更新项目平均地价水平的基本平稳和顺畅过渡。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4"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1"/>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67、建议：贡献用地的面积对应的地价应当在可建“工改保”地块中应交的地价款中予以扣除。</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理由：</w:t>
            </w:r>
            <w:r>
              <w:rPr>
                <w:rFonts w:hint="eastAsia" w:asciiTheme="minorEastAsia" w:hAnsiTheme="minorEastAsia" w:eastAsiaTheme="minorEastAsia"/>
                <w:szCs w:val="21"/>
              </w:rPr>
              <w:t>“工改保”项目都有做出贡献：工改保用地大部分都配建了学校、道路和配套设施。</w:t>
            </w:r>
            <w:r>
              <w:rPr>
                <w:rFonts w:hint="eastAsia" w:asciiTheme="minorEastAsia" w:hAnsiTheme="minorEastAsia" w:eastAsiaTheme="minorEastAsia"/>
                <w:b/>
                <w:szCs w:val="21"/>
              </w:rPr>
              <w:t>（匿名）</w:t>
            </w:r>
          </w:p>
        </w:tc>
        <w:tc>
          <w:tcPr>
            <w:tcW w:w="4763" w:type="dxa"/>
            <w:vAlign w:val="center"/>
          </w:tcPr>
          <w:p>
            <w:pPr>
              <w:jc w:val="center"/>
              <w:rPr>
                <w:rFonts w:asciiTheme="minorEastAsia" w:hAnsiTheme="minorEastAsia" w:eastAsiaTheme="minorEastAsia"/>
              </w:rPr>
            </w:pPr>
            <w:r>
              <w:rPr>
                <w:rFonts w:hint="eastAsia" w:asciiTheme="minorEastAsia" w:hAnsiTheme="minorEastAsia" w:eastAsiaTheme="minorEastAsia"/>
                <w:b/>
                <w:color w:val="FF0000"/>
              </w:rPr>
              <w:t>解释。</w:t>
            </w:r>
            <w:r>
              <w:rPr>
                <w:rFonts w:hint="eastAsia" w:asciiTheme="minorEastAsia" w:hAnsiTheme="minorEastAsia" w:eastAsiaTheme="minorEastAsia"/>
              </w:rPr>
              <w:t>《深圳市拆除重建类城市更新单元规划容积率审查规定》中已在城市更新项目容积率测算方面考虑了用地贡献因素，给予一定的容积率转移，且城市更新项目是按照开发建设用地的建筑面积计收地价，与贡献用地面积不存在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890" w:type="dxa"/>
            <w:vMerge w:val="continue"/>
            <w:vAlign w:val="center"/>
          </w:tcPr>
          <w:p>
            <w:pPr>
              <w:jc w:val="center"/>
              <w:rPr>
                <w:rFonts w:asciiTheme="minorEastAsia" w:hAnsiTheme="minorEastAsia" w:eastAsiaTheme="minorEastAsia"/>
                <w:color w:val="000000"/>
                <w:szCs w:val="28"/>
              </w:rPr>
            </w:pPr>
          </w:p>
        </w:tc>
        <w:tc>
          <w:tcPr>
            <w:tcW w:w="1792" w:type="dxa"/>
            <w:vMerge w:val="continue"/>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1984" w:type="dxa"/>
            <w:vMerge w:val="continue"/>
            <w:vAlign w:val="center"/>
          </w:tcPr>
          <w:p>
            <w:pPr>
              <w:jc w:val="center"/>
              <w:rPr>
                <w:rFonts w:asciiTheme="minorEastAsia" w:hAnsiTheme="minorEastAsia" w:eastAsiaTheme="minorEastAsia"/>
                <w:color w:val="000000"/>
                <w:szCs w:val="21"/>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68、建议：《规则》增加配套设施的地价标准。</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理由：</w:t>
            </w:r>
            <w:r>
              <w:rPr>
                <w:rFonts w:hint="eastAsia" w:asciiTheme="minorEastAsia" w:hAnsiTheme="minorEastAsia" w:eastAsiaTheme="minorEastAsia"/>
                <w:szCs w:val="21"/>
              </w:rPr>
              <w:t>今年2月，贵局曾发布通告征求《深圳市工业楼宇及配套设施转让管理办法（征求意见稿）》的修改意见，该征求意见稿规定了配套设施转让的相关规定，但该类配套设施在《规则》中没有对应地价标准，或者说并未区分转让及不转让的相应标准，建议还是增加对应的标准为宜。</w:t>
            </w:r>
            <w:r>
              <w:rPr>
                <w:rFonts w:hint="eastAsia" w:asciiTheme="minorEastAsia" w:hAnsiTheme="minorEastAsia" w:eastAsiaTheme="minorEastAsia"/>
                <w:b/>
                <w:szCs w:val="21"/>
              </w:rPr>
              <w:t>（深圳玮城置业有限公司）</w:t>
            </w:r>
          </w:p>
        </w:tc>
        <w:tc>
          <w:tcPr>
            <w:tcW w:w="4763" w:type="dxa"/>
            <w:vAlign w:val="center"/>
          </w:tcPr>
          <w:p>
            <w:pPr>
              <w:jc w:val="center"/>
              <w:rPr>
                <w:rFonts w:asciiTheme="minorEastAsia" w:hAnsiTheme="minorEastAsia" w:eastAsiaTheme="minorEastAsia"/>
              </w:rPr>
            </w:pPr>
            <w:r>
              <w:rPr>
                <w:rFonts w:hint="eastAsia" w:asciiTheme="minorEastAsia" w:hAnsiTheme="minorEastAsia" w:eastAsiaTheme="minorEastAsia"/>
                <w:b/>
                <w:color w:val="00B050"/>
              </w:rPr>
              <w:t>采纳。</w:t>
            </w:r>
            <w:r>
              <w:rPr>
                <w:rFonts w:hint="eastAsia" w:asciiTheme="minorEastAsia" w:hAnsiTheme="minorEastAsia" w:eastAsiaTheme="minorEastAsia"/>
              </w:rPr>
              <w:t>工业楼宇的配套设施按照其建筑类型适用相应的地价类型修正系数。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90" w:type="dxa"/>
            <w:vMerge w:val="restart"/>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11</w:t>
            </w:r>
          </w:p>
        </w:tc>
        <w:tc>
          <w:tcPr>
            <w:tcW w:w="1792" w:type="dxa"/>
            <w:vMerge w:val="restart"/>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其他</w:t>
            </w:r>
          </w:p>
        </w:tc>
        <w:tc>
          <w:tcPr>
            <w:tcW w:w="1984" w:type="dxa"/>
            <w:vMerge w:val="restart"/>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其他</w:t>
            </w: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69、建议：商业、办公的标定地价相比住宅给予一定比例的折减。</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理由：</w:t>
            </w:r>
            <w:r>
              <w:rPr>
                <w:rFonts w:hint="eastAsia" w:asciiTheme="minorEastAsia" w:hAnsiTheme="minorEastAsia" w:eastAsiaTheme="minorEastAsia"/>
                <w:szCs w:val="21"/>
              </w:rPr>
              <w:t>基本上目前商业基准地价高于住宅。</w:t>
            </w:r>
            <w:r>
              <w:rPr>
                <w:rFonts w:hint="eastAsia" w:asciiTheme="minorEastAsia" w:hAnsiTheme="minorEastAsia" w:eastAsiaTheme="minorEastAsia"/>
                <w:b/>
                <w:szCs w:val="21"/>
              </w:rPr>
              <w:t>（深圳市欣吉成投资有限公司）</w:t>
            </w:r>
          </w:p>
        </w:tc>
        <w:tc>
          <w:tcPr>
            <w:tcW w:w="4763" w:type="dxa"/>
            <w:vAlign w:val="center"/>
          </w:tcPr>
          <w:p>
            <w:pPr>
              <w:jc w:val="center"/>
              <w:rPr>
                <w:rFonts w:asciiTheme="minorEastAsia" w:hAnsiTheme="minorEastAsia" w:eastAsiaTheme="minorEastAsia"/>
                <w:bCs/>
              </w:rPr>
            </w:pPr>
            <w:r>
              <w:rPr>
                <w:rFonts w:asciiTheme="minorEastAsia" w:hAnsiTheme="minorEastAsia" w:eastAsiaTheme="minorEastAsia"/>
                <w:b/>
                <w:bCs/>
                <w:color w:val="FF0000"/>
              </w:rPr>
              <w:t>解释。</w:t>
            </w:r>
            <w:r>
              <w:rPr>
                <w:rFonts w:hint="eastAsia" w:asciiTheme="minorEastAsia" w:hAnsiTheme="minorEastAsia" w:eastAsiaTheme="minorEastAsia"/>
                <w:b/>
                <w:bCs/>
                <w:color w:val="FF0000"/>
              </w:rPr>
              <w:t>商业类型的</w:t>
            </w:r>
            <w:r>
              <w:rPr>
                <w:rFonts w:hint="eastAsia" w:asciiTheme="minorEastAsia" w:hAnsiTheme="minorEastAsia" w:eastAsiaTheme="minorEastAsia"/>
                <w:bCs/>
              </w:rPr>
              <w:t>标定地价经过楼层修正后的综合单价低于住宅类型综合单价。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890" w:type="dxa"/>
            <w:vMerge w:val="continue"/>
            <w:vAlign w:val="center"/>
          </w:tcPr>
          <w:p>
            <w:pPr>
              <w:jc w:val="center"/>
              <w:rPr>
                <w:rFonts w:cs="宋体" w:asciiTheme="minorEastAsia" w:hAnsiTheme="minorEastAsia" w:eastAsiaTheme="minorEastAsia"/>
                <w:color w:val="000000"/>
                <w:szCs w:val="21"/>
              </w:rPr>
            </w:pPr>
          </w:p>
        </w:tc>
        <w:tc>
          <w:tcPr>
            <w:tcW w:w="1792" w:type="dxa"/>
            <w:vMerge w:val="continue"/>
            <w:vAlign w:val="center"/>
          </w:tcPr>
          <w:p>
            <w:pPr>
              <w:jc w:val="center"/>
              <w:rPr>
                <w:rFonts w:asciiTheme="minorEastAsia" w:hAnsiTheme="minorEastAsia" w:eastAsiaTheme="minorEastAsia"/>
                <w:color w:val="000000"/>
                <w:szCs w:val="21"/>
              </w:rPr>
            </w:pPr>
          </w:p>
        </w:tc>
        <w:tc>
          <w:tcPr>
            <w:tcW w:w="1984" w:type="dxa"/>
            <w:vMerge w:val="continue"/>
            <w:vAlign w:val="center"/>
          </w:tcPr>
          <w:p>
            <w:pPr>
              <w:jc w:val="center"/>
              <w:rPr>
                <w:rFonts w:cs="宋体" w:asciiTheme="minorEastAsia" w:hAnsiTheme="minorEastAsia" w:eastAsiaTheme="minorEastAsia"/>
                <w:color w:val="000000"/>
                <w:szCs w:val="21"/>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70、建议：降低工改M1及MO的地价修正系数。</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理由：</w:t>
            </w:r>
            <w:r>
              <w:rPr>
                <w:rFonts w:hint="eastAsia" w:asciiTheme="minorEastAsia" w:hAnsiTheme="minorEastAsia" w:eastAsiaTheme="minorEastAsia"/>
                <w:szCs w:val="21"/>
              </w:rPr>
              <w:t>新政策对于工业楼宇有转让限制，工改工项目对于开发商运营难度较大，以降低工改工项目地价成本，提高开发商做工改工项目的积极性。</w:t>
            </w:r>
          </w:p>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建议：对现状容积率高的项目给予地价折减</w:t>
            </w:r>
            <w:r>
              <w:rPr>
                <w:rFonts w:hint="eastAsia" w:asciiTheme="minorEastAsia" w:hAnsiTheme="minorEastAsia" w:eastAsiaTheme="minorEastAsia"/>
                <w:b/>
                <w:szCs w:val="21"/>
              </w:rPr>
              <w:t>（深圳市欣吉成投资有限公司）</w:t>
            </w:r>
          </w:p>
        </w:tc>
        <w:tc>
          <w:tcPr>
            <w:tcW w:w="4763" w:type="dxa"/>
            <w:vAlign w:val="center"/>
          </w:tcPr>
          <w:p>
            <w:pPr>
              <w:jc w:val="center"/>
              <w:rPr>
                <w:rFonts w:asciiTheme="minorEastAsia" w:hAnsiTheme="minorEastAsia" w:eastAsiaTheme="minorEastAsia"/>
              </w:rPr>
            </w:pPr>
            <w:r>
              <w:rPr>
                <w:rFonts w:hint="eastAsia" w:asciiTheme="minorEastAsia" w:hAnsiTheme="minorEastAsia" w:eastAsiaTheme="minorEastAsia"/>
                <w:b/>
                <w:bCs/>
                <w:color w:val="FF0000"/>
              </w:rPr>
              <w:t>解释。</w:t>
            </w:r>
            <w:r>
              <w:rPr>
                <w:rFonts w:hint="eastAsia" w:asciiTheme="minorEastAsia" w:hAnsiTheme="minorEastAsia" w:eastAsiaTheme="minorEastAsia"/>
                <w:bCs/>
              </w:rPr>
              <w:t>对于工改工城市更新项目的厂房、研发用房在不得转让情形时不计收地价，且在本规则制定过程中，已充分考虑了此前相关政策对存量土地开发利用的支持，总体上保证了政策调整前后城市更新项目平均地价水平的基本平稳和顺畅过渡，不宜过度降低个别改造类型的地价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90" w:type="dxa"/>
            <w:vMerge w:val="continue"/>
            <w:vAlign w:val="center"/>
          </w:tcPr>
          <w:p>
            <w:pPr>
              <w:jc w:val="center"/>
              <w:rPr>
                <w:rFonts w:cs="宋体" w:asciiTheme="minorEastAsia" w:hAnsiTheme="minorEastAsia" w:eastAsiaTheme="minorEastAsia"/>
                <w:color w:val="000000"/>
                <w:szCs w:val="21"/>
              </w:rPr>
            </w:pPr>
          </w:p>
        </w:tc>
        <w:tc>
          <w:tcPr>
            <w:tcW w:w="1792" w:type="dxa"/>
            <w:vMerge w:val="continue"/>
            <w:vAlign w:val="center"/>
          </w:tcPr>
          <w:p>
            <w:pPr>
              <w:jc w:val="center"/>
              <w:rPr>
                <w:rFonts w:asciiTheme="minorEastAsia" w:hAnsiTheme="minorEastAsia" w:eastAsiaTheme="minorEastAsia"/>
                <w:color w:val="000000"/>
                <w:szCs w:val="21"/>
              </w:rPr>
            </w:pPr>
          </w:p>
        </w:tc>
        <w:tc>
          <w:tcPr>
            <w:tcW w:w="1984" w:type="dxa"/>
            <w:vMerge w:val="continue"/>
            <w:vAlign w:val="center"/>
          </w:tcPr>
          <w:p>
            <w:pPr>
              <w:jc w:val="center"/>
              <w:rPr>
                <w:rFonts w:cs="宋体" w:asciiTheme="minorEastAsia" w:hAnsiTheme="minorEastAsia" w:eastAsiaTheme="minorEastAsia"/>
                <w:color w:val="000000"/>
                <w:szCs w:val="21"/>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71、提问：通则中1.3土地的市场价格定义中提到的土地市场价格与附则中4.2标定地价成果是否是一个概念或者一个意思？如果是请统一前后名词，如果不是，应当说明二者的关系；</w:t>
            </w:r>
            <w:r>
              <w:rPr>
                <w:rFonts w:hint="eastAsia" w:asciiTheme="minorEastAsia" w:hAnsiTheme="minorEastAsia" w:eastAsiaTheme="minorEastAsia"/>
                <w:b/>
                <w:szCs w:val="21"/>
              </w:rPr>
              <w:t>（"会飞的鱼" &lt;704155642@qq.com&gt;）</w:t>
            </w:r>
          </w:p>
        </w:tc>
        <w:tc>
          <w:tcPr>
            <w:tcW w:w="4763" w:type="dxa"/>
            <w:vAlign w:val="center"/>
          </w:tcPr>
          <w:p>
            <w:pPr>
              <w:jc w:val="center"/>
              <w:rPr>
                <w:rFonts w:asciiTheme="minorEastAsia" w:hAnsiTheme="minorEastAsia" w:eastAsiaTheme="minorEastAsia"/>
              </w:rPr>
            </w:pPr>
            <w:r>
              <w:rPr>
                <w:rFonts w:hint="eastAsia" w:asciiTheme="minorEastAsia" w:hAnsiTheme="minorEastAsia" w:eastAsiaTheme="minorEastAsia"/>
                <w:b/>
                <w:color w:val="00B050"/>
              </w:rPr>
              <w:t>采纳。</w:t>
            </w:r>
            <w:r>
              <w:rPr>
                <w:rFonts w:hint="eastAsia" w:asciiTheme="minorEastAsia" w:hAnsiTheme="minorEastAsia" w:eastAsiaTheme="minorEastAsia"/>
                <w:bCs/>
              </w:rPr>
              <w:t>已在规则1.3中明确。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890" w:type="dxa"/>
            <w:vMerge w:val="continue"/>
            <w:vAlign w:val="center"/>
          </w:tcPr>
          <w:p>
            <w:pPr>
              <w:jc w:val="center"/>
              <w:rPr>
                <w:rFonts w:cs="宋体" w:asciiTheme="minorEastAsia" w:hAnsiTheme="minorEastAsia" w:eastAsiaTheme="minorEastAsia"/>
                <w:color w:val="000000"/>
                <w:szCs w:val="21"/>
              </w:rPr>
            </w:pPr>
          </w:p>
        </w:tc>
        <w:tc>
          <w:tcPr>
            <w:tcW w:w="1792" w:type="dxa"/>
            <w:vMerge w:val="continue"/>
            <w:vAlign w:val="center"/>
          </w:tcPr>
          <w:p>
            <w:pPr>
              <w:jc w:val="center"/>
              <w:rPr>
                <w:rFonts w:asciiTheme="minorEastAsia" w:hAnsiTheme="minorEastAsia" w:eastAsiaTheme="minorEastAsia"/>
                <w:color w:val="000000"/>
                <w:szCs w:val="21"/>
              </w:rPr>
            </w:pPr>
          </w:p>
        </w:tc>
        <w:tc>
          <w:tcPr>
            <w:tcW w:w="1984" w:type="dxa"/>
            <w:vMerge w:val="continue"/>
            <w:vAlign w:val="center"/>
          </w:tcPr>
          <w:p>
            <w:pPr>
              <w:jc w:val="center"/>
              <w:rPr>
                <w:rFonts w:cs="宋体" w:asciiTheme="minorEastAsia" w:hAnsiTheme="minorEastAsia" w:eastAsiaTheme="minorEastAsia"/>
                <w:color w:val="000000"/>
                <w:szCs w:val="21"/>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72、2003年，中国南山开发集团与原深圳市规划与国土资源局签订《关于处理赤湾港用地有关问题的协议》（以下简称“大协议”），协议地块的土地使用权按3.67亿作价入股我司（25%股份），即我司已缴纳了部分土地使用权地价，同时代政府填海造地投入的综合成本9.17亿元，此两部分在缴地价时抵扣。其次在完善分宗用地手续时不再签订土地出让合同，而是土地增补协议。我司多年来建设项目均按以下原则办理开发用地手续及缴交地价：1、对“大协议”范围内房地产转为商品房或作为商品房开发的，按市场地价（“大协议”中的市场地价即为基准地价）扣除土地成本并按剩余年限修正后计收；2、对超出“大协议”约定总量建筑指标的按全额市场地价（不扣减土地成本）。</w:t>
            </w:r>
          </w:p>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如按照新的地价测算规则，取消基准地价，基准地价与原市场评估地价直接接轨，新的应缴地价原则，已不能体现因政府折价入股南山并占我司（25%股份）所体现的对应缴地价的支持，同时“大协议”约定的地价缴交原则无法执行。</w:t>
            </w:r>
          </w:p>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虽测算规则中约定：因处理历史遗留问题涉及地价测算与本规则不一致的，由市自然资源行政主管部门（含授权或 委托部门）确定地价计收原则，报市政府确定。但我司后续尚有多宗用地需要办理完善手续，如一事一报，行政程序漫长，将严重阻滞我司的报建和开发工作。因此，我司建议：</w:t>
            </w:r>
          </w:p>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一、</w:t>
            </w:r>
            <w:r>
              <w:rPr>
                <w:rFonts w:hint="eastAsia" w:asciiTheme="minorEastAsia" w:hAnsiTheme="minorEastAsia" w:eastAsiaTheme="minorEastAsia"/>
                <w:szCs w:val="21"/>
              </w:rPr>
              <w:tab/>
            </w:r>
            <w:r>
              <w:rPr>
                <w:rFonts w:hint="eastAsia" w:asciiTheme="minorEastAsia" w:hAnsiTheme="minorEastAsia" w:eastAsiaTheme="minorEastAsia"/>
                <w:szCs w:val="21"/>
              </w:rPr>
              <w:t>请贵局综合考虑，在地价测算规则中予以明确计收方法，减少行政审批程序，维护企业的合法利益。</w:t>
            </w:r>
          </w:p>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二、</w:t>
            </w:r>
            <w:r>
              <w:rPr>
                <w:rFonts w:hint="eastAsia" w:asciiTheme="minorEastAsia" w:hAnsiTheme="minorEastAsia" w:eastAsiaTheme="minorEastAsia"/>
                <w:szCs w:val="21"/>
              </w:rPr>
              <w:tab/>
            </w:r>
            <w:r>
              <w:rPr>
                <w:rFonts w:hint="eastAsia" w:asciiTheme="minorEastAsia" w:hAnsiTheme="minorEastAsia" w:eastAsiaTheme="minorEastAsia"/>
                <w:szCs w:val="21"/>
              </w:rPr>
              <w:t>“大协议”范围内用地应视为已供应用地，如我司自用非商品房项目转为商品房项目，地价测算按《深圳市地价测算规则》2.1条，以变更土地利用条件（非商品房变更为商品房）补缴地价差额，并抵扣我司已投入的综合土地成本。</w:t>
            </w:r>
          </w:p>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三、</w:t>
            </w:r>
            <w:r>
              <w:rPr>
                <w:rFonts w:hint="eastAsia" w:asciiTheme="minorEastAsia" w:hAnsiTheme="minorEastAsia" w:eastAsiaTheme="minorEastAsia"/>
                <w:szCs w:val="21"/>
              </w:rPr>
              <w:tab/>
            </w:r>
            <w:r>
              <w:rPr>
                <w:rFonts w:hint="eastAsia" w:asciiTheme="minorEastAsia" w:hAnsiTheme="minorEastAsia" w:eastAsiaTheme="minorEastAsia"/>
                <w:szCs w:val="21"/>
              </w:rPr>
              <w:t>我司在签订“大协议”之前已竣工验收的非商品住宅、办公及工业用途房地产，地价测算按《深圳市地价测算规则》2.4条：参照2001年8月6日前，以协议方式供应的非商品性质住宅（不含政策性、保障性和人才住房）竣工验收后，经批准进入市场的应补缴地价，按2.1条测算结果的20%计收。</w:t>
            </w:r>
            <w:r>
              <w:rPr>
                <w:rFonts w:hint="eastAsia" w:asciiTheme="minorEastAsia" w:hAnsiTheme="minorEastAsia" w:eastAsiaTheme="minorEastAsia"/>
                <w:b/>
                <w:szCs w:val="21"/>
              </w:rPr>
              <w:t>（中国南山开发（集团）股份有限公司）</w:t>
            </w:r>
          </w:p>
        </w:tc>
        <w:tc>
          <w:tcPr>
            <w:tcW w:w="4763" w:type="dxa"/>
            <w:vAlign w:val="center"/>
          </w:tcPr>
          <w:p>
            <w:pPr>
              <w:jc w:val="center"/>
              <w:rPr>
                <w:rFonts w:asciiTheme="minorEastAsia" w:hAnsiTheme="minorEastAsia" w:eastAsiaTheme="minorEastAsia"/>
              </w:rPr>
            </w:pPr>
            <w:r>
              <w:rPr>
                <w:rFonts w:hint="eastAsia" w:asciiTheme="minorEastAsia" w:hAnsiTheme="minorEastAsia" w:eastAsiaTheme="minorEastAsia"/>
                <w:b/>
                <w:bCs/>
                <w:color w:val="FF0000"/>
              </w:rPr>
              <w:t>解释。</w:t>
            </w:r>
            <w:r>
              <w:rPr>
                <w:rFonts w:hint="eastAsia" w:asciiTheme="minorEastAsia" w:hAnsiTheme="minorEastAsia" w:eastAsiaTheme="minorEastAsia"/>
                <w:bCs/>
              </w:rPr>
              <w:t>地价测算原则上均适用于本规则，因处理历史遗留问题涉及的地价测算与本规则不一致的，由主管部门确定地价计收原则后报市政府确定。。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890" w:type="dxa"/>
            <w:vMerge w:val="continue"/>
            <w:vAlign w:val="center"/>
          </w:tcPr>
          <w:p>
            <w:pPr>
              <w:jc w:val="center"/>
              <w:rPr>
                <w:rFonts w:cs="宋体" w:asciiTheme="minorEastAsia" w:hAnsiTheme="minorEastAsia" w:eastAsiaTheme="minorEastAsia"/>
                <w:color w:val="000000"/>
                <w:szCs w:val="21"/>
              </w:rPr>
            </w:pPr>
          </w:p>
        </w:tc>
        <w:tc>
          <w:tcPr>
            <w:tcW w:w="1792" w:type="dxa"/>
            <w:vMerge w:val="continue"/>
            <w:vAlign w:val="center"/>
          </w:tcPr>
          <w:p>
            <w:pPr>
              <w:jc w:val="center"/>
              <w:rPr>
                <w:rFonts w:asciiTheme="minorEastAsia" w:hAnsiTheme="minorEastAsia" w:eastAsiaTheme="minorEastAsia"/>
                <w:color w:val="000000"/>
                <w:szCs w:val="21"/>
              </w:rPr>
            </w:pPr>
          </w:p>
        </w:tc>
        <w:tc>
          <w:tcPr>
            <w:tcW w:w="1984" w:type="dxa"/>
            <w:vMerge w:val="continue"/>
            <w:vAlign w:val="center"/>
          </w:tcPr>
          <w:p>
            <w:pPr>
              <w:jc w:val="center"/>
              <w:rPr>
                <w:rFonts w:cs="宋体" w:asciiTheme="minorEastAsia" w:hAnsiTheme="minorEastAsia" w:eastAsiaTheme="minorEastAsia"/>
                <w:color w:val="000000"/>
                <w:szCs w:val="21"/>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73、建议：将土地分等定级的思路引入到项目修正系数中。对于不同类型用地，增加项目有利因素修正系数与不利因素修正系数，譬如对于居住用地而言，紧邻中小学算是有利因素，紧邻垃圾处理厂算不利因素。进行有利因素与不利因素修正可以避免：两块土地所有因素基本相同，但一个紧邻不利因素一个紧邻有利因素，按本规则测算出地价基本一致的情况。这种修正也体现了对土地“市场价格”逼近。</w:t>
            </w:r>
            <w:r>
              <w:rPr>
                <w:rFonts w:hint="eastAsia" w:asciiTheme="minorEastAsia" w:hAnsiTheme="minorEastAsia" w:eastAsiaTheme="minorEastAsia"/>
                <w:b/>
                <w:szCs w:val="21"/>
              </w:rPr>
              <w:t>（匿名）</w:t>
            </w:r>
          </w:p>
        </w:tc>
        <w:tc>
          <w:tcPr>
            <w:tcW w:w="4763" w:type="dxa"/>
            <w:vAlign w:val="center"/>
          </w:tcPr>
          <w:p>
            <w:pPr>
              <w:jc w:val="center"/>
              <w:rPr>
                <w:rFonts w:asciiTheme="minorEastAsia" w:hAnsiTheme="minorEastAsia" w:eastAsiaTheme="minorEastAsia"/>
              </w:rPr>
            </w:pPr>
            <w:r>
              <w:rPr>
                <w:rFonts w:hint="eastAsia" w:asciiTheme="minorEastAsia" w:hAnsiTheme="minorEastAsia" w:eastAsiaTheme="minorEastAsia"/>
                <w:b/>
                <w:color w:val="00B050"/>
              </w:rPr>
              <w:t>采纳。</w:t>
            </w:r>
            <w:r>
              <w:rPr>
                <w:rFonts w:hint="eastAsia" w:asciiTheme="minorEastAsia" w:hAnsiTheme="minorEastAsia" w:eastAsiaTheme="minorEastAsia"/>
                <w:bCs/>
              </w:rPr>
              <w:t>在地价评估过程中已充分考虑各种影响因子。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890" w:type="dxa"/>
            <w:vMerge w:val="continue"/>
            <w:vAlign w:val="center"/>
          </w:tcPr>
          <w:p>
            <w:pPr>
              <w:jc w:val="center"/>
              <w:rPr>
                <w:rFonts w:cs="宋体" w:asciiTheme="minorEastAsia" w:hAnsiTheme="minorEastAsia" w:eastAsiaTheme="minorEastAsia"/>
                <w:color w:val="000000"/>
                <w:szCs w:val="21"/>
              </w:rPr>
            </w:pPr>
          </w:p>
        </w:tc>
        <w:tc>
          <w:tcPr>
            <w:tcW w:w="1792" w:type="dxa"/>
            <w:vMerge w:val="continue"/>
            <w:vAlign w:val="center"/>
          </w:tcPr>
          <w:p>
            <w:pPr>
              <w:jc w:val="center"/>
              <w:rPr>
                <w:rFonts w:asciiTheme="minorEastAsia" w:hAnsiTheme="minorEastAsia" w:eastAsiaTheme="minorEastAsia"/>
                <w:color w:val="000000"/>
                <w:szCs w:val="21"/>
              </w:rPr>
            </w:pPr>
          </w:p>
        </w:tc>
        <w:tc>
          <w:tcPr>
            <w:tcW w:w="1984" w:type="dxa"/>
            <w:vMerge w:val="continue"/>
            <w:vAlign w:val="center"/>
          </w:tcPr>
          <w:p>
            <w:pPr>
              <w:jc w:val="center"/>
              <w:rPr>
                <w:rFonts w:cs="宋体" w:asciiTheme="minorEastAsia" w:hAnsiTheme="minorEastAsia" w:eastAsiaTheme="minorEastAsia"/>
                <w:color w:val="000000"/>
                <w:szCs w:val="21"/>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74、建议：尽快公布标定地价，以便评估对现有城市更新项目的影响程度</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理由：</w:t>
            </w:r>
            <w:r>
              <w:rPr>
                <w:rFonts w:hint="eastAsia" w:asciiTheme="minorEastAsia" w:hAnsiTheme="minorEastAsia" w:eastAsiaTheme="minorEastAsia"/>
                <w:szCs w:val="21"/>
              </w:rPr>
              <w:t>目前，在只发布《测算规则》（第二次征求意见稿）而没有标定地价的情况下，企业无法测算新规定对项目的影响程度，特别是对于长周期运作的城市更新项目，对业界带来较大的影响。因此，建议尽快公布标定地价信息，以便业界评估新规对城市更新项目的实际影响程度，进而提出更有针对性的建议。</w:t>
            </w:r>
            <w:r>
              <w:rPr>
                <w:rFonts w:hint="eastAsia" w:asciiTheme="minorEastAsia" w:hAnsiTheme="minorEastAsia" w:eastAsiaTheme="minorEastAsia"/>
                <w:b/>
                <w:szCs w:val="21"/>
              </w:rPr>
              <w:t>（深圳市城市更新开发企业协会）</w:t>
            </w:r>
          </w:p>
        </w:tc>
        <w:tc>
          <w:tcPr>
            <w:tcW w:w="4763" w:type="dxa"/>
            <w:vAlign w:val="center"/>
          </w:tcPr>
          <w:p>
            <w:pPr>
              <w:jc w:val="center"/>
              <w:rPr>
                <w:rFonts w:asciiTheme="minorEastAsia" w:hAnsiTheme="minorEastAsia" w:eastAsiaTheme="minorEastAsia"/>
              </w:rPr>
            </w:pPr>
            <w:r>
              <w:rPr>
                <w:rFonts w:hint="eastAsia" w:asciiTheme="minorEastAsia" w:hAnsiTheme="minorEastAsia" w:eastAsiaTheme="minorEastAsia"/>
                <w:b/>
                <w:color w:val="00B050"/>
              </w:rPr>
              <w:t>采纳。</w:t>
            </w:r>
            <w:r>
              <w:rPr>
                <w:rFonts w:hint="eastAsia" w:asciiTheme="minorEastAsia" w:hAnsiTheme="minorEastAsia" w:eastAsiaTheme="minorEastAsia"/>
                <w:bCs/>
              </w:rPr>
              <w:t>标定地价经市政府审批通过后公布。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890" w:type="dxa"/>
            <w:vMerge w:val="continue"/>
            <w:vAlign w:val="center"/>
          </w:tcPr>
          <w:p>
            <w:pPr>
              <w:jc w:val="center"/>
              <w:rPr>
                <w:rFonts w:cs="宋体" w:asciiTheme="minorEastAsia" w:hAnsiTheme="minorEastAsia" w:eastAsiaTheme="minorEastAsia"/>
                <w:color w:val="000000"/>
                <w:szCs w:val="21"/>
              </w:rPr>
            </w:pPr>
          </w:p>
        </w:tc>
        <w:tc>
          <w:tcPr>
            <w:tcW w:w="1792" w:type="dxa"/>
            <w:vMerge w:val="continue"/>
            <w:vAlign w:val="center"/>
          </w:tcPr>
          <w:p>
            <w:pPr>
              <w:jc w:val="center"/>
              <w:rPr>
                <w:rFonts w:asciiTheme="minorEastAsia" w:hAnsiTheme="minorEastAsia" w:eastAsiaTheme="minorEastAsia"/>
                <w:color w:val="000000"/>
                <w:szCs w:val="21"/>
              </w:rPr>
            </w:pPr>
          </w:p>
        </w:tc>
        <w:tc>
          <w:tcPr>
            <w:tcW w:w="1984" w:type="dxa"/>
            <w:vMerge w:val="continue"/>
            <w:vAlign w:val="center"/>
          </w:tcPr>
          <w:p>
            <w:pPr>
              <w:jc w:val="center"/>
              <w:rPr>
                <w:rFonts w:cs="宋体" w:asciiTheme="minorEastAsia" w:hAnsiTheme="minorEastAsia" w:eastAsiaTheme="minorEastAsia"/>
                <w:color w:val="000000"/>
                <w:szCs w:val="21"/>
              </w:rPr>
            </w:pPr>
          </w:p>
        </w:tc>
        <w:tc>
          <w:tcPr>
            <w:tcW w:w="12582" w:type="dxa"/>
            <w:vAlign w:val="center"/>
          </w:tcPr>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75、建议：公布标定地价成果后进行第三次征求意见。</w:t>
            </w:r>
          </w:p>
          <w:p>
            <w:pPr>
              <w:ind w:firstLine="562" w:firstLineChars="200"/>
              <w:jc w:val="left"/>
              <w:rPr>
                <w:rFonts w:asciiTheme="minorEastAsia" w:hAnsiTheme="minorEastAsia" w:eastAsiaTheme="minorEastAsia"/>
                <w:szCs w:val="21"/>
              </w:rPr>
            </w:pPr>
            <w:r>
              <w:rPr>
                <w:rFonts w:hint="eastAsia" w:asciiTheme="minorEastAsia" w:hAnsiTheme="minorEastAsia" w:eastAsiaTheme="minorEastAsia"/>
                <w:b/>
                <w:szCs w:val="21"/>
              </w:rPr>
              <w:t>理由：</w:t>
            </w:r>
            <w:r>
              <w:rPr>
                <w:rFonts w:hint="eastAsia" w:asciiTheme="minorEastAsia" w:hAnsiTheme="minorEastAsia" w:eastAsiaTheme="minorEastAsia"/>
                <w:szCs w:val="21"/>
              </w:rPr>
              <w:t>规土委未公布标定地价成果，大部分开发单位对关于修正系数对已实施项目的补缴地价的影响没有概念，故对修正系数提的意见较少，本次地价测算规则对城市更新项目补缴地价的涨幅较大。</w:t>
            </w:r>
          </w:p>
          <w:p>
            <w:pPr>
              <w:ind w:firstLine="560" w:firstLineChars="200"/>
              <w:jc w:val="left"/>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b/>
                <w:szCs w:val="21"/>
              </w:rPr>
              <w:t>匿名</w:t>
            </w:r>
            <w:r>
              <w:rPr>
                <w:rFonts w:hint="eastAsia" w:asciiTheme="minorEastAsia" w:hAnsiTheme="minorEastAsia" w:eastAsiaTheme="minorEastAsia"/>
                <w:szCs w:val="21"/>
              </w:rPr>
              <w:t xml:space="preserve">） </w:t>
            </w:r>
          </w:p>
        </w:tc>
        <w:tc>
          <w:tcPr>
            <w:tcW w:w="4763" w:type="dxa"/>
            <w:vAlign w:val="center"/>
          </w:tcPr>
          <w:p>
            <w:pPr>
              <w:rPr>
                <w:rFonts w:asciiTheme="minorEastAsia" w:hAnsiTheme="minorEastAsia" w:eastAsiaTheme="minorEastAsia"/>
              </w:rPr>
            </w:pPr>
            <w:r>
              <w:rPr>
                <w:rFonts w:hint="eastAsia" w:asciiTheme="minorEastAsia" w:hAnsiTheme="minorEastAsia" w:eastAsiaTheme="minorEastAsia"/>
                <w:b/>
                <w:bCs/>
                <w:color w:val="FF0000"/>
              </w:rPr>
              <w:t>解释。</w:t>
            </w:r>
            <w:r>
              <w:rPr>
                <w:rFonts w:hint="eastAsia" w:asciiTheme="minorEastAsia" w:hAnsiTheme="minorEastAsia" w:eastAsiaTheme="minorEastAsia"/>
                <w:bCs/>
              </w:rPr>
              <w:t>根据市政府相关规定执行。</w:t>
            </w:r>
          </w:p>
        </w:tc>
      </w:tr>
    </w:tbl>
    <w:p>
      <w:pPr>
        <w:rPr>
          <w:rFonts w:ascii="仿宋_GB2312" w:hAnsi="仿宋_GB2312"/>
          <w:color w:val="000000" w:themeColor="text1"/>
          <w:szCs w:val="21"/>
          <w14:textFill>
            <w14:solidFill>
              <w14:schemeClr w14:val="tx1"/>
            </w14:solidFill>
          </w14:textFill>
        </w:rPr>
      </w:pPr>
    </w:p>
    <w:sectPr>
      <w:footerReference r:id="rId3" w:type="default"/>
      <w:footerReference r:id="rId4" w:type="even"/>
      <w:pgSz w:w="23814" w:h="16839" w:orient="landscape"/>
      <w:pgMar w:top="720" w:right="720" w:bottom="720" w:left="851"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3</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00F87EC9"/>
    <w:rsid w:val="000006AE"/>
    <w:rsid w:val="00006285"/>
    <w:rsid w:val="00006CD7"/>
    <w:rsid w:val="0001308A"/>
    <w:rsid w:val="00015064"/>
    <w:rsid w:val="000152BF"/>
    <w:rsid w:val="00017F44"/>
    <w:rsid w:val="0002319A"/>
    <w:rsid w:val="0002372D"/>
    <w:rsid w:val="00026925"/>
    <w:rsid w:val="00027867"/>
    <w:rsid w:val="0003027D"/>
    <w:rsid w:val="00082B04"/>
    <w:rsid w:val="00091598"/>
    <w:rsid w:val="00093CF6"/>
    <w:rsid w:val="0009427A"/>
    <w:rsid w:val="000B0699"/>
    <w:rsid w:val="000B22CC"/>
    <w:rsid w:val="000B4633"/>
    <w:rsid w:val="000D0FA2"/>
    <w:rsid w:val="000D1F4B"/>
    <w:rsid w:val="000D23D0"/>
    <w:rsid w:val="000E225D"/>
    <w:rsid w:val="000E4422"/>
    <w:rsid w:val="000F05D5"/>
    <w:rsid w:val="000F2094"/>
    <w:rsid w:val="000F2E3B"/>
    <w:rsid w:val="001113A7"/>
    <w:rsid w:val="00112049"/>
    <w:rsid w:val="0011394B"/>
    <w:rsid w:val="00114EB4"/>
    <w:rsid w:val="00115C3D"/>
    <w:rsid w:val="001206DC"/>
    <w:rsid w:val="0012167F"/>
    <w:rsid w:val="00121B4F"/>
    <w:rsid w:val="0013090B"/>
    <w:rsid w:val="00133C6F"/>
    <w:rsid w:val="0013489E"/>
    <w:rsid w:val="001353F0"/>
    <w:rsid w:val="00141A8E"/>
    <w:rsid w:val="00150822"/>
    <w:rsid w:val="00157CD5"/>
    <w:rsid w:val="00160B11"/>
    <w:rsid w:val="00165C2A"/>
    <w:rsid w:val="00173FAD"/>
    <w:rsid w:val="0018047C"/>
    <w:rsid w:val="00180760"/>
    <w:rsid w:val="001833BF"/>
    <w:rsid w:val="001862E9"/>
    <w:rsid w:val="001906E0"/>
    <w:rsid w:val="001A4E2D"/>
    <w:rsid w:val="001B2FEB"/>
    <w:rsid w:val="001C651A"/>
    <w:rsid w:val="001D39F8"/>
    <w:rsid w:val="001E3C30"/>
    <w:rsid w:val="001F35DC"/>
    <w:rsid w:val="002012F5"/>
    <w:rsid w:val="00203D80"/>
    <w:rsid w:val="00210985"/>
    <w:rsid w:val="0021223D"/>
    <w:rsid w:val="00213A66"/>
    <w:rsid w:val="00217C7B"/>
    <w:rsid w:val="002223CB"/>
    <w:rsid w:val="0023434E"/>
    <w:rsid w:val="00250D61"/>
    <w:rsid w:val="00257390"/>
    <w:rsid w:val="00262C52"/>
    <w:rsid w:val="00265278"/>
    <w:rsid w:val="0027043F"/>
    <w:rsid w:val="002753AE"/>
    <w:rsid w:val="00276DB5"/>
    <w:rsid w:val="002801E4"/>
    <w:rsid w:val="00286681"/>
    <w:rsid w:val="002871C2"/>
    <w:rsid w:val="0029011D"/>
    <w:rsid w:val="002935C8"/>
    <w:rsid w:val="00295210"/>
    <w:rsid w:val="00296651"/>
    <w:rsid w:val="002976FE"/>
    <w:rsid w:val="002A1AD8"/>
    <w:rsid w:val="002A68B7"/>
    <w:rsid w:val="002B5750"/>
    <w:rsid w:val="002B7BF8"/>
    <w:rsid w:val="002D0406"/>
    <w:rsid w:val="002D56E1"/>
    <w:rsid w:val="002D652B"/>
    <w:rsid w:val="002E254F"/>
    <w:rsid w:val="002E293B"/>
    <w:rsid w:val="002E4781"/>
    <w:rsid w:val="002F13D0"/>
    <w:rsid w:val="00302499"/>
    <w:rsid w:val="00303AC0"/>
    <w:rsid w:val="00310131"/>
    <w:rsid w:val="00310D2F"/>
    <w:rsid w:val="003144BC"/>
    <w:rsid w:val="0032182B"/>
    <w:rsid w:val="00322BF3"/>
    <w:rsid w:val="0032345B"/>
    <w:rsid w:val="00326942"/>
    <w:rsid w:val="00333EA0"/>
    <w:rsid w:val="00341F6D"/>
    <w:rsid w:val="00343FD3"/>
    <w:rsid w:val="00345695"/>
    <w:rsid w:val="00352767"/>
    <w:rsid w:val="0036211D"/>
    <w:rsid w:val="0036402C"/>
    <w:rsid w:val="00366359"/>
    <w:rsid w:val="00370066"/>
    <w:rsid w:val="003736A1"/>
    <w:rsid w:val="00391641"/>
    <w:rsid w:val="003936A2"/>
    <w:rsid w:val="003966AA"/>
    <w:rsid w:val="003979EA"/>
    <w:rsid w:val="003A599A"/>
    <w:rsid w:val="003B01CA"/>
    <w:rsid w:val="003B2E59"/>
    <w:rsid w:val="003B5E51"/>
    <w:rsid w:val="003B73FB"/>
    <w:rsid w:val="003C0B75"/>
    <w:rsid w:val="003C44E1"/>
    <w:rsid w:val="003E17F6"/>
    <w:rsid w:val="003E48D1"/>
    <w:rsid w:val="003F36E3"/>
    <w:rsid w:val="003F43A1"/>
    <w:rsid w:val="003F6540"/>
    <w:rsid w:val="0040494C"/>
    <w:rsid w:val="00406426"/>
    <w:rsid w:val="004065D3"/>
    <w:rsid w:val="00410029"/>
    <w:rsid w:val="00422DBF"/>
    <w:rsid w:val="00422EF3"/>
    <w:rsid w:val="00423EC3"/>
    <w:rsid w:val="0042422F"/>
    <w:rsid w:val="004305C9"/>
    <w:rsid w:val="00432B8F"/>
    <w:rsid w:val="00436D9D"/>
    <w:rsid w:val="00437090"/>
    <w:rsid w:val="00437E5B"/>
    <w:rsid w:val="00444427"/>
    <w:rsid w:val="00444862"/>
    <w:rsid w:val="004455B8"/>
    <w:rsid w:val="0045066B"/>
    <w:rsid w:val="00453D62"/>
    <w:rsid w:val="00473A8A"/>
    <w:rsid w:val="00474D58"/>
    <w:rsid w:val="004770D7"/>
    <w:rsid w:val="00482851"/>
    <w:rsid w:val="00484967"/>
    <w:rsid w:val="004850B7"/>
    <w:rsid w:val="004867B4"/>
    <w:rsid w:val="004A67D1"/>
    <w:rsid w:val="004A6996"/>
    <w:rsid w:val="004A7DBD"/>
    <w:rsid w:val="004B1339"/>
    <w:rsid w:val="004B66B5"/>
    <w:rsid w:val="004C24A1"/>
    <w:rsid w:val="004C7531"/>
    <w:rsid w:val="004D0DFC"/>
    <w:rsid w:val="004D51ED"/>
    <w:rsid w:val="004E7D25"/>
    <w:rsid w:val="004F3660"/>
    <w:rsid w:val="004F5FAF"/>
    <w:rsid w:val="00500676"/>
    <w:rsid w:val="00507131"/>
    <w:rsid w:val="00515AD7"/>
    <w:rsid w:val="0052396C"/>
    <w:rsid w:val="00532948"/>
    <w:rsid w:val="005424B1"/>
    <w:rsid w:val="00557E63"/>
    <w:rsid w:val="00562F44"/>
    <w:rsid w:val="00574C29"/>
    <w:rsid w:val="005758A1"/>
    <w:rsid w:val="00576AD1"/>
    <w:rsid w:val="00576B64"/>
    <w:rsid w:val="0058493E"/>
    <w:rsid w:val="00586425"/>
    <w:rsid w:val="005871B3"/>
    <w:rsid w:val="005879A5"/>
    <w:rsid w:val="00593B34"/>
    <w:rsid w:val="005A027D"/>
    <w:rsid w:val="005A0778"/>
    <w:rsid w:val="005A1D2F"/>
    <w:rsid w:val="005A3518"/>
    <w:rsid w:val="005A619B"/>
    <w:rsid w:val="005B1A4A"/>
    <w:rsid w:val="005B2D84"/>
    <w:rsid w:val="005C6257"/>
    <w:rsid w:val="005D0427"/>
    <w:rsid w:val="005D100C"/>
    <w:rsid w:val="005E0D78"/>
    <w:rsid w:val="005E3F7A"/>
    <w:rsid w:val="005E454E"/>
    <w:rsid w:val="005E4F75"/>
    <w:rsid w:val="005F490D"/>
    <w:rsid w:val="005F76C8"/>
    <w:rsid w:val="0060033B"/>
    <w:rsid w:val="00602591"/>
    <w:rsid w:val="0060625C"/>
    <w:rsid w:val="006134BA"/>
    <w:rsid w:val="0061391F"/>
    <w:rsid w:val="00615C7E"/>
    <w:rsid w:val="0063094B"/>
    <w:rsid w:val="00634663"/>
    <w:rsid w:val="006400AB"/>
    <w:rsid w:val="00656145"/>
    <w:rsid w:val="00660E86"/>
    <w:rsid w:val="0066772C"/>
    <w:rsid w:val="00672B1B"/>
    <w:rsid w:val="00675BAF"/>
    <w:rsid w:val="00686029"/>
    <w:rsid w:val="0068659D"/>
    <w:rsid w:val="00687AD9"/>
    <w:rsid w:val="00690033"/>
    <w:rsid w:val="00691D5A"/>
    <w:rsid w:val="006A0930"/>
    <w:rsid w:val="006B1BC4"/>
    <w:rsid w:val="006C029B"/>
    <w:rsid w:val="006C1ACA"/>
    <w:rsid w:val="006C4AA1"/>
    <w:rsid w:val="006D1197"/>
    <w:rsid w:val="006D460A"/>
    <w:rsid w:val="006D7DA1"/>
    <w:rsid w:val="006E05B2"/>
    <w:rsid w:val="006E32A6"/>
    <w:rsid w:val="006E72E2"/>
    <w:rsid w:val="006F0504"/>
    <w:rsid w:val="006F7B5C"/>
    <w:rsid w:val="007003D2"/>
    <w:rsid w:val="007054BF"/>
    <w:rsid w:val="00707CF1"/>
    <w:rsid w:val="00712324"/>
    <w:rsid w:val="00726168"/>
    <w:rsid w:val="00732C39"/>
    <w:rsid w:val="00737B4F"/>
    <w:rsid w:val="0074128A"/>
    <w:rsid w:val="0074294D"/>
    <w:rsid w:val="00752DEE"/>
    <w:rsid w:val="00755C81"/>
    <w:rsid w:val="007635B1"/>
    <w:rsid w:val="00771679"/>
    <w:rsid w:val="00772382"/>
    <w:rsid w:val="00774E55"/>
    <w:rsid w:val="00776B46"/>
    <w:rsid w:val="0079483C"/>
    <w:rsid w:val="007971F2"/>
    <w:rsid w:val="007A1417"/>
    <w:rsid w:val="007A524E"/>
    <w:rsid w:val="007C2A21"/>
    <w:rsid w:val="007C317A"/>
    <w:rsid w:val="007C39A8"/>
    <w:rsid w:val="007C4F49"/>
    <w:rsid w:val="007C6424"/>
    <w:rsid w:val="007D719F"/>
    <w:rsid w:val="007E1C1F"/>
    <w:rsid w:val="007E328D"/>
    <w:rsid w:val="007F545B"/>
    <w:rsid w:val="00802D63"/>
    <w:rsid w:val="00807B66"/>
    <w:rsid w:val="0081620F"/>
    <w:rsid w:val="008322C1"/>
    <w:rsid w:val="00837DCE"/>
    <w:rsid w:val="00841657"/>
    <w:rsid w:val="00847374"/>
    <w:rsid w:val="008502B0"/>
    <w:rsid w:val="00867E0C"/>
    <w:rsid w:val="00875E01"/>
    <w:rsid w:val="0088486F"/>
    <w:rsid w:val="0089233B"/>
    <w:rsid w:val="008937F2"/>
    <w:rsid w:val="00897252"/>
    <w:rsid w:val="008A319E"/>
    <w:rsid w:val="008B72D8"/>
    <w:rsid w:val="008D447C"/>
    <w:rsid w:val="008D7740"/>
    <w:rsid w:val="008E3664"/>
    <w:rsid w:val="008F1174"/>
    <w:rsid w:val="008F13A4"/>
    <w:rsid w:val="008F4E0A"/>
    <w:rsid w:val="00905D0B"/>
    <w:rsid w:val="0091087F"/>
    <w:rsid w:val="00932893"/>
    <w:rsid w:val="009334F2"/>
    <w:rsid w:val="00934F40"/>
    <w:rsid w:val="00944618"/>
    <w:rsid w:val="00946D9C"/>
    <w:rsid w:val="00950D19"/>
    <w:rsid w:val="00950E46"/>
    <w:rsid w:val="00952324"/>
    <w:rsid w:val="0095569A"/>
    <w:rsid w:val="00955CD7"/>
    <w:rsid w:val="00956D90"/>
    <w:rsid w:val="009638E6"/>
    <w:rsid w:val="00965239"/>
    <w:rsid w:val="00970C50"/>
    <w:rsid w:val="0097166A"/>
    <w:rsid w:val="009830E7"/>
    <w:rsid w:val="0098375F"/>
    <w:rsid w:val="009876B5"/>
    <w:rsid w:val="009A6C94"/>
    <w:rsid w:val="009A7804"/>
    <w:rsid w:val="009D2C14"/>
    <w:rsid w:val="009D3B2D"/>
    <w:rsid w:val="009D4C29"/>
    <w:rsid w:val="009F0D94"/>
    <w:rsid w:val="00A026DB"/>
    <w:rsid w:val="00A029A9"/>
    <w:rsid w:val="00A34FE4"/>
    <w:rsid w:val="00A36E86"/>
    <w:rsid w:val="00A42D50"/>
    <w:rsid w:val="00A710AE"/>
    <w:rsid w:val="00A72C4C"/>
    <w:rsid w:val="00A731DE"/>
    <w:rsid w:val="00A92ADE"/>
    <w:rsid w:val="00AA6899"/>
    <w:rsid w:val="00AB3090"/>
    <w:rsid w:val="00AC0245"/>
    <w:rsid w:val="00AC6B57"/>
    <w:rsid w:val="00AD0882"/>
    <w:rsid w:val="00AD4A26"/>
    <w:rsid w:val="00AD4ED5"/>
    <w:rsid w:val="00AD5AE7"/>
    <w:rsid w:val="00AE0EEA"/>
    <w:rsid w:val="00AE4524"/>
    <w:rsid w:val="00AE6342"/>
    <w:rsid w:val="00AE69C3"/>
    <w:rsid w:val="00AE7E67"/>
    <w:rsid w:val="00AF63CD"/>
    <w:rsid w:val="00B017E4"/>
    <w:rsid w:val="00B0258D"/>
    <w:rsid w:val="00B07187"/>
    <w:rsid w:val="00B1614E"/>
    <w:rsid w:val="00B36A87"/>
    <w:rsid w:val="00B40976"/>
    <w:rsid w:val="00B428A3"/>
    <w:rsid w:val="00B44EB6"/>
    <w:rsid w:val="00B478E0"/>
    <w:rsid w:val="00B50784"/>
    <w:rsid w:val="00B53C68"/>
    <w:rsid w:val="00B55BC0"/>
    <w:rsid w:val="00B66F96"/>
    <w:rsid w:val="00B7497D"/>
    <w:rsid w:val="00B7566D"/>
    <w:rsid w:val="00B77E6E"/>
    <w:rsid w:val="00B806DC"/>
    <w:rsid w:val="00B839B8"/>
    <w:rsid w:val="00B85FCA"/>
    <w:rsid w:val="00B9010E"/>
    <w:rsid w:val="00B92D4C"/>
    <w:rsid w:val="00BA1C2A"/>
    <w:rsid w:val="00BA3A50"/>
    <w:rsid w:val="00BA7705"/>
    <w:rsid w:val="00BB72F9"/>
    <w:rsid w:val="00BC2D55"/>
    <w:rsid w:val="00BD2FFE"/>
    <w:rsid w:val="00BD3004"/>
    <w:rsid w:val="00BE14C5"/>
    <w:rsid w:val="00BE2E13"/>
    <w:rsid w:val="00BF285A"/>
    <w:rsid w:val="00BF6415"/>
    <w:rsid w:val="00BF7E5C"/>
    <w:rsid w:val="00C018C6"/>
    <w:rsid w:val="00C11F20"/>
    <w:rsid w:val="00C1623C"/>
    <w:rsid w:val="00C174C5"/>
    <w:rsid w:val="00C30388"/>
    <w:rsid w:val="00C4769A"/>
    <w:rsid w:val="00C5142D"/>
    <w:rsid w:val="00C629B4"/>
    <w:rsid w:val="00C63B46"/>
    <w:rsid w:val="00C66505"/>
    <w:rsid w:val="00C713A8"/>
    <w:rsid w:val="00C71629"/>
    <w:rsid w:val="00C779B6"/>
    <w:rsid w:val="00C81691"/>
    <w:rsid w:val="00C86F34"/>
    <w:rsid w:val="00C873B6"/>
    <w:rsid w:val="00C90AC3"/>
    <w:rsid w:val="00C93AD5"/>
    <w:rsid w:val="00C94AA7"/>
    <w:rsid w:val="00C9536E"/>
    <w:rsid w:val="00C970BC"/>
    <w:rsid w:val="00CB3816"/>
    <w:rsid w:val="00CC5A61"/>
    <w:rsid w:val="00CD1839"/>
    <w:rsid w:val="00CD298C"/>
    <w:rsid w:val="00CD4524"/>
    <w:rsid w:val="00CD74AF"/>
    <w:rsid w:val="00CE730E"/>
    <w:rsid w:val="00D0092B"/>
    <w:rsid w:val="00D07EC2"/>
    <w:rsid w:val="00D1532A"/>
    <w:rsid w:val="00D226C4"/>
    <w:rsid w:val="00D34C1B"/>
    <w:rsid w:val="00D355DB"/>
    <w:rsid w:val="00D4439B"/>
    <w:rsid w:val="00D45F42"/>
    <w:rsid w:val="00D642BF"/>
    <w:rsid w:val="00D67F17"/>
    <w:rsid w:val="00D75069"/>
    <w:rsid w:val="00D82A8C"/>
    <w:rsid w:val="00D8539C"/>
    <w:rsid w:val="00D94BE0"/>
    <w:rsid w:val="00DC07BE"/>
    <w:rsid w:val="00DD04E5"/>
    <w:rsid w:val="00DD36AE"/>
    <w:rsid w:val="00DD380D"/>
    <w:rsid w:val="00DF2C61"/>
    <w:rsid w:val="00E07B6D"/>
    <w:rsid w:val="00E11186"/>
    <w:rsid w:val="00E16693"/>
    <w:rsid w:val="00E24CB3"/>
    <w:rsid w:val="00E27E31"/>
    <w:rsid w:val="00E32DFC"/>
    <w:rsid w:val="00E34209"/>
    <w:rsid w:val="00E41F93"/>
    <w:rsid w:val="00E44F71"/>
    <w:rsid w:val="00E56424"/>
    <w:rsid w:val="00E5643D"/>
    <w:rsid w:val="00E6066E"/>
    <w:rsid w:val="00E6122B"/>
    <w:rsid w:val="00E61D61"/>
    <w:rsid w:val="00E63034"/>
    <w:rsid w:val="00E64694"/>
    <w:rsid w:val="00E66425"/>
    <w:rsid w:val="00E66830"/>
    <w:rsid w:val="00E802ED"/>
    <w:rsid w:val="00E80706"/>
    <w:rsid w:val="00E812B1"/>
    <w:rsid w:val="00E85BBC"/>
    <w:rsid w:val="00E911BD"/>
    <w:rsid w:val="00EA10D0"/>
    <w:rsid w:val="00EA3A21"/>
    <w:rsid w:val="00EA56BD"/>
    <w:rsid w:val="00EB1C6F"/>
    <w:rsid w:val="00EC573C"/>
    <w:rsid w:val="00EC64C9"/>
    <w:rsid w:val="00EC6C77"/>
    <w:rsid w:val="00EC6F80"/>
    <w:rsid w:val="00ED5851"/>
    <w:rsid w:val="00EE40EA"/>
    <w:rsid w:val="00EE4A01"/>
    <w:rsid w:val="00EE611C"/>
    <w:rsid w:val="00EE7611"/>
    <w:rsid w:val="00EF1198"/>
    <w:rsid w:val="00EF1F9E"/>
    <w:rsid w:val="00EF5605"/>
    <w:rsid w:val="00EF6E42"/>
    <w:rsid w:val="00F128AB"/>
    <w:rsid w:val="00F21994"/>
    <w:rsid w:val="00F23C1B"/>
    <w:rsid w:val="00F23D64"/>
    <w:rsid w:val="00F271D8"/>
    <w:rsid w:val="00F36E7C"/>
    <w:rsid w:val="00F40807"/>
    <w:rsid w:val="00F4088D"/>
    <w:rsid w:val="00F625C0"/>
    <w:rsid w:val="00F64CEC"/>
    <w:rsid w:val="00F67CDA"/>
    <w:rsid w:val="00F70D52"/>
    <w:rsid w:val="00F71C94"/>
    <w:rsid w:val="00F73FA5"/>
    <w:rsid w:val="00F760C4"/>
    <w:rsid w:val="00F77022"/>
    <w:rsid w:val="00F87EC9"/>
    <w:rsid w:val="00FA3396"/>
    <w:rsid w:val="00FA64A7"/>
    <w:rsid w:val="00FC2BD8"/>
    <w:rsid w:val="00FD6523"/>
    <w:rsid w:val="00FD65CF"/>
    <w:rsid w:val="00FD7A67"/>
    <w:rsid w:val="00FD7B1A"/>
    <w:rsid w:val="00FE2E78"/>
    <w:rsid w:val="00FF0D10"/>
    <w:rsid w:val="00FF1EBA"/>
    <w:rsid w:val="00FF3BB3"/>
    <w:rsid w:val="00FF4B02"/>
    <w:rsid w:val="00FF5B0E"/>
    <w:rsid w:val="00FF5DAD"/>
    <w:rsid w:val="04AE5F01"/>
    <w:rsid w:val="0DB53A59"/>
    <w:rsid w:val="176C315A"/>
    <w:rsid w:val="1A9C60D7"/>
    <w:rsid w:val="22A82FA9"/>
    <w:rsid w:val="24D90E4B"/>
    <w:rsid w:val="264101AE"/>
    <w:rsid w:val="281811BD"/>
    <w:rsid w:val="353134BF"/>
    <w:rsid w:val="38582AAA"/>
    <w:rsid w:val="3AA121B2"/>
    <w:rsid w:val="439372FE"/>
    <w:rsid w:val="45332381"/>
    <w:rsid w:val="51B93D2F"/>
    <w:rsid w:val="54457DFC"/>
    <w:rsid w:val="57C87C30"/>
    <w:rsid w:val="5E4B54C2"/>
    <w:rsid w:val="66D213B7"/>
    <w:rsid w:val="67207CA8"/>
    <w:rsid w:val="6BFF46D3"/>
    <w:rsid w:val="6DAE6318"/>
    <w:rsid w:val="6FF86257"/>
    <w:rsid w:val="78091C70"/>
    <w:rsid w:val="78BC3941"/>
    <w:rsid w:val="7A631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footnote reference"/>
    <w:qFormat/>
    <w:uiPriority w:val="0"/>
    <w:rPr>
      <w:vertAlign w:val="superscript"/>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Char Char Char Char"/>
    <w:basedOn w:val="1"/>
    <w:next w:val="1"/>
    <w:qFormat/>
    <w:uiPriority w:val="0"/>
    <w:pPr>
      <w:spacing w:line="360" w:lineRule="auto"/>
      <w:ind w:left="100" w:leftChars="100" w:right="100" w:rightChars="100"/>
      <w:jc w:val="left"/>
    </w:pPr>
  </w:style>
  <w:style w:type="paragraph" w:styleId="1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5199A-B115-48A3-B142-B08DAE6BECD2}">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14</Pages>
  <Words>19554</Words>
  <Characters>20392</Characters>
  <Lines>149</Lines>
  <Paragraphs>42</Paragraphs>
  <TotalTime>111</TotalTime>
  <ScaleCrop>false</ScaleCrop>
  <LinksUpToDate>false</LinksUpToDate>
  <CharactersWithSpaces>20466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2019-06-05T06:57:00Z</dcterms:created>
  <dc:creator>null</dc:creator>
  <cp:lastModifiedBy>杜小猪</cp:lastModifiedBy>
  <cp:lastPrinted>2019-06-12T11:17:00Z</cp:lastPrinted>
  <dcterms:modified xsi:type="dcterms:W3CDTF">2022-09-13T03:34:43Z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2A9F2A18AEA7406F8AF1126F501A50A0</vt:lpwstr>
  </property>
</Properties>
</file>