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1043" w:hanging="1043"/>
      </w:pPr>
      <w:r>
        <w:rPr>
          <w:rFonts w:hint="eastAsia"/>
        </w:rPr>
        <w:t>附件</w:t>
      </w:r>
    </w:p>
    <w:p>
      <w:pPr>
        <w:pStyle w:val="2"/>
      </w:pPr>
      <w:r>
        <w:rPr>
          <w:rFonts w:hint="eastAsia"/>
        </w:rPr>
        <w:t>社会公众意见采纳情况汇总表</w:t>
      </w:r>
    </w:p>
    <w:tbl>
      <w:tblPr>
        <w:tblStyle w:val="3"/>
        <w:tblW w:w="13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519"/>
        <w:gridCol w:w="6108"/>
        <w:gridCol w:w="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57" w:type="dxa"/>
            <w:noWrap/>
            <w:vAlign w:val="center"/>
          </w:tcPr>
          <w:p>
            <w:pPr>
              <w:spacing w:line="400" w:lineRule="exact"/>
              <w:jc w:val="center"/>
              <w:rPr>
                <w:rFonts w:ascii="宋体" w:hAnsi="宋体" w:cs="仿宋_GB2312"/>
                <w:b/>
                <w:kern w:val="0"/>
                <w:sz w:val="24"/>
                <w:szCs w:val="24"/>
                <w:lang w:bidi="ar"/>
              </w:rPr>
            </w:pPr>
            <w:r>
              <w:rPr>
                <w:rFonts w:hint="eastAsia" w:ascii="宋体" w:hAnsi="宋体" w:cs="仿宋_GB2312"/>
                <w:b/>
                <w:kern w:val="0"/>
                <w:sz w:val="24"/>
                <w:szCs w:val="24"/>
                <w:lang w:bidi="ar"/>
              </w:rPr>
              <w:t>序号</w:t>
            </w:r>
          </w:p>
        </w:tc>
        <w:tc>
          <w:tcPr>
            <w:tcW w:w="2519" w:type="dxa"/>
            <w:noWrap/>
            <w:vAlign w:val="center"/>
          </w:tcPr>
          <w:p>
            <w:pPr>
              <w:spacing w:line="400" w:lineRule="exact"/>
              <w:jc w:val="center"/>
              <w:rPr>
                <w:rFonts w:ascii="宋体" w:hAnsi="宋体" w:cs="仿宋_GB2312"/>
                <w:b/>
                <w:kern w:val="0"/>
                <w:sz w:val="24"/>
                <w:szCs w:val="24"/>
                <w:lang w:bidi="ar"/>
              </w:rPr>
            </w:pPr>
            <w:r>
              <w:rPr>
                <w:rFonts w:hint="eastAsia" w:ascii="宋体" w:hAnsi="宋体" w:cs="仿宋_GB2312"/>
                <w:b/>
                <w:kern w:val="0"/>
                <w:sz w:val="24"/>
                <w:szCs w:val="24"/>
                <w:lang w:bidi="ar"/>
              </w:rPr>
              <w:t>单位名称</w:t>
            </w:r>
          </w:p>
        </w:tc>
        <w:tc>
          <w:tcPr>
            <w:tcW w:w="6108" w:type="dxa"/>
            <w:noWrap/>
            <w:vAlign w:val="center"/>
          </w:tcPr>
          <w:p>
            <w:pPr>
              <w:spacing w:line="400" w:lineRule="exact"/>
              <w:jc w:val="center"/>
              <w:rPr>
                <w:rFonts w:ascii="宋体" w:hAnsi="宋体" w:cs="仿宋_GB2312"/>
                <w:b/>
                <w:kern w:val="0"/>
                <w:sz w:val="24"/>
                <w:szCs w:val="24"/>
                <w:lang w:bidi="ar"/>
              </w:rPr>
            </w:pPr>
            <w:r>
              <w:rPr>
                <w:rFonts w:hint="eastAsia" w:ascii="宋体" w:hAnsi="宋体" w:cs="仿宋_GB2312"/>
                <w:b/>
                <w:kern w:val="0"/>
                <w:sz w:val="24"/>
                <w:szCs w:val="24"/>
                <w:lang w:bidi="ar"/>
              </w:rPr>
              <w:t>意见建议</w:t>
            </w:r>
          </w:p>
        </w:tc>
        <w:tc>
          <w:tcPr>
            <w:tcW w:w="4454" w:type="dxa"/>
            <w:noWrap/>
            <w:vAlign w:val="center"/>
          </w:tcPr>
          <w:p>
            <w:pPr>
              <w:spacing w:line="400" w:lineRule="exact"/>
              <w:jc w:val="center"/>
              <w:rPr>
                <w:rFonts w:ascii="宋体" w:hAnsi="宋体" w:cs="仿宋_GB2312"/>
                <w:b/>
                <w:kern w:val="0"/>
                <w:sz w:val="24"/>
                <w:szCs w:val="24"/>
                <w:lang w:bidi="ar"/>
              </w:rPr>
            </w:pPr>
            <w:r>
              <w:rPr>
                <w:rFonts w:hint="eastAsia" w:ascii="宋体" w:hAnsi="宋体" w:cs="仿宋_GB2312"/>
                <w:b/>
                <w:kern w:val="0"/>
                <w:sz w:val="24"/>
                <w:szCs w:val="24"/>
                <w:lang w:bidi="ar"/>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57" w:type="dxa"/>
            <w:noWrap/>
            <w:vAlign w:val="center"/>
          </w:tcPr>
          <w:p>
            <w:pPr>
              <w:spacing w:line="400" w:lineRule="exact"/>
              <w:jc w:val="left"/>
              <w:rPr>
                <w:rFonts w:ascii="宋体" w:hAnsi="宋体" w:cs="仿宋_GB2312"/>
                <w:bCs/>
                <w:kern w:val="0"/>
                <w:sz w:val="24"/>
                <w:szCs w:val="24"/>
                <w:lang w:bidi="ar"/>
              </w:rPr>
            </w:pPr>
            <w:r>
              <w:rPr>
                <w:rFonts w:hint="eastAsia" w:ascii="宋体" w:hAnsi="宋体" w:cs="仿宋_GB2312"/>
                <w:bCs/>
                <w:kern w:val="0"/>
                <w:sz w:val="24"/>
                <w:szCs w:val="24"/>
                <w:lang w:bidi="ar"/>
              </w:rPr>
              <w:t>1</w:t>
            </w:r>
          </w:p>
        </w:tc>
        <w:tc>
          <w:tcPr>
            <w:tcW w:w="2519" w:type="dxa"/>
            <w:noWrap/>
            <w:vAlign w:val="center"/>
          </w:tcPr>
          <w:p>
            <w:pPr>
              <w:spacing w:line="400" w:lineRule="exact"/>
              <w:jc w:val="left"/>
              <w:rPr>
                <w:rFonts w:ascii="宋体" w:hAnsi="宋体" w:cs="仿宋_GB2312"/>
                <w:bCs/>
                <w:kern w:val="0"/>
                <w:sz w:val="24"/>
                <w:szCs w:val="24"/>
                <w:lang w:bidi="ar"/>
              </w:rPr>
            </w:pPr>
            <w:r>
              <w:rPr>
                <w:rFonts w:hint="eastAsia" w:ascii="宋体" w:hAnsi="宋体" w:cs="仿宋_GB2312"/>
                <w:bCs/>
                <w:kern w:val="0"/>
                <w:sz w:val="24"/>
                <w:szCs w:val="24"/>
                <w:lang w:bidi="ar"/>
              </w:rPr>
              <w:t>八马茶业</w:t>
            </w:r>
          </w:p>
        </w:tc>
        <w:tc>
          <w:tcPr>
            <w:tcW w:w="6108" w:type="dxa"/>
            <w:noWrap/>
            <w:vAlign w:val="center"/>
          </w:tcPr>
          <w:p>
            <w:pPr>
              <w:spacing w:line="360" w:lineRule="exact"/>
              <w:jc w:val="left"/>
              <w:rPr>
                <w:rFonts w:ascii="宋体" w:hAnsi="宋体" w:cs="仿宋_GB2312"/>
                <w:bCs/>
                <w:kern w:val="0"/>
                <w:sz w:val="24"/>
                <w:szCs w:val="24"/>
                <w:lang w:bidi="ar"/>
              </w:rPr>
            </w:pPr>
            <w:r>
              <w:rPr>
                <w:rFonts w:hint="eastAsia" w:ascii="宋体" w:hAnsi="宋体" w:cs="仿宋_GB2312"/>
                <w:bCs/>
                <w:kern w:val="0"/>
                <w:sz w:val="24"/>
                <w:szCs w:val="24"/>
                <w:lang w:bidi="ar"/>
              </w:rPr>
              <w:t>建议将茶行业纳入扶持领域的产业，主要理由：一、茶行业是中国传统文化的传承者，随着时代的发展，茶行业不仅仅是传统行业，也有很强的时尚元素；二、目前茶行业没有巨头，所以有机会培育品牌企业成为这个行业的独角兽，如八马茶业，1997年就在深圳成立，目前是全国茶行业的龙头，做中国乃至全世界的好茶平台；三、茶行业从种植到销售，涉及到茶农、中间商、运输、门店终端了， 也有品牌推广、研发，带动和提升消费，门店也是休闲和商务聚集地。</w:t>
            </w:r>
          </w:p>
        </w:tc>
        <w:tc>
          <w:tcPr>
            <w:tcW w:w="4454" w:type="dxa"/>
            <w:noWrap/>
            <w:vAlign w:val="center"/>
          </w:tcPr>
          <w:p>
            <w:pPr>
              <w:spacing w:line="400" w:lineRule="exact"/>
              <w:jc w:val="left"/>
              <w:rPr>
                <w:rFonts w:ascii="宋体" w:hAnsi="宋体" w:cs="仿宋_GB2312"/>
                <w:bCs/>
                <w:kern w:val="0"/>
                <w:sz w:val="24"/>
                <w:szCs w:val="24"/>
                <w:lang w:bidi="ar"/>
              </w:rPr>
            </w:pPr>
            <w:r>
              <w:rPr>
                <w:rFonts w:hint="eastAsia" w:ascii="宋体" w:hAnsi="宋体" w:cs="仿宋_GB2312"/>
                <w:bCs/>
                <w:kern w:val="0"/>
                <w:sz w:val="24"/>
                <w:szCs w:val="24"/>
                <w:lang w:bidi="ar"/>
              </w:rPr>
              <w:t>不采纳。《操作规程》所列扶持领域是依据《深圳市时尚产业高质量发展行动计划（2020—2024年）》（深府办〔2020〕4号）制定的，其中并不包括茶行业，且茶行业属于农产品，建议联系相关职能部门是否有资助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57" w:type="dxa"/>
            <w:noWrap/>
            <w:vAlign w:val="center"/>
          </w:tcPr>
          <w:p>
            <w:pPr>
              <w:spacing w:line="400" w:lineRule="exact"/>
              <w:jc w:val="left"/>
              <w:rPr>
                <w:rFonts w:ascii="宋体" w:hAnsi="宋体" w:cs="仿宋_GB2312"/>
                <w:bCs/>
                <w:kern w:val="0"/>
                <w:sz w:val="24"/>
                <w:szCs w:val="24"/>
                <w:lang w:bidi="ar"/>
              </w:rPr>
            </w:pPr>
            <w:r>
              <w:rPr>
                <w:rFonts w:hint="eastAsia" w:ascii="宋体" w:hAnsi="宋体" w:cs="仿宋_GB2312"/>
                <w:bCs/>
                <w:kern w:val="0"/>
                <w:sz w:val="24"/>
                <w:szCs w:val="24"/>
                <w:lang w:bidi="ar"/>
              </w:rPr>
              <w:t>2</w:t>
            </w:r>
          </w:p>
        </w:tc>
        <w:tc>
          <w:tcPr>
            <w:tcW w:w="2519" w:type="dxa"/>
            <w:noWrap/>
            <w:vAlign w:val="center"/>
          </w:tcPr>
          <w:p>
            <w:pPr>
              <w:spacing w:line="400" w:lineRule="exact"/>
              <w:jc w:val="left"/>
              <w:rPr>
                <w:rFonts w:ascii="宋体" w:hAnsi="宋体" w:cs="仿宋_GB2312"/>
                <w:bCs/>
                <w:kern w:val="0"/>
                <w:sz w:val="24"/>
                <w:szCs w:val="24"/>
                <w:lang w:bidi="ar"/>
              </w:rPr>
            </w:pPr>
            <w:r>
              <w:rPr>
                <w:rFonts w:hint="eastAsia" w:ascii="宋体" w:hAnsi="宋体" w:cs="仿宋_GB2312"/>
                <w:bCs/>
                <w:kern w:val="0"/>
                <w:sz w:val="24"/>
                <w:szCs w:val="24"/>
                <w:lang w:bidi="ar"/>
              </w:rPr>
              <w:t>158645175@qq.com</w:t>
            </w:r>
          </w:p>
        </w:tc>
        <w:tc>
          <w:tcPr>
            <w:tcW w:w="6108" w:type="dxa"/>
            <w:noWrap/>
            <w:vAlign w:val="center"/>
          </w:tcPr>
          <w:p>
            <w:pPr>
              <w:spacing w:line="400" w:lineRule="exact"/>
              <w:jc w:val="left"/>
              <w:rPr>
                <w:rFonts w:ascii="宋体" w:hAnsi="宋体" w:cs="仿宋_GB2312"/>
                <w:bCs/>
                <w:kern w:val="0"/>
                <w:sz w:val="24"/>
                <w:szCs w:val="24"/>
                <w:lang w:bidi="ar"/>
              </w:rPr>
            </w:pPr>
            <w:r>
              <w:rPr>
                <w:rFonts w:hint="eastAsia" w:ascii="宋体" w:hAnsi="宋体" w:cs="仿宋_GB2312"/>
                <w:bCs/>
                <w:kern w:val="0"/>
                <w:sz w:val="24"/>
                <w:szCs w:val="24"/>
                <w:lang w:bidi="ar"/>
              </w:rPr>
              <w:t>竞争力提升应用创新项目申报条件：项目单位至少拥有一个有效自主注册商标或授权商标；</w:t>
            </w:r>
          </w:p>
          <w:p>
            <w:pPr>
              <w:spacing w:line="400" w:lineRule="exact"/>
              <w:jc w:val="left"/>
              <w:rPr>
                <w:rFonts w:ascii="宋体" w:hAnsi="宋体" w:cs="仿宋_GB2312"/>
                <w:bCs/>
                <w:kern w:val="0"/>
                <w:sz w:val="24"/>
                <w:szCs w:val="24"/>
                <w:lang w:bidi="ar"/>
              </w:rPr>
            </w:pPr>
            <w:r>
              <w:rPr>
                <w:rFonts w:hint="eastAsia" w:ascii="宋体" w:hAnsi="宋体" w:cs="仿宋_GB2312"/>
                <w:bCs/>
                <w:kern w:val="0"/>
                <w:sz w:val="24"/>
                <w:szCs w:val="24"/>
                <w:lang w:bidi="ar"/>
              </w:rPr>
              <w:t>我司是2018年2月成立的，已满2年，但商标一直兄弟公司注册，因此本项申报条件看是否可以调整为“申报前已经申请注册至少一个商标（因为商标申请时间长，不一定很快授权）或者 获得其他公司盖公章的授权使用商标通知书”。</w:t>
            </w:r>
          </w:p>
        </w:tc>
        <w:tc>
          <w:tcPr>
            <w:tcW w:w="4454" w:type="dxa"/>
            <w:noWrap/>
            <w:vAlign w:val="center"/>
          </w:tcPr>
          <w:p>
            <w:pPr>
              <w:spacing w:line="400" w:lineRule="exact"/>
              <w:jc w:val="left"/>
              <w:rPr>
                <w:rFonts w:ascii="宋体" w:hAnsi="宋体" w:cs="仿宋_GB2312"/>
                <w:bCs/>
                <w:kern w:val="0"/>
                <w:sz w:val="24"/>
                <w:szCs w:val="24"/>
                <w:lang w:bidi="ar"/>
              </w:rPr>
            </w:pPr>
            <w:r>
              <w:rPr>
                <w:rFonts w:hint="eastAsia" w:ascii="宋体" w:hAnsi="宋体" w:cs="仿宋_GB2312"/>
                <w:bCs/>
                <w:kern w:val="0"/>
                <w:sz w:val="24"/>
                <w:szCs w:val="24"/>
                <w:lang w:bidi="ar"/>
              </w:rPr>
              <w:t>不采纳。“申报前已经申请注册至少一个商标”不代表该商标一定会注册成功。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57" w:type="dxa"/>
            <w:noWrap/>
            <w:vAlign w:val="center"/>
          </w:tcPr>
          <w:p>
            <w:pPr>
              <w:spacing w:line="400" w:lineRule="exact"/>
              <w:jc w:val="left"/>
              <w:rPr>
                <w:rFonts w:ascii="宋体" w:hAnsi="宋体" w:cs="仿宋_GB2312"/>
                <w:bCs/>
                <w:kern w:val="0"/>
                <w:sz w:val="24"/>
                <w:szCs w:val="24"/>
                <w:lang w:bidi="ar"/>
              </w:rPr>
            </w:pPr>
            <w:r>
              <w:rPr>
                <w:rFonts w:hint="eastAsia" w:ascii="宋体" w:hAnsi="宋体" w:cs="仿宋_GB2312"/>
                <w:bCs/>
                <w:kern w:val="0"/>
                <w:sz w:val="24"/>
                <w:szCs w:val="24"/>
                <w:lang w:bidi="ar"/>
              </w:rPr>
              <w:t>3</w:t>
            </w:r>
          </w:p>
        </w:tc>
        <w:tc>
          <w:tcPr>
            <w:tcW w:w="2519" w:type="dxa"/>
            <w:noWrap/>
            <w:vAlign w:val="center"/>
          </w:tcPr>
          <w:p>
            <w:pPr>
              <w:spacing w:line="400" w:lineRule="exact"/>
              <w:jc w:val="left"/>
              <w:rPr>
                <w:rFonts w:ascii="宋体" w:hAnsi="宋体" w:cs="仿宋_GB2312"/>
                <w:bCs/>
                <w:kern w:val="0"/>
                <w:sz w:val="24"/>
                <w:szCs w:val="24"/>
                <w:lang w:bidi="ar"/>
              </w:rPr>
            </w:pPr>
            <w:r>
              <w:rPr>
                <w:rFonts w:hint="eastAsia" w:ascii="宋体" w:hAnsi="宋体" w:cs="仿宋_GB2312"/>
                <w:bCs/>
                <w:kern w:val="0"/>
                <w:sz w:val="24"/>
                <w:szCs w:val="24"/>
                <w:lang w:bidi="ar"/>
              </w:rPr>
              <w:t>湖南美林家美集团有限公司</w:t>
            </w:r>
          </w:p>
        </w:tc>
        <w:tc>
          <w:tcPr>
            <w:tcW w:w="6108" w:type="dxa"/>
            <w:noWrap/>
            <w:vAlign w:val="center"/>
          </w:tcPr>
          <w:p>
            <w:pPr>
              <w:spacing w:line="400" w:lineRule="exact"/>
              <w:jc w:val="left"/>
              <w:rPr>
                <w:rFonts w:ascii="宋体" w:hAnsi="宋体" w:cs="仿宋_GB2312"/>
                <w:bCs/>
                <w:kern w:val="0"/>
                <w:sz w:val="24"/>
                <w:szCs w:val="24"/>
                <w:lang w:bidi="ar"/>
              </w:rPr>
            </w:pPr>
            <w:r>
              <w:rPr>
                <w:rFonts w:hint="eastAsia" w:ascii="宋体" w:hAnsi="宋体" w:cs="仿宋_GB2312"/>
                <w:bCs/>
                <w:kern w:val="0"/>
                <w:sz w:val="24"/>
                <w:szCs w:val="24"/>
                <w:lang w:bidi="ar"/>
              </w:rPr>
              <w:t>请求将深圳世界工匠文化产业中心项目纳入深圳市时尚产业扶持计划。深圳世界工匠文化产业中心（附深圳市工匠文化产业中心概念方案）计划引进在钟表、</w:t>
            </w:r>
            <w:r>
              <w:rPr>
                <w:rFonts w:hint="eastAsia" w:ascii="宋体" w:hAnsi="宋体" w:cs="仿宋_GB2312"/>
                <w:bCs/>
                <w:kern w:val="0"/>
                <w:sz w:val="24"/>
                <w:szCs w:val="24"/>
                <w:lang w:val="en-US" w:eastAsia="zh-CN" w:bidi="ar"/>
              </w:rPr>
              <w:t>首饰</w:t>
            </w:r>
            <w:bookmarkStart w:id="0" w:name="_GoBack"/>
            <w:bookmarkEnd w:id="0"/>
            <w:r>
              <w:rPr>
                <w:rFonts w:hint="eastAsia" w:ascii="宋体" w:hAnsi="宋体" w:cs="仿宋_GB2312"/>
                <w:bCs/>
                <w:kern w:val="0"/>
                <w:sz w:val="24"/>
                <w:szCs w:val="24"/>
                <w:lang w:bidi="ar"/>
              </w:rPr>
              <w:t>、服装、鞋帽、箱包、化妆品、食品、手工艺品、艺术品以及建材家居、汽车、游艇、飞机等改装与订制产品方面的世界知名工匠、设计师5000名以上，世界知名品牌500家以上；建成后形成时尚产业集群和集设计、手工加工、产品展示、旅游休闲、商业于一体的文化产业中心，切实解决了奢侈品长期依赖境外采购又满足不了国内消费升级需求的矛盾。有利于在时尚产业领域组织实施的关键技术与核心零部件的攻关、竞争力提升、应用创新、产业支撑体系、行业重大活动、国际化拓展等项目的推动。</w:t>
            </w:r>
          </w:p>
        </w:tc>
        <w:tc>
          <w:tcPr>
            <w:tcW w:w="4454" w:type="dxa"/>
            <w:noWrap/>
            <w:vAlign w:val="center"/>
          </w:tcPr>
          <w:p>
            <w:pPr>
              <w:spacing w:line="400" w:lineRule="exact"/>
              <w:jc w:val="left"/>
              <w:rPr>
                <w:rFonts w:ascii="宋体" w:hAnsi="宋体" w:cs="仿宋_GB2312"/>
                <w:bCs/>
                <w:kern w:val="0"/>
                <w:sz w:val="24"/>
                <w:szCs w:val="24"/>
                <w:lang w:bidi="ar"/>
              </w:rPr>
            </w:pPr>
            <w:r>
              <w:rPr>
                <w:rFonts w:hint="eastAsia" w:ascii="宋体" w:hAnsi="宋体" w:cs="仿宋_GB2312"/>
                <w:bCs/>
                <w:kern w:val="0"/>
                <w:sz w:val="24"/>
                <w:szCs w:val="24"/>
                <w:lang w:bidi="ar"/>
              </w:rPr>
              <w:t>部分采纳。</w:t>
            </w:r>
            <w:r>
              <w:rPr>
                <w:rFonts w:hint="eastAsia" w:ascii="宋体" w:hAnsi="宋体" w:cs="仿宋_GB2312"/>
                <w:b/>
                <w:kern w:val="0"/>
                <w:sz w:val="24"/>
                <w:szCs w:val="24"/>
                <w:lang w:bidi="ar"/>
              </w:rPr>
              <w:t>一是</w:t>
            </w:r>
            <w:r>
              <w:rPr>
                <w:rFonts w:hint="eastAsia" w:ascii="宋体" w:hAnsi="宋体" w:cs="仿宋_GB2312"/>
                <w:bCs/>
                <w:kern w:val="0"/>
                <w:sz w:val="24"/>
                <w:szCs w:val="24"/>
                <w:lang w:bidi="ar"/>
              </w:rPr>
              <w:t>《操作规程》设定的关键技术与核心零部件的攻关、竞争力提升、应用创新、产业支撑体系、行业重大活动、国际化拓展的项目，均有对应的支持领域和申报条件，且为分开申报的形式，而并非是某一项目（如深圳世界工匠文化产业中心）“有利于在时尚产业领域组织实施的关键技术与核心零部件的攻关、竞争力提升、应用创新、产业支撑体系、行业重大活动、国际化拓展等项目的推动”，就符合条件。建议对照项目内容和申报条件，选择符合条件的项目申报；二</w:t>
            </w:r>
            <w:r>
              <w:rPr>
                <w:rFonts w:hint="eastAsia" w:ascii="宋体" w:hAnsi="宋体" w:cs="仿宋_GB2312"/>
                <w:b/>
                <w:kern w:val="0"/>
                <w:sz w:val="24"/>
                <w:szCs w:val="24"/>
                <w:lang w:bidi="ar"/>
              </w:rPr>
              <w:t>是</w:t>
            </w:r>
            <w:r>
              <w:rPr>
                <w:rFonts w:hint="eastAsia" w:ascii="宋体" w:hAnsi="宋体" w:cs="仿宋_GB2312"/>
                <w:bCs/>
                <w:kern w:val="0"/>
                <w:sz w:val="24"/>
                <w:szCs w:val="24"/>
                <w:lang w:bidi="ar"/>
              </w:rPr>
              <w:t>该项目内容也包含文化产业，建议联系相关职能部门是否有资助计划。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ign w:val="top"/>
          </w:tcPr>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4</w:t>
            </w:r>
          </w:p>
        </w:tc>
        <w:tc>
          <w:tcPr>
            <w:tcW w:w="2519" w:type="dxa"/>
            <w:vMerge w:val="restart"/>
            <w:noWrap/>
            <w:vAlign w:val="top"/>
          </w:tcPr>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周大福珠宝金行有限公司</w:t>
            </w:r>
          </w:p>
        </w:tc>
        <w:tc>
          <w:tcPr>
            <w:tcW w:w="6108" w:type="dxa"/>
            <w:noWrap/>
            <w:vAlign w:val="top"/>
          </w:tcPr>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（一）关键技术与核心零部件攻关项目：</w:t>
            </w:r>
          </w:p>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1、项目已完成并拥有自主知识产权（专利和软件著作权等）。</w:t>
            </w:r>
          </w:p>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因知识产权认证时间较长，有一些技术在开发时期便已投入使用，此时知识产权还未申请成功，建议作为非必要条件。</w:t>
            </w:r>
          </w:p>
        </w:tc>
        <w:tc>
          <w:tcPr>
            <w:tcW w:w="4454" w:type="dxa"/>
            <w:noWrap/>
            <w:vAlign w:val="top"/>
          </w:tcPr>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采纳。将该条件与第五点条件合并表述为“项目已完成并拥有市场认可的研发成果或具备技术成果有效转化为经营成果的条件。”以最终发布的《操作规程》为准。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ign w:val="top"/>
          </w:tcPr>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5</w:t>
            </w:r>
          </w:p>
        </w:tc>
        <w:tc>
          <w:tcPr>
            <w:tcW w:w="2519" w:type="dxa"/>
            <w:vMerge w:val="continue"/>
            <w:noWrap/>
            <w:vAlign w:val="top"/>
          </w:tcPr>
          <w:p>
            <w:pPr>
              <w:spacing w:line="400" w:lineRule="exact"/>
              <w:jc w:val="left"/>
              <w:rPr>
                <w:rFonts w:ascii="宋体" w:hAnsi="宋体" w:cs="仿宋_GB2312"/>
                <w:kern w:val="0"/>
                <w:sz w:val="24"/>
                <w:szCs w:val="24"/>
                <w:lang w:bidi="ar"/>
              </w:rPr>
            </w:pPr>
          </w:p>
        </w:tc>
        <w:tc>
          <w:tcPr>
            <w:tcW w:w="6108" w:type="dxa"/>
            <w:noWrap/>
            <w:vAlign w:val="top"/>
          </w:tcPr>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（二）竞争力提升应用创新项目：</w:t>
            </w:r>
          </w:p>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1、围绕创建高端体验店、高级定制店、多业态融合店等方向，建立高端化个性化的线下销售模式，推动线上线下融合，提升服务能力，创新消费体验。</w:t>
            </w:r>
          </w:p>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如今“快闪店”这一个性化的线下销售模式也属于零售新业态之一，建议个性化的线下销售模式涵盖“快闪店”这一模式（快闪店：指在商业发达的地区设置临时性（若干星期）的铺位，供零售商在比较短的时间内推销其品牌，抓住一些季节性的消费者）</w:t>
            </w:r>
          </w:p>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 xml:space="preserve">2、建筑工程费用仅限用于创建高端体验店、高级定制店、和多业态融合店，且不超过项目总投入的20%。 </w:t>
            </w:r>
          </w:p>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高端体验店创建等方向，建筑工程费用为主体费用，建议可以调整为不超过项目总投入的40% 。</w:t>
            </w:r>
          </w:p>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3、宣传推广投入不超过项目总投入的20%。</w:t>
            </w:r>
          </w:p>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“快闪店”的消费模式，项目投入主要为场地设计及搭建，通常是找广告公司搭建，发票类目一般是服务费等，建议将此类服务费等费用投入单独列为一项。</w:t>
            </w:r>
          </w:p>
        </w:tc>
        <w:tc>
          <w:tcPr>
            <w:tcW w:w="4454" w:type="dxa"/>
            <w:noWrap/>
            <w:vAlign w:val="top"/>
          </w:tcPr>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部分采纳。一、已增加“快闪店”的方向；二、竞争力提升是支持企业围绕创意设计、供应链管理、商业模式等领域实施的项目，高端体验店仅为其中一个细分方向，因此对相关费用做出限定；三、资助范围中“委托开发费”包含此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ign w:val="top"/>
          </w:tcPr>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6</w:t>
            </w:r>
          </w:p>
        </w:tc>
        <w:tc>
          <w:tcPr>
            <w:tcW w:w="2519" w:type="dxa"/>
            <w:vMerge w:val="continue"/>
            <w:noWrap/>
            <w:vAlign w:val="top"/>
          </w:tcPr>
          <w:p>
            <w:pPr>
              <w:spacing w:line="400" w:lineRule="exact"/>
              <w:jc w:val="left"/>
              <w:rPr>
                <w:rFonts w:ascii="宋体" w:hAnsi="宋体" w:cs="仿宋_GB2312"/>
                <w:kern w:val="0"/>
                <w:sz w:val="24"/>
                <w:szCs w:val="24"/>
                <w:lang w:bidi="ar"/>
              </w:rPr>
            </w:pPr>
          </w:p>
        </w:tc>
        <w:tc>
          <w:tcPr>
            <w:tcW w:w="6108" w:type="dxa"/>
            <w:noWrap/>
            <w:vAlign w:val="top"/>
          </w:tcPr>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（三）行业重大活动：</w:t>
            </w:r>
          </w:p>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1、支持方向：支持企事业单位、社会组织等在扩大深圳时尚产业知名度、促进国际时尚理念与技术交流合作、吸引国际时尚资源向深圳汇集等领域开展的大赛、展览展销、论坛等具有国际影响力的行业活动。</w:t>
            </w:r>
          </w:p>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——建议增加：支持企事业单位、社会组织等在国际舞台向公众展示中国设计/产品的力量，扩大中国品牌在国际时尚产业的知名度的重大活动。 </w:t>
            </w:r>
          </w:p>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2、申报项目的实施地在深圳市。</w:t>
            </w:r>
          </w:p>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——如果是在国际舞台上展示中国产品/设计等，扩大中国品牌的影响力，实施地可能不在深圳市，建议不做此限制。</w:t>
            </w:r>
          </w:p>
        </w:tc>
        <w:tc>
          <w:tcPr>
            <w:tcW w:w="4454" w:type="dxa"/>
            <w:noWrap/>
            <w:vAlign w:val="top"/>
          </w:tcPr>
          <w:p>
            <w:pPr>
              <w:spacing w:line="400" w:lineRule="exact"/>
              <w:jc w:val="left"/>
              <w:rPr>
                <w:rFonts w:ascii="宋体" w:hAnsi="宋体" w:cs="仿宋_GB2312"/>
                <w:kern w:val="0"/>
                <w:sz w:val="24"/>
                <w:szCs w:val="24"/>
                <w:lang w:bidi="ar"/>
              </w:rPr>
            </w:pPr>
            <w:r>
              <w:rPr>
                <w:rFonts w:hint="eastAsia" w:ascii="宋体" w:hAnsi="宋体" w:cs="仿宋_GB2312"/>
                <w:kern w:val="0"/>
                <w:sz w:val="24"/>
                <w:szCs w:val="24"/>
                <w:lang w:bidi="ar"/>
              </w:rPr>
              <w:t>不采纳。一、行业重大活动支持方向是</w:t>
            </w:r>
            <w:r>
              <w:rPr>
                <w:rFonts w:hint="eastAsia" w:ascii="宋体" w:hAnsi="宋体" w:cs="仿宋_GB2312"/>
                <w:bCs/>
                <w:kern w:val="0"/>
                <w:sz w:val="24"/>
                <w:szCs w:val="24"/>
                <w:lang w:bidi="ar"/>
              </w:rPr>
              <w:t>依据《深圳市时尚产业高质量发展行动计划（2020—2024年）》（深府办〔2020〕4号），不宜更改。二、“</w:t>
            </w:r>
            <w:r>
              <w:rPr>
                <w:rFonts w:hint="eastAsia" w:ascii="宋体" w:hAnsi="宋体" w:cs="仿宋_GB2312"/>
                <w:kern w:val="0"/>
                <w:sz w:val="24"/>
                <w:szCs w:val="24"/>
                <w:lang w:bidi="ar"/>
              </w:rPr>
              <w:t>国际舞台上展示中国产品/设计</w:t>
            </w:r>
            <w:r>
              <w:rPr>
                <w:rFonts w:hint="eastAsia" w:ascii="宋体" w:hAnsi="宋体" w:cs="仿宋_GB2312"/>
                <w:bCs/>
                <w:kern w:val="0"/>
                <w:sz w:val="24"/>
                <w:szCs w:val="24"/>
                <w:lang w:bidi="ar"/>
              </w:rPr>
              <w:t>”属于企业“走出去”支持领域，不符合</w:t>
            </w:r>
            <w:r>
              <w:rPr>
                <w:rFonts w:hint="eastAsia" w:ascii="宋体" w:hAnsi="宋体" w:cs="仿宋_GB2312"/>
                <w:kern w:val="0"/>
                <w:sz w:val="24"/>
                <w:szCs w:val="24"/>
                <w:lang w:bidi="ar"/>
              </w:rPr>
              <w:t>行业重大活动的支持方向。建议与相关职能部门对接申报资金项目。</w:t>
            </w:r>
          </w:p>
        </w:tc>
      </w:tr>
    </w:tbl>
    <w:p>
      <w:pPr>
        <w:spacing w:line="20" w:lineRule="exact"/>
      </w:pPr>
    </w:p>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36A11A2D"/>
    <w:rsid w:val="016D5FAA"/>
    <w:rsid w:val="36A1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附件"/>
    <w:basedOn w:val="1"/>
    <w:qFormat/>
    <w:uiPriority w:val="3"/>
    <w:pPr>
      <w:spacing w:line="540" w:lineRule="exact"/>
      <w:ind w:left="1014" w:hanging="1014" w:hangingChars="326"/>
    </w:pPr>
    <w:rPr>
      <w:rFonts w:ascii="黑体" w:hAnsi="黑体" w:eastAsia="黑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2078</Words>
  <Characters>2128</Characters>
  <Lines>0</Lines>
  <Paragraphs>0</Paragraphs>
  <TotalTime>0</TotalTime>
  <ScaleCrop>false</ScaleCrop>
  <LinksUpToDate>false</LinksUpToDate>
  <CharactersWithSpaces>2133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2020-08-26T03:02:00Z</dcterms:created>
  <dc:creator>山地高</dc:creator>
  <cp:lastModifiedBy>杜小猪</cp:lastModifiedBy>
  <dcterms:modified xsi:type="dcterms:W3CDTF">2022-09-13T03:44:05Z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FF5BCA7A92D2475B851DE0A3F76F9CF5</vt:lpwstr>
  </property>
</Properties>
</file>