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u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36"/>
        </w:rPr>
        <w:t>《</w:t>
      </w:r>
      <w:r>
        <w:rPr>
          <w:rFonts w:ascii="方正小标宋简体" w:hAnsi="方正小标宋简体" w:eastAsia="方正小标宋简体" w:cs="Times New Roman"/>
          <w:bCs/>
          <w:color w:val="000000"/>
          <w:sz w:val="44"/>
          <w:szCs w:val="36"/>
        </w:rPr>
        <w:t>深圳市科技研发资金管理办法</w:t>
      </w: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36"/>
        </w:rPr>
        <w:t>（</w:t>
      </w:r>
      <w:r>
        <w:rPr>
          <w:rFonts w:hint="default" w:ascii="方正小标宋简体" w:hAnsi="方正小标宋简体" w:eastAsia="方正小标宋简体" w:cs="Times New Roman"/>
          <w:bCs/>
          <w:color w:val="000000"/>
          <w:sz w:val="44"/>
          <w:szCs w:val="36"/>
        </w:rPr>
        <w:t>征求意见</w:t>
      </w: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36"/>
        </w:rPr>
        <w:t>稿）》</w:t>
      </w: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36"/>
          <w:lang w:eastAsia="zh-CN"/>
        </w:rPr>
        <w:t>起草</w:t>
      </w:r>
      <w:r>
        <w:rPr>
          <w:rFonts w:ascii="方正小标宋简体" w:hAnsi="方正小标宋简体" w:eastAsia="方正小标宋简体" w:cs="Times New Roman"/>
          <w:bCs/>
          <w:color w:val="000000"/>
          <w:sz w:val="44"/>
          <w:szCs w:val="36"/>
        </w:rPr>
        <w:t>说明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近年来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，党中央、国务院出台《关于优化科研管理提升科研绩效若干措施的通知》（国发〔2018〕25号）等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一系列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优化科研经费管理的政策举措。我市认真落实，先后制定出台《关于加强和改进市级财政科研项目资金管理的实施意见（试行）》（深府规〔2018〕9号）</w:t>
      </w:r>
      <w:r>
        <w:rPr>
          <w:rFonts w:hint="eastAsia" w:ascii="仿宋_GB2312" w:hAnsi="Calibri" w:cs="Times New Roman"/>
          <w:kern w:val="2"/>
          <w:sz w:val="32"/>
          <w:szCs w:val="22"/>
          <w:u w:val="none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《深圳市科技研发资金管理办法》（深科技创新规〔2019〕2号）等政策文件，持续优化财政科研经费管理。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4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2021年8月，国务院办公厅印发《关于改革完善中央财政科研经费管理的若干意见》（国办发〔2021〕32号）（以下简称32号文），要求各地区参照意见精神，结合实际认真贯彻落实，加快推进财政科研经费管理改革等各项工作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2022年5月，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广东省人民政府办公厅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印发《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关于改革完善省级财政科研经费使用管理的实施意见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》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粤府办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〔20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22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〕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14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号）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为深入贯彻落实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国家省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关于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改革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财政科研经费管理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的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精神，进一步简政放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权，激发广大科研人员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创新活力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，结合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我市实际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，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我委修订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形成了《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深圳市科技研发资金管理办法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（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征求意见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稿）</w:t>
      </w:r>
      <w:r>
        <w:rPr>
          <w:rFonts w:hint="eastAsia" w:ascii="仿宋_GB2312" w:eastAsia="仿宋_GB2312" w:cs="Times New Roman"/>
          <w:kern w:val="2"/>
          <w:sz w:val="32"/>
          <w:szCs w:val="22"/>
          <w:u w:val="none"/>
          <w:lang w:val="en-US" w:eastAsia="zh-CN" w:bidi="ar-SA"/>
        </w:rPr>
        <w:t>》（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以下简称《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资金管理办法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二</w:t>
      </w:r>
      <w:r>
        <w:rPr>
          <w:rFonts w:ascii="黑体" w:hAnsi="黑体" w:eastAsia="黑体" w:cs="Times New Roman"/>
          <w:bCs/>
          <w:sz w:val="32"/>
          <w:szCs w:val="28"/>
        </w:rPr>
        <w:t>、基本思路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</w:pPr>
      <w:r>
        <w:rPr>
          <w:rFonts w:ascii="仿宋_GB2312" w:hAnsi="仿宋_GB2312" w:eastAsia="仿宋_GB2312" w:cs="Times New Roman"/>
          <w:sz w:val="32"/>
          <w:szCs w:val="32"/>
        </w:rPr>
        <w:t>贯彻落实国家省市要求，以问题为导向，深化科研经费放管服改革，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在注重</w:t>
      </w:r>
      <w:r>
        <w:rPr>
          <w:rFonts w:ascii="仿宋_GB2312" w:hAnsi="仿宋_GB2312" w:eastAsia="仿宋_GB2312" w:cs="Times New Roman"/>
          <w:sz w:val="32"/>
          <w:szCs w:val="32"/>
        </w:rPr>
        <w:t>给科研单位和科研人员“松绑+激励”的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同时</w:t>
      </w:r>
      <w:r>
        <w:rPr>
          <w:rFonts w:ascii="仿宋_GB2312" w:hAnsi="仿宋_GB2312" w:eastAsia="仿宋_GB2312" w:cs="Times New Roman"/>
          <w:sz w:val="32"/>
          <w:szCs w:val="32"/>
        </w:rPr>
        <w:t>，注重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优化</w:t>
      </w:r>
      <w:r>
        <w:rPr>
          <w:rFonts w:ascii="仿宋_GB2312" w:hAnsi="仿宋_GB2312" w:eastAsia="仿宋_GB2312" w:cs="Times New Roman"/>
          <w:sz w:val="32"/>
          <w:szCs w:val="32"/>
        </w:rPr>
        <w:t>科研资金监管。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ascii="仿宋_GB2312" w:hAnsi="Calibri" w:eastAsia="仿宋_GB2312" w:cs="Times New Roman"/>
          <w:b/>
          <w:sz w:val="32"/>
          <w:szCs w:val="32"/>
        </w:rPr>
        <w:t>一是注重落实上级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文件要求</w:t>
      </w:r>
      <w:r>
        <w:rPr>
          <w:rFonts w:ascii="仿宋_GB2312" w:hAnsi="Calibri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Times New Roman"/>
          <w:sz w:val="32"/>
          <w:szCs w:val="32"/>
        </w:rPr>
        <w:t>在《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Times New Roman"/>
          <w:sz w:val="32"/>
          <w:szCs w:val="32"/>
        </w:rPr>
        <w:t>管理办法》</w:t>
      </w:r>
      <w:r>
        <w:rPr>
          <w:rFonts w:hint="default" w:ascii="仿宋_GB2312" w:hAnsi="仿宋_GB2312" w:eastAsia="仿宋_GB2312" w:cs="Times New Roman"/>
          <w:sz w:val="32"/>
          <w:szCs w:val="32"/>
        </w:rPr>
        <w:t>修订</w:t>
      </w:r>
      <w:r>
        <w:rPr>
          <w:rFonts w:hint="eastAsia" w:ascii="仿宋_GB2312" w:hAnsi="仿宋_GB2312" w:eastAsia="仿宋_GB2312" w:cs="Times New Roman"/>
          <w:sz w:val="32"/>
          <w:szCs w:val="32"/>
        </w:rPr>
        <w:t>过程中，</w:t>
      </w:r>
      <w:r>
        <w:rPr>
          <w:rFonts w:hint="default" w:ascii="仿宋_GB2312" w:hAnsi="仿宋_GB2312" w:eastAsia="仿宋_GB2312" w:cs="Times New Roman"/>
          <w:sz w:val="32"/>
          <w:szCs w:val="32"/>
        </w:rPr>
        <w:t>认真研究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《关于改革完善中央财政科研经费管理的若干意见》（国办发〔2021〕32号）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和</w:t>
      </w:r>
      <w:r>
        <w:rPr>
          <w:rFonts w:hint="default" w:ascii="仿宋_GB2312" w:eastAsia="仿宋_GB2312" w:cs="Times New Roman"/>
          <w:kern w:val="2"/>
          <w:sz w:val="32"/>
          <w:szCs w:val="22"/>
          <w:u w:val="none"/>
          <w:lang w:eastAsia="zh-CN" w:bidi="ar-SA"/>
        </w:rPr>
        <w:t>《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关于改革完善省级财政科研经费使用管理的实施意见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》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粤府办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〔20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22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〕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14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号）等文件精神，</w:t>
      </w:r>
      <w:r>
        <w:rPr>
          <w:rFonts w:ascii="仿宋_GB2312" w:hAnsi="仿宋_GB2312" w:eastAsia="仿宋_GB2312" w:cs="Times New Roman"/>
          <w:sz w:val="32"/>
          <w:szCs w:val="32"/>
        </w:rPr>
        <w:t>结合日常管理过程中遇到的问题，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提出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我市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改进落实措施。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ascii="仿宋_GB2312" w:hAnsi="Calibri" w:eastAsia="仿宋_GB2312" w:cs="Times New Roman"/>
          <w:b/>
          <w:sz w:val="32"/>
          <w:szCs w:val="32"/>
        </w:rPr>
        <w:t>二是注重“松绑+激励”。</w:t>
      </w:r>
      <w:r>
        <w:rPr>
          <w:rFonts w:hint="eastAsia" w:ascii="仿宋_GB2312" w:hAnsi="Calibri" w:cs="Times New Roman"/>
          <w:b w:val="0"/>
          <w:sz w:val="32"/>
          <w:szCs w:val="22"/>
        </w:rPr>
        <w:t>通过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进一步简化预算科目和预算编制，下放预算调剂权限，改进项目结余资金管理等，扩大科研单位和科研人员人财物自主权，切实让经费为人的创造性活动服务。</w:t>
      </w:r>
    </w:p>
    <w:p>
      <w:pPr>
        <w:numPr>
          <w:ilvl w:val="0"/>
          <w:numId w:val="0"/>
        </w:numPr>
        <w:snapToGrid w:val="0"/>
        <w:spacing w:line="560" w:lineRule="exact"/>
        <w:ind w:firstLine="624" w:firstLineChars="200"/>
        <w:rPr>
          <w:rFonts w:hint="eastAsia" w:ascii="仿宋_GB2312" w:hAnsi="仿宋_GB2312"/>
          <w:color w:val="000000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eastAsia="zh-CN"/>
        </w:rPr>
        <w:t>三</w:t>
      </w:r>
      <w:r>
        <w:rPr>
          <w:rFonts w:ascii="仿宋_GB2312" w:hAnsi="Calibri" w:eastAsia="仿宋_GB2312" w:cs="Times New Roman"/>
          <w:b/>
          <w:sz w:val="32"/>
          <w:szCs w:val="32"/>
        </w:rPr>
        <w:t>是</w:t>
      </w:r>
      <w:r>
        <w:rPr>
          <w:rFonts w:hint="eastAsia" w:ascii="仿宋_GB2312" w:hAnsi="Calibri" w:eastAsia="仿宋_GB2312" w:cs="Times New Roman"/>
          <w:b/>
          <w:sz w:val="32"/>
          <w:szCs w:val="32"/>
          <w:lang w:eastAsia="zh-CN"/>
        </w:rPr>
        <w:t>注重优化资金监管</w:t>
      </w:r>
      <w:r>
        <w:rPr>
          <w:rFonts w:ascii="仿宋_GB2312" w:hAnsi="Calibri" w:eastAsia="仿宋_GB2312" w:cs="Times New Roman"/>
          <w:b/>
          <w:sz w:val="32"/>
          <w:szCs w:val="32"/>
        </w:rPr>
        <w:t>。</w:t>
      </w:r>
      <w:r>
        <w:rPr>
          <w:rFonts w:hint="default" w:ascii="仿宋_GB2312" w:hAnsi="Calibri" w:cs="Times New Roman"/>
          <w:kern w:val="2"/>
          <w:sz w:val="32"/>
          <w:szCs w:val="22"/>
          <w:u w:val="none"/>
          <w:lang w:eastAsia="zh-CN" w:bidi="ar-SA"/>
        </w:rPr>
        <w:t>实行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科研经费使用“负面清单”</w:t>
      </w:r>
      <w:r>
        <w:rPr>
          <w:rFonts w:hint="default" w:ascii="仿宋_GB2312" w:hAnsi="Calibri" w:cs="Times New Roman"/>
          <w:kern w:val="2"/>
          <w:sz w:val="32"/>
          <w:szCs w:val="22"/>
          <w:u w:val="none"/>
          <w:lang w:eastAsia="zh-CN" w:bidi="ar-SA"/>
        </w:rPr>
        <w:t>管理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,明确科研经费使用禁止性行为。为保障财政资金安全，对项目单位经营异常或存在失信行为等情况的，可暂缓拨付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或停止拨付资金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三</w:t>
      </w:r>
      <w:r>
        <w:rPr>
          <w:rFonts w:ascii="黑体" w:hAnsi="黑体" w:eastAsia="黑体" w:cs="Times New Roman"/>
          <w:bCs/>
          <w:sz w:val="32"/>
          <w:szCs w:val="28"/>
        </w:rPr>
        <w:t>、</w:t>
      </w:r>
      <w:r>
        <w:rPr>
          <w:rFonts w:hint="eastAsia" w:ascii="黑体" w:hAnsi="黑体" w:eastAsia="黑体" w:cs="Times New Roman"/>
          <w:bCs/>
          <w:sz w:val="32"/>
          <w:szCs w:val="28"/>
        </w:rPr>
        <w:t>主要</w:t>
      </w:r>
      <w:r>
        <w:rPr>
          <w:rFonts w:hint="eastAsia" w:ascii="黑体" w:hAnsi="黑体" w:eastAsia="黑体" w:cs="Times New Roman"/>
          <w:bCs/>
          <w:sz w:val="32"/>
          <w:szCs w:val="28"/>
          <w:lang w:eastAsia="zh-CN"/>
        </w:rPr>
        <w:t>内容和特点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2"/>
          <w:u w:val="none"/>
          <w:lang w:val="en-US" w:eastAsia="zh-CN" w:bidi="ar-SA"/>
        </w:rPr>
        <w:t>（一）主要内容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《资金管理办法》共八章三十一条，包括预算编制、资金管理、绩效管理、监督检查等方面，主要内容为：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1.总则。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" w:eastAsia="zh-CN" w:bidi="ar-SA"/>
        </w:rPr>
        <w:t>明确了办法设立的依据、科技研发资金定义和管理原则。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涉及第一至三条。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2.管理职责及分工。明确市科技行政主管部门、市财政部门和科技研发资金支持对象的职责和分工。涉及第四至六条。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3.支持对象和方式。明确科技研发资金支持对象范围，资助方式和原则。资助方式主要包括事前资助、事后补助、奖励补助等。涉及第七至八条。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4.预算编制。明确预算编制要求、项目经费范围、经费列支要求等。涉及第九至十五条。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5.资金管理方式。对资金使用、资金拨付、经费调剂、负面清单管理、资金跨境拨付、结余资金处理等进行了规定。涉及第十六至二十四条。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6.绩效管理。对绩效监控、绩效目标管理、绩效</w:t>
      </w:r>
      <w:r>
        <w:rPr>
          <w:rFonts w:hint="default" w:ascii="仿宋_GB2312" w:hAnsi="Calibri" w:cs="Times New Roman"/>
          <w:kern w:val="2"/>
          <w:sz w:val="32"/>
          <w:szCs w:val="22"/>
          <w:u w:val="none"/>
          <w:lang w:eastAsia="zh-CN" w:bidi="ar-SA"/>
        </w:rPr>
        <w:t>评价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结果运用等进行了明确。涉及第二十五至二十七条。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7.监督与责任。对工作人员、承担单位、科研人员等违规违法的后果进行了规定。涉及第二十八至二十九条。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8.对政策衔接和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施行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时间进行了规定。涉及第三十条和三十一条。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2"/>
          <w:u w:val="none"/>
          <w:lang w:val="en-US" w:eastAsia="zh-CN" w:bidi="ar-SA"/>
        </w:rPr>
        <w:t>（二）主要特点</w:t>
      </w:r>
    </w:p>
    <w:p>
      <w:pPr>
        <w:spacing w:line="560" w:lineRule="exact"/>
        <w:ind w:firstLine="640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cs="Times New Roman"/>
          <w:b/>
          <w:bCs/>
          <w:sz w:val="32"/>
          <w:szCs w:val="28"/>
          <w:lang w:val="en-US" w:eastAsia="zh-CN"/>
        </w:rPr>
        <w:t>1.</w:t>
      </w:r>
      <w:r>
        <w:rPr>
          <w:rFonts w:hint="default" w:ascii="仿宋_GB2312" w:hAnsi="仿宋_GB2312" w:cs="Times New Roman"/>
          <w:b/>
          <w:bCs/>
          <w:sz w:val="32"/>
          <w:szCs w:val="28"/>
          <w:lang w:eastAsia="zh-CN"/>
        </w:rPr>
        <w:t>科技重大项目可外拨</w:t>
      </w:r>
      <w:r>
        <w:rPr>
          <w:rFonts w:hint="default" w:ascii="仿宋_GB2312" w:hAnsi="仿宋_GB2312" w:eastAsia="仿宋_GB2312" w:cs="Times New Roman"/>
          <w:b/>
          <w:bCs/>
          <w:sz w:val="32"/>
          <w:szCs w:val="28"/>
          <w:lang w:eastAsia="zh-CN"/>
        </w:rPr>
        <w:t>市外</w:t>
      </w:r>
      <w:r>
        <w:rPr>
          <w:rFonts w:hint="default" w:ascii="仿宋_GB2312" w:hAnsi="仿宋_GB2312" w:cs="Times New Roman"/>
          <w:b/>
          <w:bCs/>
          <w:sz w:val="32"/>
          <w:szCs w:val="28"/>
          <w:lang w:eastAsia="zh-CN"/>
        </w:rPr>
        <w:t>参与</w:t>
      </w:r>
      <w:r>
        <w:rPr>
          <w:rFonts w:hint="default" w:ascii="仿宋_GB2312" w:hAnsi="仿宋_GB2312" w:eastAsia="仿宋_GB2312" w:cs="Times New Roman"/>
          <w:b/>
          <w:bCs/>
          <w:sz w:val="32"/>
          <w:szCs w:val="28"/>
          <w:lang w:eastAsia="zh-CN"/>
        </w:rPr>
        <w:t>单位</w:t>
      </w:r>
      <w:r>
        <w:rPr>
          <w:rFonts w:hint="default" w:ascii="仿宋_GB2312" w:hAnsi="仿宋_GB2312" w:cs="Times New Roman"/>
          <w:b/>
          <w:bCs/>
          <w:sz w:val="32"/>
          <w:szCs w:val="28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参与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科技重大项目的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市外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eastAsia="zh-CN" w:bidi="ar-SA"/>
        </w:rPr>
        <w:t>单位，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市财政预算金额不超过市财政预算金额的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50%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，并且不超过牵头单位的市财政预算金额。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简化预算编制</w:t>
      </w: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直接费用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预算科目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由原来四项精简调整为三项，分别为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设备费、业务费、人力资源费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直接费用中除50万元以上的设备费外,其他费用可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以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只提供基本测算依据,无需提供明细说明。</w:t>
      </w:r>
      <w:r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按照相关政策规定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实行经费包干制的项目，无需编制项目经费预算。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3.优化设备费列支。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" w:eastAsia="zh-CN" w:bidi="ar-SA"/>
        </w:rPr>
        <w:t>明确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u w:val="none"/>
          <w:lang w:val="en-US" w:eastAsia="zh-CN" w:bidi="ar-SA"/>
        </w:rPr>
        <w:t>与科研项目直接相关的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u w:val="none"/>
          <w:lang w:val="en" w:eastAsia="zh-CN" w:bidi="ar-SA"/>
        </w:rPr>
        <w:t>计算类仪器设备和软件工具可在设备费科目列支。鼓励开放共享、自主研制、租赁专用仪器设备以及对现有仪器设备进行升级改造，避免重复购置</w:t>
      </w:r>
      <w:r>
        <w:rPr>
          <w:rFonts w:hint="eastAsia" w:ascii="仿宋_GB2312" w:hAnsi="Calibri" w:cs="Times New Roman"/>
          <w:kern w:val="2"/>
          <w:sz w:val="32"/>
          <w:szCs w:val="22"/>
          <w:u w:val="none"/>
          <w:lang w:val="en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0"/>
        <w:textAlignment w:val="auto"/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4.合理确定间接费用比例。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间接费用实行总额控制,按照不超过直接费用扣除设备费后的30%核定,对数学等纯理论基础研究项目,间接费用比例不超过65%。间接费用由项目承担单位统筹安排使用,可全部用于绩效支出,并向创新绩效突出的团队和个人倾斜。</w:t>
      </w:r>
      <w:r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 xml:space="preserve">  </w:t>
      </w:r>
    </w:p>
    <w:p>
      <w:pPr>
        <w:numPr>
          <w:ilvl w:val="0"/>
          <w:numId w:val="0"/>
        </w:numPr>
        <w:snapToGrid w:val="0"/>
        <w:spacing w:line="560" w:lineRule="exact"/>
        <w:ind w:firstLine="624" w:firstLineChars="200"/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仿宋_GB2312" w:hAnsi="仿宋_GB2312" w:cs="Times New Roman"/>
          <w:b/>
          <w:bCs/>
          <w:sz w:val="32"/>
          <w:szCs w:val="28"/>
          <w:lang w:eastAsia="zh-CN"/>
        </w:rPr>
        <w:t>5</w:t>
      </w:r>
      <w:r>
        <w:rPr>
          <w:rFonts w:hint="default" w:ascii="仿宋_GB2312" w:hAnsi="仿宋_GB2312" w:eastAsia="仿宋_GB2312" w:cs="Times New Roman"/>
          <w:b/>
          <w:bCs/>
          <w:sz w:val="32"/>
          <w:szCs w:val="28"/>
          <w:lang w:eastAsia="zh-CN"/>
        </w:rPr>
        <w:t>.进一步下放</w:t>
      </w: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预算调剂</w:t>
      </w:r>
      <w:r>
        <w:rPr>
          <w:rFonts w:hint="default" w:ascii="仿宋_GB2312" w:hAnsi="仿宋_GB2312" w:eastAsia="仿宋_GB2312" w:cs="Times New Roman"/>
          <w:b/>
          <w:bCs/>
          <w:sz w:val="32"/>
          <w:szCs w:val="28"/>
          <w:lang w:eastAsia="zh-CN"/>
        </w:rPr>
        <w:t>权限。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项目总预算不变的情况下,设备费和间接费用均由项目承担单位按照实际需要自主调剂,间接费用</w:t>
      </w:r>
      <w:r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由项目承担单位</w:t>
      </w:r>
      <w:r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自主调剂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。除设备费外的其他直接费用调剂权全部由</w:t>
      </w:r>
      <w:r>
        <w:rPr>
          <w:rFonts w:hint="eastAsia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项目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承担单位下放给项目负责人,由项目负责人根据科研项目实际自主安排</w:t>
      </w:r>
      <w:r>
        <w:rPr>
          <w:rFonts w:hint="default" w:ascii="仿宋_GB2312" w:hAnsi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24" w:firstLineChars="200"/>
        <w:rPr>
          <w:rFonts w:hint="eastAsia" w:ascii="仿宋_GB2312" w:hAnsi="仿宋_GB2312"/>
          <w:color w:val="000000"/>
          <w:szCs w:val="32"/>
          <w:highlight w:val="none"/>
        </w:rPr>
      </w:pPr>
      <w:r>
        <w:rPr>
          <w:rFonts w:hint="default" w:ascii="仿宋_GB2312" w:hAnsi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28"/>
          <w:highlight w:val="none"/>
          <w:shd w:val="clear" w:color="auto" w:fill="auto"/>
        </w:rPr>
        <w:t>6.加强科研资金拨付管理。</w:t>
      </w:r>
      <w:r>
        <w:rPr>
          <w:rFonts w:hint="eastAsia" w:ascii="仿宋_GB2312" w:hAnsi="仿宋_GB2312" w:cs="宋体"/>
          <w:bCs/>
          <w:color w:val="000000"/>
          <w:kern w:val="0"/>
          <w:szCs w:val="32"/>
          <w:highlight w:val="none"/>
          <w:shd w:val="clear" w:color="auto" w:fill="FFFFFF"/>
        </w:rPr>
        <w:t>项目</w:t>
      </w:r>
      <w:r>
        <w:rPr>
          <w:rFonts w:hint="eastAsia" w:ascii="仿宋_GB2312" w:hAnsi="仿宋_GB2312"/>
          <w:color w:val="000000"/>
          <w:szCs w:val="32"/>
          <w:highlight w:val="none"/>
        </w:rPr>
        <w:t>资金拨付前，市科技行政主管部门如发现项目承担单位存在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超期未验收、未按要求退回财政资金</w:t>
      </w:r>
      <w:r>
        <w:rPr>
          <w:rFonts w:hint="default" w:ascii="仿宋_GB2312" w:hAnsi="仿宋_GB2312"/>
          <w:color w:val="000000"/>
          <w:szCs w:val="32"/>
          <w:highlight w:val="none"/>
          <w:lang w:eastAsia="zh-CN"/>
        </w:rPr>
        <w:t>，</w:t>
      </w:r>
      <w:r>
        <w:rPr>
          <w:rFonts w:hint="eastAsia" w:ascii="仿宋_GB2312" w:hAnsi="仿宋_GB2312"/>
          <w:color w:val="000000"/>
          <w:szCs w:val="32"/>
          <w:highlight w:val="none"/>
        </w:rPr>
        <w:t>影响项目执行、影响财政资金安全的经营异常或者银行账户冻结等异常情况的，可暂缓拨付资金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，超过</w:t>
      </w:r>
      <w:r>
        <w:rPr>
          <w:rFonts w:hint="eastAsia" w:ascii="仿宋_GB2312" w:hAnsi="仿宋_GB2312"/>
          <w:color w:val="000000"/>
          <w:szCs w:val="32"/>
          <w:highlight w:val="none"/>
          <w:lang w:val="en-US" w:eastAsia="zh-CN"/>
        </w:rPr>
        <w:t>1年仍未能拨付的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项目，</w:t>
      </w:r>
      <w:r>
        <w:rPr>
          <w:rFonts w:hint="default" w:ascii="仿宋_GB2312" w:hAnsi="仿宋_GB2312"/>
          <w:color w:val="000000"/>
          <w:szCs w:val="32"/>
          <w:highlight w:val="none"/>
        </w:rPr>
        <w:t>停止拨付资金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并按规定撤销或终止项目</w:t>
      </w:r>
      <w:r>
        <w:rPr>
          <w:rFonts w:hint="eastAsia" w:ascii="仿宋_GB2312" w:hAnsi="仿宋_GB2312"/>
          <w:color w:val="000000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default" w:ascii="仿宋_GB2312" w:hAnsi="仿宋_GB2312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</w:pPr>
    </w:p>
    <w:p>
      <w:pPr>
        <w:suppressAutoHyphens/>
        <w:snapToGrid/>
        <w:spacing w:line="560" w:lineRule="exact"/>
        <w:ind w:firstLine="640"/>
        <w:textAlignment w:val="auto"/>
        <w:rPr>
          <w:rFonts w:hint="eastAsia" w:ascii="仿宋_GB2312" w:hAnsi="仿宋_GB2312"/>
          <w:color w:val="000000"/>
          <w:szCs w:val="32"/>
          <w:highlight w:val="none"/>
          <w:lang w:eastAsia="zh-CN"/>
        </w:rPr>
      </w:pPr>
      <w:r>
        <w:rPr>
          <w:rFonts w:hint="default" w:ascii="仿宋_GB2312" w:hAnsi="仿宋_GB2312" w:cs="Times New Roman"/>
          <w:b/>
          <w:bCs/>
          <w:sz w:val="32"/>
          <w:szCs w:val="28"/>
          <w:lang w:eastAsia="zh-CN"/>
        </w:rPr>
        <w:t>7</w:t>
      </w:r>
      <w:r>
        <w:rPr>
          <w:rFonts w:hint="eastAsia" w:ascii="仿宋_GB2312" w:hAnsi="仿宋_GB2312" w:eastAsia="仿宋_GB2312" w:cs="Times New Roman"/>
          <w:b/>
          <w:bCs/>
          <w:sz w:val="32"/>
          <w:szCs w:val="28"/>
          <w:lang w:val="en-US" w:eastAsia="zh-CN"/>
        </w:rPr>
        <w:t>.实行“负面清单”管理。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实行科技</w:t>
      </w:r>
      <w:r>
        <w:rPr>
          <w:rFonts w:hint="eastAsia" w:ascii="仿宋_GB2312" w:hAnsi="仿宋_GB2312"/>
          <w:color w:val="000000"/>
          <w:szCs w:val="32"/>
          <w:highlight w:val="none"/>
        </w:rPr>
        <w:t>研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发资金</w:t>
      </w:r>
      <w:r>
        <w:rPr>
          <w:rFonts w:hint="eastAsia" w:ascii="仿宋_GB2312" w:hAnsi="仿宋_GB2312"/>
          <w:color w:val="000000"/>
          <w:szCs w:val="32"/>
          <w:highlight w:val="none"/>
        </w:rPr>
        <w:t>使用“负面清单”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/>
          <w:color w:val="000000"/>
          <w:szCs w:val="32"/>
          <w:highlight w:val="none"/>
        </w:rPr>
        <w:t>,明确科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技</w:t>
      </w:r>
      <w:r>
        <w:rPr>
          <w:rFonts w:hint="eastAsia" w:ascii="仿宋_GB2312" w:hAnsi="仿宋_GB2312"/>
          <w:color w:val="000000"/>
          <w:szCs w:val="32"/>
          <w:highlight w:val="none"/>
        </w:rPr>
        <w:t>研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发资金</w:t>
      </w:r>
      <w:r>
        <w:rPr>
          <w:rFonts w:hint="eastAsia" w:ascii="仿宋_GB2312" w:hAnsi="仿宋_GB2312"/>
          <w:color w:val="000000"/>
          <w:szCs w:val="32"/>
          <w:highlight w:val="none"/>
        </w:rPr>
        <w:t>使用禁止性行为。</w:t>
      </w:r>
      <w:r>
        <w:rPr>
          <w:rFonts w:hint="eastAsia" w:ascii="仿宋_GB2312" w:hAnsi="仿宋_GB2312"/>
          <w:color w:val="000000"/>
          <w:szCs w:val="32"/>
          <w:highlight w:val="none"/>
          <w:lang w:val="en-US" w:eastAsia="zh-CN"/>
        </w:rPr>
        <w:t>项目承担</w:t>
      </w:r>
      <w:r>
        <w:rPr>
          <w:rFonts w:hint="eastAsia" w:ascii="仿宋_GB2312" w:hAnsi="仿宋_GB2312"/>
          <w:color w:val="000000"/>
          <w:szCs w:val="32"/>
          <w:highlight w:val="none"/>
        </w:rPr>
        <w:t>单位应</w:t>
      </w:r>
      <w:r>
        <w:rPr>
          <w:rFonts w:hint="eastAsia" w:ascii="仿宋_GB2312" w:hAnsi="仿宋_GB2312"/>
          <w:color w:val="000000"/>
          <w:szCs w:val="32"/>
          <w:highlight w:val="none"/>
          <w:lang w:val="en-US" w:eastAsia="zh-CN"/>
        </w:rPr>
        <w:t>当</w:t>
      </w:r>
      <w:r>
        <w:rPr>
          <w:rFonts w:hint="eastAsia" w:ascii="仿宋_GB2312" w:hAnsi="仿宋_GB2312"/>
          <w:color w:val="000000"/>
          <w:szCs w:val="32"/>
          <w:highlight w:val="none"/>
        </w:rPr>
        <w:t>建立与“负面清单”相适应的管理制度,确保经费支出合规合理</w:t>
      </w:r>
      <w:r>
        <w:rPr>
          <w:rFonts w:hint="eastAsia" w:ascii="仿宋_GB2312" w:hAnsi="仿宋_GB2312"/>
          <w:color w:val="000000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57DC6656"/>
    <w:rsid w:val="57D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2022-09-19T07:17:00Z</dcterms:created>
  <dc:creator>杜小猪</dc:creator>
  <cp:lastModifiedBy>杜小猪</cp:lastModifiedBy>
  <dcterms:modified xsi:type="dcterms:W3CDTF">2022-09-19T07:19:33Z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AF892A4CD5B9407ABE8C82BB6C7023F3</vt:lpwstr>
  </property>
</Properties>
</file>