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ind w:firstLine="0" w:firstLineChars="0"/>
        <w:jc w:val="center"/>
        <w:rPr>
          <w:rFonts w:ascii="宋体" w:hAnsi="宋体" w:eastAsia="宋体"/>
          <w:b/>
          <w:sz w:val="44"/>
          <w:szCs w:val="44"/>
        </w:rPr>
      </w:pPr>
      <w:r>
        <w:rPr>
          <w:rFonts w:ascii="宋体" w:hAnsi="宋体" w:eastAsia="宋体"/>
          <w:b/>
          <w:sz w:val="44"/>
          <w:szCs w:val="44"/>
        </w:rPr>
        <w:t>《深圳市金融机构环境信息披露指引</w:t>
      </w:r>
      <w:r>
        <w:rPr>
          <w:rFonts w:hint="eastAsia" w:ascii="宋体" w:hAnsi="宋体" w:eastAsia="宋体"/>
          <w:b/>
          <w:sz w:val="44"/>
          <w:szCs w:val="44"/>
        </w:rPr>
        <w:t>（征求意见稿）</w:t>
      </w:r>
      <w:r>
        <w:rPr>
          <w:rFonts w:ascii="宋体" w:hAnsi="宋体" w:eastAsia="宋体"/>
          <w:b/>
          <w:sz w:val="44"/>
          <w:szCs w:val="44"/>
        </w:rPr>
        <w:t>》编制说明</w:t>
      </w:r>
    </w:p>
    <w:p>
      <w:pPr>
        <w:ind w:firstLine="640"/>
      </w:pPr>
      <w:r>
        <w:rPr>
          <w:rFonts w:hint="eastAsia"/>
        </w:rPr>
        <w:t>为贯彻落实《深圳经济特区绿色金融条例》（</w:t>
      </w:r>
      <w:r>
        <w:fldChar w:fldCharType="begin"/>
      </w:r>
      <w:r>
        <w:instrText xml:space="preserve"> HYPERLINK "https://baike.baidu.com/item/%E6%B7%B1%E5%9C%B3%E5%B8%82/11044365" \t "_blank" </w:instrText>
      </w:r>
      <w:r>
        <w:fldChar w:fldCharType="separate"/>
      </w:r>
      <w:r>
        <w:rPr>
          <w:rFonts w:hint="eastAsia"/>
        </w:rPr>
        <w:t>深圳市</w:t>
      </w:r>
      <w:r>
        <w:rPr>
          <w:rFonts w:hint="eastAsia"/>
        </w:rPr>
        <w:fldChar w:fldCharType="end"/>
      </w:r>
      <w:r>
        <w:rPr>
          <w:rFonts w:hint="eastAsia"/>
        </w:rPr>
        <w:t>第六届</w:t>
      </w:r>
      <w:r>
        <w:fldChar w:fldCharType="begin"/>
      </w:r>
      <w:r>
        <w:instrText xml:space="preserve"> HYPERLINK "https://baike.baidu.com/item/%E4%BA%BA%E6%B0%91%E4%BB%A3%E8%A1%A8%E5%A4%A7%E4%BC%9A%E5%B8%B8%E5%8A%A1%E5%A7%94%E5%91%98%E4%BC%9A/8904157" \t "_blank" </w:instrText>
      </w:r>
      <w:r>
        <w:fldChar w:fldCharType="separate"/>
      </w:r>
      <w:r>
        <w:rPr>
          <w:rFonts w:hint="eastAsia"/>
        </w:rPr>
        <w:t>人民代表大会常务委员会</w:t>
      </w:r>
      <w:r>
        <w:rPr>
          <w:rFonts w:hint="eastAsia"/>
        </w:rPr>
        <w:fldChar w:fldCharType="end"/>
      </w:r>
      <w:r>
        <w:rPr>
          <w:rFonts w:hint="eastAsia"/>
        </w:rPr>
        <w:t>公告第二二二号）相关规定，规范深圳市金融机构环境信息披露工作，提高环境信息披露质量，促进金融机构绿色转型升级，在深圳市地方金融监督管理局指导下，深圳市绿色金融协会（以下简称深圳绿金协）组织会员单位及专业机构起草了《</w:t>
      </w:r>
      <w:r>
        <w:t>深圳市金融机构环境信息披露指引</w:t>
      </w:r>
      <w:r>
        <w:rPr>
          <w:rFonts w:hint="eastAsia"/>
        </w:rPr>
        <w:t>（征求意见稿）》（以下简称《指引》）</w:t>
      </w:r>
      <w:r>
        <w:t>。现将有关情况说明如下：</w:t>
      </w:r>
    </w:p>
    <w:p>
      <w:pPr>
        <w:pStyle w:val="2"/>
        <w:ind w:firstLine="640"/>
      </w:pPr>
      <w:r>
        <w:t>一</w:t>
      </w:r>
      <w:r>
        <w:rPr>
          <w:rFonts w:hint="eastAsia"/>
        </w:rPr>
        <w:t>、</w:t>
      </w:r>
      <w:r>
        <w:t>编制背景</w:t>
      </w:r>
    </w:p>
    <w:p>
      <w:pPr>
        <w:ind w:firstLine="640"/>
      </w:pPr>
      <w:r>
        <w:rPr>
          <w:rFonts w:hint="eastAsia"/>
        </w:rPr>
        <w:t>为贯彻落实习近平生态文明思想</w:t>
      </w:r>
      <w:bookmarkStart w:id="0" w:name="_GoBack"/>
      <w:bookmarkEnd w:id="0"/>
      <w:r>
        <w:rPr>
          <w:rFonts w:hint="eastAsia"/>
        </w:rPr>
        <w:t>、落实《粤港澳大湾区发展规划纲要》《中共中央国务院关于支持深圳建设中国特色社会主义先行示范区的意见》中提出的绿色金融发展</w:t>
      </w:r>
      <w:r>
        <w:t>要求</w:t>
      </w:r>
      <w:r>
        <w:rPr>
          <w:rFonts w:hint="eastAsia"/>
        </w:rPr>
        <w:t>，深圳市于2020年10月2</w:t>
      </w:r>
      <w:r>
        <w:t>9日颁布</w:t>
      </w:r>
      <w:r>
        <w:rPr>
          <w:rFonts w:hint="eastAsia"/>
        </w:rPr>
        <w:t>《深圳经济特区绿色金融条例》（以下简称《绿金条例》），明确绿色金融相关参与主体的责任义务，为绿色金融发展营造优良的法律环境，规范绿色金融发展体系。</w:t>
      </w:r>
    </w:p>
    <w:p>
      <w:pPr>
        <w:ind w:firstLine="640"/>
      </w:pPr>
      <w:r>
        <w:rPr>
          <w:rFonts w:hint="eastAsia"/>
        </w:rPr>
        <w:t>《条例》</w:t>
      </w:r>
      <w:r>
        <w:t>要求</w:t>
      </w:r>
      <w:r>
        <w:rPr>
          <w:rFonts w:hint="eastAsia"/>
        </w:rPr>
        <w:t>“</w:t>
      </w:r>
      <w:r>
        <w:t>金融机构应当依照条例规定对资金投向的企业</w:t>
      </w:r>
      <w:r>
        <w:rPr>
          <w:rFonts w:hint="eastAsia"/>
        </w:rPr>
        <w:t>、</w:t>
      </w:r>
      <w:r>
        <w:t>项目或者资产所产生的环境影响信息进行披露</w:t>
      </w:r>
      <w:r>
        <w:rPr>
          <w:rFonts w:hint="eastAsia"/>
        </w:rPr>
        <w:t>”，同时明确了强制开展环境信息披露的主体、披露形式及披露时间要求。为更好地贯彻落实《绿金条例》工作，规范金融机构的环境信息披露行为，保证金融机构披露的环境信息客观、准确、科学、可比，深圳绿金协组织会员单位及专业机构，结合</w:t>
      </w:r>
      <w:r>
        <w:rPr>
          <w:rFonts w:hint="eastAsia" w:ascii="仿宋_GB2312" w:cs="Times New Roman"/>
          <w:color w:val="000000"/>
        </w:rPr>
        <w:t>深圳</w:t>
      </w:r>
      <w:r>
        <w:rPr>
          <w:rFonts w:cs="Times New Roman"/>
        </w:rPr>
        <w:t>产业发展的实际情况</w:t>
      </w:r>
      <w:r>
        <w:rPr>
          <w:rFonts w:hint="eastAsia" w:cs="Times New Roman"/>
        </w:rPr>
        <w:t>，配套制定本指引。</w:t>
      </w:r>
    </w:p>
    <w:p>
      <w:pPr>
        <w:pStyle w:val="2"/>
        <w:ind w:firstLine="640"/>
      </w:pPr>
      <w:r>
        <w:t>二</w:t>
      </w:r>
      <w:r>
        <w:rPr>
          <w:rFonts w:hint="eastAsia"/>
        </w:rPr>
        <w:t>、</w:t>
      </w:r>
      <w:r>
        <w:t>工作亮点</w:t>
      </w:r>
    </w:p>
    <w:p>
      <w:pPr>
        <w:pStyle w:val="3"/>
        <w:ind w:firstLine="643"/>
      </w:pPr>
      <w:r>
        <w:rPr>
          <w:rFonts w:hint="eastAsia"/>
        </w:rPr>
        <w:t>（一）细化指标要求，推动披露内容的科学可比</w:t>
      </w:r>
    </w:p>
    <w:p>
      <w:pPr>
        <w:spacing w:line="570" w:lineRule="exact"/>
        <w:ind w:firstLine="640"/>
        <w:rPr>
          <w:szCs w:val="32"/>
        </w:rPr>
      </w:pPr>
      <w:r>
        <w:rPr>
          <w:rFonts w:hint="eastAsia"/>
        </w:rPr>
        <w:t>《指引》遵循《绿金条例》要求，</w:t>
      </w:r>
      <w:r>
        <w:rPr>
          <w:rFonts w:hint="eastAsia"/>
          <w:b/>
          <w:szCs w:val="32"/>
        </w:rPr>
        <w:t>明确、细化了</w:t>
      </w:r>
      <w:r>
        <w:rPr>
          <w:rFonts w:hint="eastAsia" w:asciiTheme="minorHAnsi" w:hAnsiTheme="minorHAnsi"/>
          <w:b/>
          <w:szCs w:val="32"/>
        </w:rPr>
        <w:t>金融机构需要披露的环境信息，</w:t>
      </w:r>
      <w:r>
        <w:rPr>
          <w:rFonts w:asciiTheme="minorHAnsi" w:hAnsiTheme="minorHAnsi"/>
          <w:b/>
          <w:szCs w:val="32"/>
        </w:rPr>
        <w:t>配套制定</w:t>
      </w:r>
      <w:r>
        <w:rPr>
          <w:rFonts w:hint="eastAsia" w:asciiTheme="minorHAnsi" w:hAnsiTheme="minorHAnsi"/>
          <w:b/>
          <w:szCs w:val="32"/>
        </w:rPr>
        <w:t>《深圳市金融机构环境信息披露模板与指标说明》，对披露指标的要求逐一进行解释说明，推动金融机构规范开展环境信息披露，保障披露的环境信息测算方法透明、数据信息可比</w:t>
      </w:r>
      <w:r>
        <w:rPr>
          <w:rFonts w:hint="eastAsia" w:asciiTheme="minorHAnsi" w:hAnsiTheme="minorHAnsi"/>
          <w:szCs w:val="32"/>
        </w:rPr>
        <w:t>，一方面</w:t>
      </w:r>
      <w:r>
        <w:rPr>
          <w:rFonts w:asciiTheme="minorHAnsi" w:hAnsiTheme="minorHAnsi"/>
          <w:szCs w:val="32"/>
        </w:rPr>
        <w:t>满足金融监管机构的监管要求</w:t>
      </w:r>
      <w:r>
        <w:rPr>
          <w:rFonts w:hint="eastAsia" w:asciiTheme="minorHAnsi" w:hAnsiTheme="minorHAnsi"/>
          <w:szCs w:val="32"/>
        </w:rPr>
        <w:t>；另一方面</w:t>
      </w:r>
      <w:r>
        <w:rPr>
          <w:rFonts w:asciiTheme="minorHAnsi" w:hAnsiTheme="minorHAnsi"/>
        </w:rPr>
        <w:t>以更具体、更全面并有依据可循地为金融机构环境信息披露提供更好的内容和方法支持</w:t>
      </w:r>
      <w:r>
        <w:rPr>
          <w:rFonts w:hint="eastAsia" w:asciiTheme="minorHAnsi" w:hAnsiTheme="minorHAnsi"/>
        </w:rPr>
        <w:t>，</w:t>
      </w:r>
      <w:r>
        <w:rPr>
          <w:rFonts w:asciiTheme="minorHAnsi" w:hAnsiTheme="minorHAnsi"/>
          <w:szCs w:val="32"/>
        </w:rPr>
        <w:t>帮助金融机构提升对环境信息披露的理解与能力</w:t>
      </w:r>
      <w:r>
        <w:rPr>
          <w:rFonts w:hint="eastAsia" w:asciiTheme="minorHAnsi" w:hAnsiTheme="minorHAnsi"/>
          <w:szCs w:val="32"/>
        </w:rPr>
        <w:t>，并通过</w:t>
      </w:r>
      <w:r>
        <w:rPr>
          <w:rFonts w:hint="eastAsia"/>
        </w:rPr>
        <w:t>开展</w:t>
      </w:r>
      <w:r>
        <w:t>环境信息披露加深机构管理人员及员工对绿色金融、气候与环境风险的认知，并实现金融机构内部环境与气候全流程管理。</w:t>
      </w:r>
    </w:p>
    <w:p>
      <w:pPr>
        <w:pStyle w:val="3"/>
        <w:ind w:firstLine="643"/>
      </w:pPr>
      <w:r>
        <w:rPr>
          <w:rFonts w:hint="eastAsia"/>
        </w:rPr>
        <w:t>（二）遵循国家标准，提升披露要求的可操性及全面性</w:t>
      </w:r>
    </w:p>
    <w:p>
      <w:pPr>
        <w:ind w:firstLine="640"/>
        <w:rPr>
          <w:rFonts w:asciiTheme="minorHAnsi" w:hAnsiTheme="minorHAnsi"/>
        </w:rPr>
      </w:pPr>
      <w:r>
        <w:rPr>
          <w:rFonts w:hint="eastAsia"/>
          <w:szCs w:val="32"/>
        </w:rPr>
        <w:t>《指引》严格遵照中国人民银行发布的《金融机构环境信息披露指南》（以下简称“《指南》”）（J</w:t>
      </w:r>
      <w:r>
        <w:rPr>
          <w:szCs w:val="32"/>
        </w:rPr>
        <w:t>R/T 0227-2021</w:t>
      </w:r>
      <w:r>
        <w:rPr>
          <w:rFonts w:hint="eastAsia"/>
          <w:szCs w:val="32"/>
        </w:rPr>
        <w:t>）披露框架要求，保证《指南》要求全覆盖，并在此基础上进一步</w:t>
      </w:r>
      <w:r>
        <w:rPr>
          <w:rFonts w:hint="eastAsia"/>
          <w:b/>
          <w:szCs w:val="32"/>
        </w:rPr>
        <w:t>细化分业态的绿色投融资及环境效益披露要求，提升了披露指引的可操作性</w:t>
      </w:r>
      <w:r>
        <w:rPr>
          <w:rFonts w:hint="eastAsia"/>
          <w:szCs w:val="32"/>
        </w:rPr>
        <w:t>；另外，《指引》</w:t>
      </w:r>
      <w:r>
        <w:rPr>
          <w:rFonts w:hint="eastAsia" w:asciiTheme="minorHAnsi" w:hAnsiTheme="minorHAnsi"/>
          <w:b/>
        </w:rPr>
        <w:t>增加了非绿资产的环境信息披露要求，同步关注并督促金融机构对棕色资产的退出，保证金融机构在创造环境效益的同时，不会在其他领域产生不良环境影响。</w:t>
      </w:r>
    </w:p>
    <w:p>
      <w:pPr>
        <w:pStyle w:val="3"/>
        <w:ind w:firstLine="643"/>
      </w:pPr>
      <w:r>
        <w:rPr>
          <w:rFonts w:hint="eastAsia"/>
        </w:rPr>
        <w:t>（三）对标国际先进，带动气候信息全领域披露的先行示范</w:t>
      </w:r>
    </w:p>
    <w:p>
      <w:pPr>
        <w:spacing w:line="570" w:lineRule="exact"/>
        <w:ind w:firstLine="640"/>
        <w:rPr>
          <w:rFonts w:asciiTheme="minorHAnsi" w:hAnsiTheme="minorHAnsi"/>
        </w:rPr>
      </w:pPr>
      <w:r>
        <w:rPr>
          <w:rFonts w:hint="eastAsia"/>
          <w:szCs w:val="32"/>
        </w:rPr>
        <w:t>目前国际已有多个主流组织将环境与气候相关信息纳入企业信息披露的框架中，其中影响力较为广泛的是20国集团金融稳定委员会成立的气候相关财务信息披露工作组（TCFD）发布的《气候相关财务信息披露工作组建议报告》，建议企业从公司治理、战略、目标、财务影响等四方面披露环境与气候对公司的影响。</w:t>
      </w:r>
      <w:r>
        <w:rPr>
          <w:rFonts w:hint="eastAsia"/>
        </w:rPr>
        <w:t>深圳市作为“双区”城市，肩负着“可持续发展先锋”的战略发展地位。</w:t>
      </w:r>
      <w:r>
        <w:rPr>
          <w:rFonts w:hint="eastAsia"/>
          <w:b/>
          <w:szCs w:val="32"/>
        </w:rPr>
        <w:t>《指引》</w:t>
      </w:r>
      <w:r>
        <w:rPr>
          <w:rFonts w:hint="eastAsia"/>
          <w:szCs w:val="32"/>
        </w:rPr>
        <w:t>在保证可行性的前提下，对标国际，</w:t>
      </w:r>
      <w:r>
        <w:rPr>
          <w:rFonts w:hint="eastAsia"/>
          <w:b/>
          <w:szCs w:val="32"/>
        </w:rPr>
        <w:t>积极借鉴</w:t>
      </w:r>
      <w:r>
        <w:rPr>
          <w:rFonts w:hint="eastAsia" w:asciiTheme="minorHAnsi" w:hAnsiTheme="minorHAnsi"/>
          <w:b/>
        </w:rPr>
        <w:t>吸纳国际环境与气候信息披露标准框架、测算方法，创新性、</w:t>
      </w:r>
      <w:r>
        <w:rPr>
          <w:rFonts w:asciiTheme="minorHAnsi" w:hAnsiTheme="minorHAnsi"/>
          <w:b/>
        </w:rPr>
        <w:t>领先性</w:t>
      </w:r>
      <w:r>
        <w:rPr>
          <w:rFonts w:hint="eastAsia" w:asciiTheme="minorHAnsi" w:hAnsiTheme="minorHAnsi"/>
          <w:b/>
        </w:rPr>
        <w:t>的要求金融机构披露其自身经营及投融资活动的范围一、范围二及范围三碳排放</w:t>
      </w:r>
      <w:r>
        <w:rPr>
          <w:rFonts w:hint="eastAsia" w:asciiTheme="minorHAnsi" w:hAnsiTheme="minorHAnsi"/>
        </w:rPr>
        <w:t>，利用环境信息披露倒逼金融机构提升自身运营的环境绩效，同时推动金融机构积极督促被投资对象的环境绩效改善，更好的服务深圳经济的绿色低碳转型及碳达峰、碳中和目标的实现。</w:t>
      </w:r>
    </w:p>
    <w:p>
      <w:pPr>
        <w:pStyle w:val="3"/>
        <w:ind w:firstLine="643"/>
      </w:pPr>
      <w:r>
        <w:rPr>
          <w:rFonts w:hint="eastAsia"/>
        </w:rPr>
        <w:t>（四）依托《指引》，推动粤港澳大湾区标准互认</w:t>
      </w:r>
    </w:p>
    <w:p>
      <w:pPr>
        <w:spacing w:line="570" w:lineRule="exact"/>
        <w:ind w:firstLine="640"/>
      </w:pPr>
      <w:r>
        <w:rPr>
          <w:rFonts w:hint="eastAsia"/>
        </w:rPr>
        <w:t>深圳绿金协将依托《指引》的工作基础与经验，编制粤港澳大湾区环境信息披露标准，以点带面，推动大湾区绿色金融标准的合作互认。</w:t>
      </w:r>
      <w:r>
        <w:t xml:space="preserve"> </w:t>
      </w:r>
    </w:p>
    <w:p>
      <w:pPr>
        <w:pStyle w:val="2"/>
        <w:ind w:firstLine="640"/>
      </w:pPr>
      <w:r>
        <w:t>三</w:t>
      </w:r>
      <w:r>
        <w:rPr>
          <w:rFonts w:hint="eastAsia"/>
        </w:rPr>
        <w:t>、编制过程</w:t>
      </w:r>
    </w:p>
    <w:p>
      <w:pPr>
        <w:pStyle w:val="3"/>
        <w:ind w:firstLine="643"/>
      </w:pPr>
      <w:r>
        <w:rPr>
          <w:rFonts w:hint="eastAsia"/>
        </w:rPr>
        <w:t>（一）现状调研</w:t>
      </w:r>
    </w:p>
    <w:p>
      <w:pPr>
        <w:ind w:firstLine="640"/>
        <w:rPr>
          <w:szCs w:val="32"/>
        </w:rPr>
      </w:pPr>
      <w:r>
        <w:rPr>
          <w:rFonts w:hint="eastAsia"/>
        </w:rPr>
        <w:t>深圳绿金协邀请深圳市各类金融机构及绿色金融领域专业第三方机构组建专项课题组，开展《指引》的编制工作，并于2</w:t>
      </w:r>
      <w:r>
        <w:t>021年</w:t>
      </w:r>
      <w:r>
        <w:rPr>
          <w:rFonts w:hint="eastAsia"/>
        </w:rPr>
        <w:t>4月正式启动研究制定工作。《指引》编制过程中，课题组成员发挥各自专业力量，共同对国内外环境信息披露法律法规、政策及披露建议进行研究，梳理了环境信息披露的基本要素、战略目标、治理架构、政策制度、风险机制等定性披露内容，分业态地梳理了风险管理、环境影响等定量披露内容。充分参考中国人民银行发布的《金融机构环境信息披露指南》国内标准制度文件，《气候相关财务信息披露工作组（TCFD）建议报告》《赤道原则》《可持续性发展报告指南》等国际主流环境信息/可持续披露指引文件。最后，通过调研研究，明确</w:t>
      </w:r>
      <w:r>
        <w:rPr>
          <w:rFonts w:hint="eastAsia"/>
          <w:szCs w:val="32"/>
        </w:rPr>
        <w:t>《深圳市金融机构环境信息披露指引》的制定思路及主要内容。</w:t>
      </w:r>
    </w:p>
    <w:p>
      <w:pPr>
        <w:pStyle w:val="3"/>
        <w:ind w:firstLine="643"/>
      </w:pPr>
      <w:r>
        <w:rPr>
          <w:rFonts w:hint="eastAsia"/>
        </w:rPr>
        <w:t>（二）线下座谈</w:t>
      </w:r>
    </w:p>
    <w:p>
      <w:pPr>
        <w:ind w:firstLine="640"/>
      </w:pPr>
      <w:r>
        <w:rPr>
          <w:rFonts w:hint="eastAsia"/>
        </w:rPr>
        <w:t>2021年8月，</w:t>
      </w:r>
      <w:r>
        <w:t>课题组举办了中期</w:t>
      </w:r>
      <w:r>
        <w:rPr>
          <w:rFonts w:hint="eastAsia"/>
        </w:rPr>
        <w:t>课题汇报会，</w:t>
      </w:r>
      <w:r>
        <w:t>会议邀请了</w:t>
      </w:r>
      <w:r>
        <w:rPr>
          <w:rFonts w:hint="eastAsia"/>
        </w:rPr>
        <w:t>深圳市地方金融监督管理局、中国人民银行深圳中心支行、</w:t>
      </w:r>
      <w:r>
        <w:fldChar w:fldCharType="begin"/>
      </w:r>
      <w:r>
        <w:instrText xml:space="preserve"> HYPERLINK "http://www.baidu.com/link?url=S-lAvX769FpaDD5nw6u_j3GN06k7JZ6CSIziE0gdXvkqLzbEkcviRbUhlWvQZm7lr5JT2An4W0eKWSwdbarpyuVTPRMPOCCJameWQDSWaNw22L5GRCzgWuhvKptlEq-uMAcEwaEYupWYR1RzHlnjd3EO6VT076Lp2IkF-iMVbnkOdnS0jP4F4idLcxQZBvJp-vuTlo2n8Js0Aht7a6oec2JYg4O3eQtUn-S95R2I9mW" \t "https://www.baidu.com/_blank" </w:instrText>
      </w:r>
      <w:r>
        <w:fldChar w:fldCharType="separate"/>
      </w:r>
      <w:r>
        <w:rPr>
          <w:rFonts w:hint="eastAsia"/>
        </w:rPr>
        <w:t>中国证券监督管理委员会深圳监管局</w:t>
      </w:r>
      <w:r>
        <w:rPr>
          <w:rFonts w:hint="eastAsia"/>
        </w:rPr>
        <w:fldChar w:fldCharType="end"/>
      </w:r>
      <w:r>
        <w:rPr>
          <w:rFonts w:hint="eastAsia"/>
        </w:rPr>
        <w:t>、中国银行保险监督委员会深圳监督局、深圳市市场监督管理局、深圳市生态环境局与课题组就深圳市金融机构环境信息披露指引相关工作进行交流，各</w:t>
      </w:r>
      <w:r>
        <w:t>相关部门</w:t>
      </w:r>
      <w:r>
        <w:rPr>
          <w:rFonts w:hint="eastAsia"/>
        </w:rPr>
        <w:t>就深圳市金融机构环境信息披露指引相关工作提出意见及建议。</w:t>
      </w:r>
    </w:p>
    <w:p>
      <w:pPr>
        <w:ind w:firstLine="640"/>
      </w:pPr>
      <w:r>
        <w:rPr>
          <w:rFonts w:hint="eastAsia"/>
        </w:rPr>
        <w:t>2021年12月，深圳市地方金融监督管理局牵头举行征求意见稿交流会，邀请机关单位和深圳市辖内各类金融机构的专家再次对《指引》提出专业意见。结合相关机构及专家意见，修改形成《深圳市金融机构环境信息披露指引（征求意见稿）》。</w:t>
      </w:r>
    </w:p>
    <w:p>
      <w:pPr>
        <w:pStyle w:val="2"/>
        <w:ind w:firstLine="640"/>
        <w:rPr>
          <w:rFonts w:cs="Times New Roman"/>
          <w:szCs w:val="32"/>
        </w:rPr>
      </w:pPr>
      <w:r>
        <w:rPr>
          <w:rFonts w:hint="eastAsia"/>
        </w:rPr>
        <w:t>四、</w:t>
      </w:r>
      <w:r>
        <w:rPr>
          <w:rFonts w:cs="Times New Roman"/>
          <w:szCs w:val="32"/>
        </w:rPr>
        <w:t>编制</w:t>
      </w:r>
      <w:r>
        <w:rPr>
          <w:rFonts w:hint="eastAsia" w:cs="Times New Roman"/>
          <w:szCs w:val="32"/>
        </w:rPr>
        <w:t>思路</w:t>
      </w:r>
    </w:p>
    <w:p>
      <w:pPr>
        <w:ind w:firstLine="640"/>
      </w:pPr>
      <w:r>
        <w:rPr>
          <w:rFonts w:hint="eastAsia"/>
        </w:rPr>
        <w:t>以《</w:t>
      </w:r>
      <w:r>
        <w:t>绿金条例</w:t>
      </w:r>
      <w:r>
        <w:rPr>
          <w:rFonts w:hint="eastAsia"/>
        </w:rPr>
        <w:t>》为基础，</w:t>
      </w:r>
      <w:r>
        <w:t>严格遵循</w:t>
      </w:r>
      <w:r>
        <w:rPr>
          <w:rFonts w:hint="eastAsia"/>
        </w:rPr>
        <w:t>《指南》要求，充分考虑可行性、科学性、连贯性、全面性，制定具有深圳特色的环境信息披露指引。</w:t>
      </w:r>
    </w:p>
    <w:p>
      <w:pPr>
        <w:pStyle w:val="3"/>
        <w:ind w:firstLine="643"/>
      </w:pPr>
      <w:r>
        <w:rPr>
          <w:rFonts w:hint="eastAsia"/>
        </w:rPr>
        <w:t>（一）可行性</w:t>
      </w:r>
    </w:p>
    <w:p>
      <w:pPr>
        <w:spacing w:line="570" w:lineRule="exact"/>
        <w:ind w:firstLine="640"/>
        <w:rPr>
          <w:szCs w:val="32"/>
        </w:rPr>
      </w:pPr>
      <w:r>
        <w:rPr>
          <w:rFonts w:hint="eastAsia"/>
          <w:szCs w:val="32"/>
        </w:rPr>
        <w:t>本指引结合深圳当地金融机构特色，深入研究银行、保险、证券、基金、金融租赁、信托等业态的</w:t>
      </w:r>
      <w:r>
        <w:rPr>
          <w:szCs w:val="32"/>
        </w:rPr>
        <w:t>披露指标、</w:t>
      </w:r>
      <w:r>
        <w:rPr>
          <w:rFonts w:hint="eastAsia"/>
          <w:szCs w:val="32"/>
        </w:rPr>
        <w:t>披露</w:t>
      </w:r>
      <w:r>
        <w:rPr>
          <w:szCs w:val="32"/>
        </w:rPr>
        <w:t>范围</w:t>
      </w:r>
      <w:r>
        <w:rPr>
          <w:rFonts w:hint="eastAsia"/>
          <w:szCs w:val="32"/>
        </w:rPr>
        <w:t>、披露</w:t>
      </w:r>
      <w:r>
        <w:rPr>
          <w:szCs w:val="32"/>
        </w:rPr>
        <w:t>程度</w:t>
      </w:r>
      <w:r>
        <w:rPr>
          <w:rFonts w:hint="eastAsia"/>
          <w:szCs w:val="32"/>
        </w:rPr>
        <w:t>及业务产品环境影响测算的可行性，披露内容</w:t>
      </w:r>
      <w:r>
        <w:rPr>
          <w:szCs w:val="32"/>
        </w:rPr>
        <w:t>基于定性、定量两部分设计</w:t>
      </w:r>
      <w:r>
        <w:rPr>
          <w:rFonts w:hint="eastAsia"/>
          <w:szCs w:val="32"/>
        </w:rPr>
        <w:t>，以强制与鼓励指标并存的方式</w:t>
      </w:r>
      <w:r>
        <w:rPr>
          <w:szCs w:val="32"/>
        </w:rPr>
        <w:t>确保</w:t>
      </w:r>
      <w:r>
        <w:rPr>
          <w:rFonts w:hint="eastAsia"/>
          <w:szCs w:val="32"/>
        </w:rPr>
        <w:t>金融机构环境信息披露的可行性，并制定详细、清晰的深圳市环境信息披露指标体系对主体披露内容进行解释，指导金融机构的环境信息披露。</w:t>
      </w:r>
    </w:p>
    <w:p>
      <w:pPr>
        <w:pStyle w:val="3"/>
        <w:ind w:firstLine="643"/>
      </w:pPr>
      <w:r>
        <w:rPr>
          <w:rFonts w:hint="eastAsia"/>
        </w:rPr>
        <w:t>（二）科学性</w:t>
      </w:r>
    </w:p>
    <w:p>
      <w:pPr>
        <w:ind w:firstLine="640"/>
      </w:pPr>
      <w:r>
        <w:rPr>
          <w:rFonts w:hint="eastAsia"/>
        </w:rPr>
        <w:t>本指引注重设计的科学性，实现各条例有依可循。一方面指引</w:t>
      </w:r>
      <w:r>
        <w:rPr>
          <w:rFonts w:asciiTheme="minorHAnsi" w:hAnsiTheme="minorHAnsi"/>
        </w:rPr>
        <w:t>以《绿金条例》为</w:t>
      </w:r>
      <w:r>
        <w:rPr>
          <w:rFonts w:hint="eastAsia"/>
        </w:rPr>
        <w:t>设计</w:t>
      </w:r>
      <w:r>
        <w:rPr>
          <w:rFonts w:asciiTheme="minorHAnsi" w:hAnsiTheme="minorHAnsi"/>
        </w:rPr>
        <w:t>基础，遵循中国人民银行发布的《金融机构环境信息披露指南》</w:t>
      </w:r>
      <w:r>
        <w:rPr>
          <w:rFonts w:hint="eastAsia"/>
        </w:rPr>
        <w:t>的披露框架，确保本指引符合法规</w:t>
      </w:r>
      <w:r>
        <w:t>要求</w:t>
      </w:r>
      <w:r>
        <w:rPr>
          <w:rFonts w:hint="eastAsia"/>
        </w:rPr>
        <w:t>、并与国家披露框架保持一致的</w:t>
      </w:r>
      <w:r>
        <w:rPr>
          <w:rFonts w:asciiTheme="minorHAnsi" w:hAnsiTheme="minorHAnsi"/>
        </w:rPr>
        <w:t>；另一方面，</w:t>
      </w:r>
      <w:r>
        <w:rPr>
          <w:rFonts w:hint="eastAsia"/>
        </w:rPr>
        <w:t>本指引</w:t>
      </w:r>
      <w:r>
        <w:rPr>
          <w:rFonts w:asciiTheme="minorHAnsi" w:hAnsiTheme="minorHAnsi"/>
        </w:rPr>
        <w:t>参考国内外权威机构发布的环境信息披露</w:t>
      </w:r>
      <w:r>
        <w:rPr>
          <w:rFonts w:hint="eastAsia"/>
        </w:rPr>
        <w:t>相关</w:t>
      </w:r>
      <w:r>
        <w:rPr>
          <w:rFonts w:asciiTheme="minorHAnsi" w:hAnsiTheme="minorHAnsi"/>
        </w:rPr>
        <w:t>建议</w:t>
      </w:r>
      <w:r>
        <w:rPr>
          <w:rFonts w:hint="eastAsia"/>
        </w:rPr>
        <w:t>，综合参考国内外政策、披露指标，</w:t>
      </w:r>
      <w:r>
        <w:rPr>
          <w:rFonts w:asciiTheme="minorHAnsi" w:hAnsiTheme="minorHAnsi"/>
        </w:rPr>
        <w:t>纳入创新性和领先性内容</w:t>
      </w:r>
      <w:r>
        <w:rPr>
          <w:rFonts w:hint="eastAsia"/>
        </w:rPr>
        <w:t>，如碳中和金融、转型金融、棕色资产等有助于“双碳”目标实现的指标内容，充分确保指引设计的科学性。</w:t>
      </w:r>
    </w:p>
    <w:p>
      <w:pPr>
        <w:pStyle w:val="3"/>
        <w:ind w:firstLine="643"/>
      </w:pPr>
      <w:r>
        <w:rPr>
          <w:rFonts w:hint="eastAsia"/>
        </w:rPr>
        <w:t>（三）连贯性</w:t>
      </w:r>
    </w:p>
    <w:p>
      <w:pPr>
        <w:ind w:firstLine="640"/>
      </w:pPr>
      <w:r>
        <w:rPr>
          <w:rFonts w:hint="eastAsia"/>
        </w:rPr>
        <w:t>本指引作为《条例》配套</w:t>
      </w:r>
      <w:r>
        <w:t>制度</w:t>
      </w:r>
      <w:r>
        <w:rPr>
          <w:rFonts w:hint="eastAsia"/>
        </w:rPr>
        <w:t>文件之一，制定过程中注重与《条例》其他配套文件</w:t>
      </w:r>
      <w:r>
        <w:t>的</w:t>
      </w:r>
      <w:r>
        <w:rPr>
          <w:rFonts w:hint="eastAsia"/>
        </w:rPr>
        <w:t>连贯性与延续性，在指标设计、披露要求上充分考虑了《条例》对于金融机构的制度标准建设要求、产品创新要求及监管统一要求。</w:t>
      </w:r>
    </w:p>
    <w:p>
      <w:pPr>
        <w:pStyle w:val="3"/>
        <w:ind w:firstLine="643"/>
      </w:pPr>
      <w:r>
        <w:rPr>
          <w:rFonts w:hint="eastAsia"/>
        </w:rPr>
        <w:t>（四）全面性</w:t>
      </w:r>
    </w:p>
    <w:p>
      <w:pPr>
        <w:ind w:firstLine="640"/>
      </w:pPr>
      <w:r>
        <w:rPr>
          <w:rFonts w:hint="eastAsia"/>
        </w:rPr>
        <w:t>《指引》中的环境信息披露不仅限于绿色资产，进一步向棕色资产等非绿资产的环境信息披露拓展，在碳核算方面，创新纳入整体投资的二氧化碳披露，并在披露指标体系中细化披露指标项和相关方法工具的参考，逐步向整体投融资环境信息披露转型，帮助公众更加全面地了解金融机构环境表现，更为直观地推动金融机构“双碳”目标实现。</w:t>
      </w:r>
    </w:p>
    <w:p>
      <w:pPr>
        <w:pStyle w:val="2"/>
        <w:ind w:firstLine="640"/>
        <w:rPr>
          <w:rFonts w:cs="Times New Roman"/>
          <w:szCs w:val="32"/>
        </w:rPr>
      </w:pPr>
      <w:r>
        <w:t>五</w:t>
      </w:r>
      <w:r>
        <w:rPr>
          <w:rFonts w:hint="eastAsia"/>
        </w:rPr>
        <w:t>、</w:t>
      </w:r>
      <w:r>
        <w:rPr>
          <w:rFonts w:hint="eastAsia" w:cs="Times New Roman"/>
          <w:szCs w:val="32"/>
        </w:rPr>
        <w:t>主要内容</w:t>
      </w:r>
    </w:p>
    <w:p>
      <w:pPr>
        <w:ind w:firstLine="640"/>
      </w:pPr>
      <w:r>
        <w:rPr>
          <w:rFonts w:hint="eastAsia"/>
        </w:rPr>
        <w:t>本指引主要内容包括总则、披露主体、披露内容、披露其他要求、附则以及附件《深圳市金融机构环境信息披露模板及指标说明》。</w:t>
      </w:r>
    </w:p>
    <w:p>
      <w:pPr>
        <w:ind w:firstLine="643"/>
      </w:pPr>
      <w:r>
        <w:rPr>
          <w:rFonts w:hint="eastAsia"/>
          <w:b/>
        </w:rPr>
        <w:t>第一章</w:t>
      </w:r>
      <w:r>
        <w:rPr>
          <w:b/>
        </w:rPr>
        <w:t xml:space="preserve"> </w:t>
      </w:r>
      <w:r>
        <w:rPr>
          <w:rFonts w:hint="eastAsia"/>
          <w:b/>
        </w:rPr>
        <w:t>总则。</w:t>
      </w:r>
      <w:r>
        <w:t>一方面</w:t>
      </w:r>
      <w:r>
        <w:rPr>
          <w:rFonts w:hint="eastAsia"/>
        </w:rPr>
        <w:t>明确指引制定是《绿金条例》法制体系</w:t>
      </w:r>
      <w:r>
        <w:t>建设</w:t>
      </w:r>
      <w:r>
        <w:rPr>
          <w:rFonts w:hint="eastAsia"/>
        </w:rPr>
        <w:t>所需；</w:t>
      </w:r>
      <w:r>
        <w:t>另一方面</w:t>
      </w:r>
      <w:r>
        <w:rPr>
          <w:rFonts w:hint="eastAsia"/>
        </w:rPr>
        <w:t>，规范了金融机构环境信息披露应当遵循的</w:t>
      </w:r>
      <w:r>
        <w:t>四项</w:t>
      </w:r>
      <w:r>
        <w:rPr>
          <w:rFonts w:hint="eastAsia"/>
        </w:rPr>
        <w:t>原则，分别为真实、及时、一致</w:t>
      </w:r>
      <w:r>
        <w:t>及</w:t>
      </w:r>
      <w:r>
        <w:rPr>
          <w:rFonts w:hint="eastAsia"/>
        </w:rPr>
        <w:t>连贯。</w:t>
      </w:r>
    </w:p>
    <w:p>
      <w:pPr>
        <w:ind w:firstLine="643"/>
      </w:pPr>
      <w:r>
        <w:rPr>
          <w:rFonts w:hint="eastAsia"/>
          <w:b/>
        </w:rPr>
        <w:t>第二章</w:t>
      </w:r>
      <w:r>
        <w:rPr>
          <w:b/>
        </w:rPr>
        <w:t xml:space="preserve"> </w:t>
      </w:r>
      <w:r>
        <w:rPr>
          <w:rFonts w:hint="eastAsia"/>
          <w:b/>
        </w:rPr>
        <w:t>披露主体</w:t>
      </w:r>
      <w:r>
        <w:rPr>
          <w:rFonts w:hint="eastAsia"/>
        </w:rPr>
        <w:t>。根据《绿金条例》规定，辖内金融机构环境信息披露责任主体分批次进行披露，第一批环境信息披露主体应自2022年1月1日起披露上一年度的环境信息。第二批环境信息披露主体应自2023年1月1日起披露上一年度的环境信息。最后，鼓励指引规定的披露主体自发披露自身环境信息。</w:t>
      </w:r>
    </w:p>
    <w:p>
      <w:pPr>
        <w:ind w:firstLine="643"/>
        <w:rPr>
          <w:rFonts w:ascii="仿宋_GB2312" w:hAnsi="仿宋_GB2312" w:cs="仿宋_GB2312"/>
          <w:szCs w:val="32"/>
        </w:rPr>
      </w:pPr>
      <w:r>
        <w:rPr>
          <w:rFonts w:hint="eastAsia"/>
          <w:b/>
        </w:rPr>
        <w:t>第三章</w:t>
      </w:r>
      <w:r>
        <w:rPr>
          <w:b/>
        </w:rPr>
        <w:t xml:space="preserve"> </w:t>
      </w:r>
      <w:r>
        <w:rPr>
          <w:rFonts w:hint="eastAsia"/>
          <w:b/>
        </w:rPr>
        <w:t>披露内容</w:t>
      </w:r>
      <w:r>
        <w:rPr>
          <w:rFonts w:hint="eastAsia"/>
        </w:rPr>
        <w:t>。披露内容中包含了两节内容，分别为一般规定和特别规定。在一般规定中，本指引对所有业态的金融机构共通的披露内容进行规范，具体披露内容包括：基本信息、目标愿景及战略规划、治理结构、内外部政策、环境风险和机遇、自身经营活动的环境效益、投融资活动的环境效益、投融资活动的碳排放，碳排放免除披露范围，绿色金融创新案例、金融机构对被投资企业的</w:t>
      </w:r>
      <w:r>
        <w:t>环境</w:t>
      </w:r>
      <w:r>
        <w:rPr>
          <w:rFonts w:hint="eastAsia"/>
        </w:rPr>
        <w:t>管理工作机制、宣传教育、成果奖项、统计口径和核算方式、数据质量管理。在特别规定中，本指引分别对银行、非存款类银行业金融机构、保险业金融机构、证券公司及基金管理公司的</w:t>
      </w:r>
      <w:r>
        <w:rPr>
          <w:rFonts w:hint="eastAsia" w:ascii="仿宋_GB2312" w:hAnsi="仿宋_GB2312" w:cs="仿宋_GB2312"/>
          <w:szCs w:val="32"/>
        </w:rPr>
        <w:t>绿色投融资相关制度建设情况，整体投融资情况及其产生的环境影响相关披露内容进行细化明确，明确各类金融机构业务类型并全面纳入各类金融机构可披露的投融资环境信息。</w:t>
      </w:r>
    </w:p>
    <w:p>
      <w:pPr>
        <w:adjustRightInd/>
        <w:snapToGrid/>
        <w:spacing w:line="600" w:lineRule="exact"/>
        <w:ind w:left="643" w:firstLine="0" w:firstLineChars="0"/>
      </w:pPr>
      <w:r>
        <w:rPr>
          <w:rFonts w:hint="eastAsia"/>
          <w:b/>
        </w:rPr>
        <w:t>第四章</w:t>
      </w:r>
      <w:r>
        <w:rPr>
          <w:b/>
        </w:rPr>
        <w:t xml:space="preserve"> </w:t>
      </w:r>
      <w:r>
        <w:rPr>
          <w:rFonts w:hint="eastAsia"/>
          <w:b/>
        </w:rPr>
        <w:t>披露要求。</w:t>
      </w:r>
      <w:r>
        <w:rPr>
          <w:rFonts w:hint="eastAsia"/>
        </w:rPr>
        <w:t>根据《深圳经济特区绿色金融条例》</w:t>
      </w:r>
    </w:p>
    <w:p>
      <w:pPr>
        <w:adjustRightInd/>
        <w:snapToGrid/>
        <w:spacing w:line="600" w:lineRule="exact"/>
        <w:ind w:firstLine="200" w:firstLineChars="0"/>
        <w:rPr>
          <w:rFonts w:ascii="仿宋_GB2312" w:hAnsi="仿宋_GB2312" w:cs="仿宋_GB2312"/>
          <w:szCs w:val="32"/>
        </w:rPr>
      </w:pPr>
      <w:r>
        <w:rPr>
          <w:rFonts w:hint="eastAsia"/>
        </w:rPr>
        <w:t>规定，本指引对环境信息披露责任主体的披露形式、披露时间、披露渠道进行规范。</w:t>
      </w:r>
      <w:r>
        <w:t>同时</w:t>
      </w:r>
      <w:r>
        <w:rPr>
          <w:rFonts w:hint="eastAsia"/>
        </w:rPr>
        <w:t>，鼓励金融机构聘请第三方专业评估机构</w:t>
      </w:r>
      <w:r>
        <w:rPr>
          <w:rFonts w:hint="eastAsia" w:ascii="仿宋_GB2312" w:hAnsi="仿宋_GB2312" w:cs="仿宋_GB2312"/>
          <w:szCs w:val="32"/>
        </w:rPr>
        <w:t>协助其编制环境信息披露报告，或对披露报告方法出具第二方或第三方意见，</w:t>
      </w:r>
      <w:r>
        <w:rPr>
          <w:rFonts w:hint="eastAsia"/>
        </w:rPr>
        <w:t>以确保披露方法的科学性、数据的准确性。</w:t>
      </w:r>
    </w:p>
    <w:p>
      <w:pPr>
        <w:ind w:firstLine="643"/>
        <w:rPr>
          <w:rFonts w:cs="Times New Roman"/>
        </w:rPr>
      </w:pPr>
      <w:r>
        <w:rPr>
          <w:rFonts w:hint="eastAsia"/>
          <w:b/>
        </w:rPr>
        <w:t>第五章</w:t>
      </w:r>
      <w:r>
        <w:rPr>
          <w:b/>
        </w:rPr>
        <w:t xml:space="preserve"> </w:t>
      </w:r>
      <w:r>
        <w:rPr>
          <w:rFonts w:hint="eastAsia"/>
          <w:b/>
        </w:rPr>
        <w:t>附则</w:t>
      </w:r>
      <w:r>
        <w:rPr>
          <w:rFonts w:hint="eastAsia" w:cs="Times New Roman"/>
          <w:b/>
        </w:rPr>
        <w:t>。</w:t>
      </w:r>
      <w:r>
        <w:rPr>
          <w:rFonts w:cs="Times New Roman"/>
        </w:rPr>
        <w:t>明确了《</w:t>
      </w:r>
      <w:r>
        <w:rPr>
          <w:rFonts w:hint="eastAsia"/>
        </w:rPr>
        <w:t>指引</w:t>
      </w:r>
      <w:r>
        <w:rPr>
          <w:rFonts w:cs="Times New Roman"/>
        </w:rPr>
        <w:t>》</w:t>
      </w:r>
      <w:r>
        <w:rPr>
          <w:rFonts w:hint="eastAsia" w:cs="Times New Roman"/>
        </w:rPr>
        <w:t>专业术语含义、本指引解释权及生效日期</w:t>
      </w:r>
      <w:r>
        <w:rPr>
          <w:rFonts w:cs="Times New Roman"/>
        </w:rPr>
        <w:t>。</w:t>
      </w:r>
    </w:p>
    <w:p>
      <w:pPr>
        <w:pStyle w:val="2"/>
        <w:ind w:firstLine="640"/>
      </w:pPr>
      <w:r>
        <w:t>六</w:t>
      </w:r>
      <w:r>
        <w:rPr>
          <w:rFonts w:hint="eastAsia"/>
        </w:rPr>
        <w:t>、编制依据</w:t>
      </w:r>
    </w:p>
    <w:p>
      <w:pPr>
        <w:ind w:firstLine="640"/>
      </w:pPr>
      <w:r>
        <w:t xml:space="preserve">1. </w:t>
      </w:r>
      <w:r>
        <w:rPr>
          <w:rFonts w:hint="eastAsia"/>
        </w:rPr>
        <w:t>《深圳经济特区绿色金融条例》</w:t>
      </w:r>
    </w:p>
    <w:p>
      <w:pPr>
        <w:ind w:firstLine="640"/>
      </w:pPr>
      <w:r>
        <w:t xml:space="preserve">2. </w:t>
      </w:r>
      <w:r>
        <w:rPr>
          <w:rFonts w:hint="eastAsia" w:asciiTheme="minorHAnsi" w:hAnsiTheme="minorHAnsi"/>
        </w:rPr>
        <w:t>《金融机构环境信息披露指南》</w:t>
      </w:r>
    </w:p>
    <w:p>
      <w:pPr>
        <w:ind w:firstLine="640"/>
      </w:pPr>
      <w:r>
        <w:t xml:space="preserve">3. </w:t>
      </w:r>
      <w:r>
        <w:rPr>
          <w:rFonts w:hint="eastAsia"/>
        </w:rPr>
        <w:t>《绿色金融术语手册（2018年版）》</w:t>
      </w:r>
    </w:p>
    <w:p>
      <w:pPr>
        <w:ind w:firstLine="640"/>
      </w:pPr>
      <w:r>
        <w:t xml:space="preserve">4. </w:t>
      </w:r>
      <w:r>
        <w:rPr>
          <w:rFonts w:hint="eastAsia"/>
        </w:rPr>
        <w:t>《金融机构碳核算技术指南（试行）》</w:t>
      </w:r>
    </w:p>
    <w:p>
      <w:pPr>
        <w:ind w:firstLine="640"/>
      </w:pPr>
      <w:r>
        <w:t xml:space="preserve">5. </w:t>
      </w:r>
      <w:r>
        <w:rPr>
          <w:rFonts w:hint="eastAsia"/>
        </w:rPr>
        <w:t>《广东省市县（区）级温室气体清单编制指南（试行）》</w:t>
      </w:r>
    </w:p>
    <w:p>
      <w:pPr>
        <w:ind w:firstLine="640"/>
      </w:pPr>
      <w:r>
        <w:t xml:space="preserve">6. </w:t>
      </w:r>
      <w:r>
        <w:rPr>
          <w:rFonts w:hint="eastAsia"/>
        </w:rPr>
        <w:t>《企业温室气体排放核算方法与报告指南发电设施》</w:t>
      </w:r>
    </w:p>
    <w:p>
      <w:pPr>
        <w:ind w:firstLine="640"/>
      </w:pPr>
      <w:r>
        <w:t xml:space="preserve">7. </w:t>
      </w:r>
      <w:r>
        <w:rPr>
          <w:rFonts w:hint="eastAsia"/>
        </w:rPr>
        <w:t>《气候相关财务信息披露工作组（TCFD）建议报告》</w:t>
      </w:r>
    </w:p>
    <w:p>
      <w:pPr>
        <w:ind w:firstLine="640"/>
      </w:pPr>
      <w:r>
        <w:t xml:space="preserve">8. </w:t>
      </w:r>
      <w:r>
        <w:rPr>
          <w:rFonts w:hint="eastAsia" w:asciiTheme="minorHAnsi" w:hAnsiTheme="minorHAnsi"/>
        </w:rPr>
        <w:t>《赤道原则》</w:t>
      </w:r>
    </w:p>
    <w:p>
      <w:pPr>
        <w:ind w:firstLine="640"/>
      </w:pPr>
      <w:r>
        <w:t xml:space="preserve">9. </w:t>
      </w:r>
      <w:r>
        <w:rPr>
          <w:rFonts w:hint="eastAsia"/>
        </w:rPr>
        <w:t>《可持续保险原则》</w:t>
      </w:r>
    </w:p>
    <w:p>
      <w:pPr>
        <w:ind w:firstLine="640"/>
      </w:pPr>
      <w:r>
        <w:t xml:space="preserve">10. </w:t>
      </w:r>
      <w:r>
        <w:rPr>
          <w:rFonts w:hint="eastAsia" w:asciiTheme="minorHAnsi" w:hAnsiTheme="minorHAnsi"/>
        </w:rPr>
        <w:t>《可持续性发展报告指南》</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694192"/>
      <w:docPartObj>
        <w:docPartGallery w:val="autotext"/>
      </w:docPartObj>
    </w:sdtPr>
    <w:sdtContent>
      <w:p>
        <w:pPr>
          <w:pStyle w:val="5"/>
          <w:ind w:firstLine="0" w:firstLineChars="0"/>
          <w:jc w:val="center"/>
        </w:pPr>
        <w:r>
          <w:fldChar w:fldCharType="begin"/>
        </w:r>
        <w:r>
          <w:instrText xml:space="preserve">PAGE   \* MERGEFORMAT</w:instrText>
        </w:r>
        <w:r>
          <w:fldChar w:fldCharType="separate"/>
        </w:r>
        <w:r>
          <w:rPr>
            <w:lang w:val="zh-CN"/>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57F2D7D"/>
    <w:rsid w:val="0002526B"/>
    <w:rsid w:val="00031951"/>
    <w:rsid w:val="00092466"/>
    <w:rsid w:val="000C12A7"/>
    <w:rsid w:val="000D776B"/>
    <w:rsid w:val="00136B4B"/>
    <w:rsid w:val="00137D02"/>
    <w:rsid w:val="001A7326"/>
    <w:rsid w:val="001B2F3F"/>
    <w:rsid w:val="001C0D13"/>
    <w:rsid w:val="002164FF"/>
    <w:rsid w:val="00242097"/>
    <w:rsid w:val="00244191"/>
    <w:rsid w:val="002671A4"/>
    <w:rsid w:val="002933F8"/>
    <w:rsid w:val="002C6CDD"/>
    <w:rsid w:val="002D060D"/>
    <w:rsid w:val="002F0D79"/>
    <w:rsid w:val="00305A55"/>
    <w:rsid w:val="00327D27"/>
    <w:rsid w:val="00353D11"/>
    <w:rsid w:val="00367AF1"/>
    <w:rsid w:val="00370625"/>
    <w:rsid w:val="0037268C"/>
    <w:rsid w:val="00383EBB"/>
    <w:rsid w:val="003A598D"/>
    <w:rsid w:val="003B57FC"/>
    <w:rsid w:val="003C51D2"/>
    <w:rsid w:val="003F1C26"/>
    <w:rsid w:val="00425A1D"/>
    <w:rsid w:val="004613B0"/>
    <w:rsid w:val="004854FF"/>
    <w:rsid w:val="0048635A"/>
    <w:rsid w:val="004928DA"/>
    <w:rsid w:val="004A41A8"/>
    <w:rsid w:val="004C72E3"/>
    <w:rsid w:val="004D50D7"/>
    <w:rsid w:val="0050492E"/>
    <w:rsid w:val="00536428"/>
    <w:rsid w:val="00567ED7"/>
    <w:rsid w:val="005B00D5"/>
    <w:rsid w:val="00607AFC"/>
    <w:rsid w:val="0061107A"/>
    <w:rsid w:val="00634DD1"/>
    <w:rsid w:val="0067289B"/>
    <w:rsid w:val="006B73D8"/>
    <w:rsid w:val="006C7E61"/>
    <w:rsid w:val="007617B4"/>
    <w:rsid w:val="007720E9"/>
    <w:rsid w:val="00776728"/>
    <w:rsid w:val="007C76D1"/>
    <w:rsid w:val="007D0CCD"/>
    <w:rsid w:val="007F5072"/>
    <w:rsid w:val="007F5294"/>
    <w:rsid w:val="008565F2"/>
    <w:rsid w:val="00862F29"/>
    <w:rsid w:val="00874B36"/>
    <w:rsid w:val="008B14CB"/>
    <w:rsid w:val="008B5455"/>
    <w:rsid w:val="008C1119"/>
    <w:rsid w:val="008C193F"/>
    <w:rsid w:val="008C2078"/>
    <w:rsid w:val="008C31CA"/>
    <w:rsid w:val="00903CDE"/>
    <w:rsid w:val="00922788"/>
    <w:rsid w:val="00927665"/>
    <w:rsid w:val="00941EF8"/>
    <w:rsid w:val="00946987"/>
    <w:rsid w:val="00966209"/>
    <w:rsid w:val="00973931"/>
    <w:rsid w:val="009C0740"/>
    <w:rsid w:val="009E0619"/>
    <w:rsid w:val="00A243E8"/>
    <w:rsid w:val="00A25545"/>
    <w:rsid w:val="00A50FCB"/>
    <w:rsid w:val="00A57B2B"/>
    <w:rsid w:val="00AB0E4C"/>
    <w:rsid w:val="00AE1619"/>
    <w:rsid w:val="00B20F55"/>
    <w:rsid w:val="00B61C0F"/>
    <w:rsid w:val="00BA4D65"/>
    <w:rsid w:val="00BC6F00"/>
    <w:rsid w:val="00BD23FC"/>
    <w:rsid w:val="00C15109"/>
    <w:rsid w:val="00C15AB0"/>
    <w:rsid w:val="00C22E2B"/>
    <w:rsid w:val="00C34568"/>
    <w:rsid w:val="00C426CD"/>
    <w:rsid w:val="00C70AE8"/>
    <w:rsid w:val="00D241EE"/>
    <w:rsid w:val="00D3133B"/>
    <w:rsid w:val="00D3177E"/>
    <w:rsid w:val="00D5715A"/>
    <w:rsid w:val="00D6314B"/>
    <w:rsid w:val="00DB0D01"/>
    <w:rsid w:val="00DD1EE2"/>
    <w:rsid w:val="00E00414"/>
    <w:rsid w:val="00E50454"/>
    <w:rsid w:val="00E643A1"/>
    <w:rsid w:val="00E84379"/>
    <w:rsid w:val="00E92569"/>
    <w:rsid w:val="00EB5783"/>
    <w:rsid w:val="00ED16BD"/>
    <w:rsid w:val="00EF1880"/>
    <w:rsid w:val="00F114BE"/>
    <w:rsid w:val="00F12A3E"/>
    <w:rsid w:val="00F32207"/>
    <w:rsid w:val="00F46557"/>
    <w:rsid w:val="00F67488"/>
    <w:rsid w:val="00F73BF3"/>
    <w:rsid w:val="00FB7FC6"/>
    <w:rsid w:val="00FD0616"/>
    <w:rsid w:val="0408287E"/>
    <w:rsid w:val="1A1034BD"/>
    <w:rsid w:val="257F2D7D"/>
    <w:rsid w:val="41AA7E90"/>
    <w:rsid w:val="64B943C7"/>
    <w:rsid w:val="69FA59C0"/>
    <w:rsid w:val="F6FFB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keepLines/>
      <w:spacing w:before="120" w:after="120"/>
      <w:outlineLvl w:val="0"/>
    </w:pPr>
    <w:rPr>
      <w:rFonts w:eastAsia="黑体"/>
      <w:bCs/>
      <w:kern w:val="44"/>
      <w:szCs w:val="44"/>
    </w:rPr>
  </w:style>
  <w:style w:type="paragraph" w:styleId="3">
    <w:name w:val="heading 2"/>
    <w:basedOn w:val="1"/>
    <w:next w:val="1"/>
    <w:link w:val="12"/>
    <w:unhideWhenUsed/>
    <w:qFormat/>
    <w:uiPriority w:val="0"/>
    <w:pPr>
      <w:keepNext/>
      <w:keepLines/>
      <w:spacing w:before="120" w:after="120"/>
      <w:outlineLvl w:val="1"/>
    </w:pPr>
    <w:rPr>
      <w:rFonts w:eastAsia="楷体_GB2312" w:asciiTheme="majorHAnsi" w:hAnsiTheme="majorHAnsi" w:cstheme="majorBidi"/>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pPr>
      <w:spacing w:line="240" w:lineRule="auto"/>
    </w:pPr>
    <w:rPr>
      <w:sz w:val="18"/>
      <w:szCs w:val="18"/>
    </w:rPr>
  </w:style>
  <w:style w:type="paragraph" w:styleId="5">
    <w:name w:val="footer"/>
    <w:basedOn w:val="1"/>
    <w:link w:val="14"/>
    <w:qFormat/>
    <w:uiPriority w:val="99"/>
    <w:pPr>
      <w:tabs>
        <w:tab w:val="center" w:pos="4153"/>
        <w:tab w:val="right" w:pos="8306"/>
      </w:tabs>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pacing w:line="240" w:lineRule="atLeast"/>
      <w:jc w:val="center"/>
    </w:pPr>
    <w:rPr>
      <w:sz w:val="18"/>
      <w:szCs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
    <w:basedOn w:val="8"/>
    <w:link w:val="4"/>
    <w:qFormat/>
    <w:uiPriority w:val="0"/>
    <w:rPr>
      <w:rFonts w:eastAsia="仿宋_GB2312" w:asciiTheme="minorHAnsi" w:hAnsiTheme="minorHAnsi" w:cstheme="minorBidi"/>
      <w:kern w:val="2"/>
      <w:sz w:val="18"/>
      <w:szCs w:val="18"/>
    </w:rPr>
  </w:style>
  <w:style w:type="character" w:customStyle="1" w:styleId="12">
    <w:name w:val="标题 2 Char"/>
    <w:basedOn w:val="8"/>
    <w:link w:val="3"/>
    <w:qFormat/>
    <w:uiPriority w:val="0"/>
    <w:rPr>
      <w:rFonts w:eastAsia="楷体_GB2312" w:asciiTheme="majorHAnsi" w:hAnsiTheme="majorHAnsi" w:cstheme="majorBidi"/>
      <w:b/>
      <w:bCs/>
      <w:kern w:val="2"/>
      <w:sz w:val="32"/>
      <w:szCs w:val="32"/>
    </w:rPr>
  </w:style>
  <w:style w:type="character" w:customStyle="1" w:styleId="13">
    <w:name w:val="页眉 Char"/>
    <w:basedOn w:val="8"/>
    <w:link w:val="6"/>
    <w:qFormat/>
    <w:uiPriority w:val="0"/>
    <w:rPr>
      <w:rFonts w:eastAsia="仿宋_GB2312" w:cstheme="minorBidi"/>
      <w:kern w:val="2"/>
      <w:sz w:val="18"/>
      <w:szCs w:val="18"/>
    </w:rPr>
  </w:style>
  <w:style w:type="character" w:customStyle="1" w:styleId="14">
    <w:name w:val="页脚 Char"/>
    <w:basedOn w:val="8"/>
    <w:link w:val="5"/>
    <w:qFormat/>
    <w:uiPriority w:val="99"/>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3773</Words>
  <Characters>3829</Characters>
  <Lines>32</Lines>
  <Paragraphs>9</Paragraphs>
  <TotalTime>158</TotalTime>
  <ScaleCrop>false</ScaleCrop>
  <LinksUpToDate>false</LinksUpToDate>
  <CharactersWithSpaces>3846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2021-12-30T10:38:00Z</dcterms:created>
  <dc:creator>绿价院</dc:creator>
  <cp:lastModifiedBy>杜小猪</cp:lastModifiedBy>
  <dcterms:modified xsi:type="dcterms:W3CDTF">2022-09-23T09:34:25Z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9EF70CDE568C4C72867253A4CA8DE5C5</vt:lpwstr>
  </property>
</Properties>
</file>