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2</w:t>
      </w:r>
    </w:p>
    <w:p>
      <w:pPr>
        <w:spacing w:line="578" w:lineRule="exact"/>
        <w:jc w:val="center"/>
        <w:rPr>
          <w:rFonts w:ascii="方正小标宋简体" w:hAnsi="黑体" w:eastAsia="方正小标宋简体" w:cs="宋体"/>
          <w:kern w:val="0"/>
          <w:sz w:val="44"/>
          <w:szCs w:val="44"/>
        </w:rPr>
      </w:pPr>
      <w:bookmarkStart w:id="1" w:name="_GoBack"/>
      <w:r>
        <w:rPr>
          <w:rFonts w:hint="eastAsia" w:ascii="方正小标宋简体" w:hAnsi="黑体" w:eastAsia="方正小标宋简体" w:cs="宋体"/>
          <w:kern w:val="0"/>
          <w:sz w:val="44"/>
          <w:szCs w:val="44"/>
        </w:rPr>
        <w:t>《深圳市个人破产管理人名册》综合评审项目及标准</w:t>
      </w:r>
    </w:p>
    <w:bookmarkEnd w:id="1"/>
    <w:p>
      <w:pPr>
        <w:spacing w:line="578" w:lineRule="exact"/>
        <w:jc w:val="center"/>
        <w:rPr>
          <w:rFonts w:ascii="方正小标宋简体" w:hAnsi="黑体" w:eastAsia="方正小标宋简体" w:cs="宋体"/>
          <w:kern w:val="0"/>
          <w:sz w:val="44"/>
          <w:szCs w:val="44"/>
        </w:rPr>
      </w:pPr>
    </w:p>
    <w:tbl>
      <w:tblPr>
        <w:tblStyle w:val="3"/>
        <w:tblW w:w="1394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0"/>
        <w:gridCol w:w="1277"/>
        <w:gridCol w:w="1004"/>
        <w:gridCol w:w="6396"/>
        <w:gridCol w:w="2258"/>
        <w:gridCol w:w="16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400" w:type="dxa"/>
          </w:tcPr>
          <w:p>
            <w:pPr>
              <w:spacing w:before="156" w:beforeLines="50"/>
              <w:jc w:val="center"/>
              <w:rPr>
                <w:rFonts w:ascii="黑体" w:hAnsi="黑体" w:eastAsia="黑体" w:cs="仿宋_GB2312"/>
                <w:sz w:val="24"/>
                <w:szCs w:val="24"/>
              </w:rPr>
            </w:pPr>
            <w:r>
              <w:rPr>
                <w:rFonts w:hint="eastAsia" w:ascii="黑体" w:hAnsi="黑体" w:eastAsia="黑体" w:cs="仿宋_GB2312"/>
                <w:sz w:val="24"/>
                <w:szCs w:val="24"/>
              </w:rPr>
              <w:t>评审项目</w:t>
            </w:r>
          </w:p>
        </w:tc>
        <w:tc>
          <w:tcPr>
            <w:tcW w:w="1277" w:type="dxa"/>
          </w:tcPr>
          <w:p>
            <w:pPr>
              <w:spacing w:before="156" w:beforeLines="50"/>
              <w:jc w:val="center"/>
              <w:rPr>
                <w:rFonts w:ascii="黑体" w:hAnsi="黑体" w:eastAsia="黑体" w:cs="仿宋_GB2312"/>
                <w:sz w:val="24"/>
                <w:szCs w:val="24"/>
              </w:rPr>
            </w:pPr>
            <w:r>
              <w:rPr>
                <w:rFonts w:hint="eastAsia" w:ascii="黑体" w:hAnsi="黑体" w:eastAsia="黑体" w:cs="仿宋_GB2312"/>
                <w:sz w:val="24"/>
                <w:szCs w:val="24"/>
              </w:rPr>
              <w:t>子项</w:t>
            </w:r>
          </w:p>
        </w:tc>
        <w:tc>
          <w:tcPr>
            <w:tcW w:w="1004" w:type="dxa"/>
          </w:tcPr>
          <w:p>
            <w:pPr>
              <w:spacing w:before="156" w:beforeLines="50"/>
              <w:jc w:val="center"/>
              <w:rPr>
                <w:rFonts w:ascii="黑体" w:hAnsi="黑体" w:eastAsia="黑体" w:cs="仿宋_GB2312"/>
                <w:sz w:val="24"/>
                <w:szCs w:val="24"/>
              </w:rPr>
            </w:pPr>
            <w:r>
              <w:rPr>
                <w:rFonts w:hint="eastAsia" w:ascii="黑体" w:hAnsi="黑体" w:eastAsia="黑体" w:cs="仿宋_GB2312"/>
                <w:sz w:val="24"/>
                <w:szCs w:val="24"/>
              </w:rPr>
              <w:t>分值</w:t>
            </w:r>
          </w:p>
        </w:tc>
        <w:tc>
          <w:tcPr>
            <w:tcW w:w="6396" w:type="dxa"/>
          </w:tcPr>
          <w:p>
            <w:pPr>
              <w:spacing w:before="156" w:beforeLines="50"/>
              <w:jc w:val="center"/>
              <w:rPr>
                <w:rFonts w:ascii="黑体" w:hAnsi="黑体" w:eastAsia="黑体" w:cs="仿宋_GB2312"/>
                <w:sz w:val="24"/>
                <w:szCs w:val="24"/>
              </w:rPr>
            </w:pPr>
            <w:r>
              <w:rPr>
                <w:rFonts w:hint="eastAsia" w:ascii="黑体" w:hAnsi="黑体" w:eastAsia="黑体" w:cs="仿宋_GB2312"/>
                <w:sz w:val="24"/>
                <w:szCs w:val="24"/>
              </w:rPr>
              <w:t>评审标准</w:t>
            </w:r>
          </w:p>
        </w:tc>
        <w:tc>
          <w:tcPr>
            <w:tcW w:w="2258" w:type="dxa"/>
          </w:tcPr>
          <w:p>
            <w:pPr>
              <w:spacing w:before="156" w:beforeLines="50"/>
              <w:jc w:val="center"/>
              <w:rPr>
                <w:rFonts w:ascii="黑体" w:hAnsi="黑体" w:eastAsia="黑体" w:cs="仿宋_GB2312"/>
                <w:sz w:val="24"/>
                <w:szCs w:val="24"/>
              </w:rPr>
            </w:pPr>
            <w:r>
              <w:rPr>
                <w:rFonts w:hint="eastAsia" w:ascii="黑体" w:hAnsi="黑体" w:eastAsia="黑体" w:cs="仿宋_GB2312"/>
                <w:sz w:val="24"/>
                <w:szCs w:val="24"/>
              </w:rPr>
              <w:t>需提交材料</w:t>
            </w:r>
          </w:p>
        </w:tc>
        <w:tc>
          <w:tcPr>
            <w:tcW w:w="1613" w:type="dxa"/>
          </w:tcPr>
          <w:p>
            <w:pPr>
              <w:spacing w:before="156" w:beforeLines="50"/>
              <w:jc w:val="center"/>
              <w:rPr>
                <w:rFonts w:ascii="黑体" w:hAnsi="黑体" w:eastAsia="黑体" w:cs="仿宋_GB2312"/>
                <w:sz w:val="24"/>
                <w:szCs w:val="24"/>
              </w:rPr>
            </w:pPr>
            <w:r>
              <w:rPr>
                <w:rFonts w:hint="eastAsia" w:ascii="黑体" w:hAnsi="黑体" w:eastAsia="黑体" w:cs="仿宋_GB2312"/>
                <w:sz w:val="24"/>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1" w:hRule="atLeast"/>
          <w:jc w:val="center"/>
        </w:trPr>
        <w:tc>
          <w:tcPr>
            <w:tcW w:w="1400" w:type="dxa"/>
            <w:vMerge w:val="restart"/>
            <w:vAlign w:val="center"/>
          </w:tcPr>
          <w:p>
            <w:pPr>
              <w:jc w:val="center"/>
              <w:rPr>
                <w:rFonts w:ascii="仿宋_GB2312" w:hAnsi="仿宋_GB2312" w:eastAsia="仿宋_GB2312" w:cs="仿宋_GB2312"/>
                <w:b/>
                <w:bCs/>
                <w:sz w:val="24"/>
                <w:szCs w:val="24"/>
              </w:rPr>
            </w:pPr>
            <w:bookmarkStart w:id="0" w:name="_Hlk111212226"/>
            <w:r>
              <w:rPr>
                <w:rFonts w:hint="eastAsia" w:ascii="仿宋_GB2312" w:hAnsi="仿宋_GB2312" w:eastAsia="仿宋_GB2312" w:cs="仿宋_GB2312"/>
                <w:b/>
                <w:bCs/>
                <w:sz w:val="24"/>
                <w:szCs w:val="24"/>
              </w:rPr>
              <w:t>履职计划</w:t>
            </w:r>
            <w:bookmarkEnd w:id="0"/>
          </w:p>
        </w:tc>
        <w:tc>
          <w:tcPr>
            <w:tcW w:w="1277" w:type="dxa"/>
            <w:tcBorders>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破产案件办理团队情况</w:t>
            </w:r>
          </w:p>
        </w:tc>
        <w:tc>
          <w:tcPr>
            <w:tcW w:w="1004" w:type="dxa"/>
            <w:tcBorders>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p>
        </w:tc>
        <w:tc>
          <w:tcPr>
            <w:tcW w:w="6396" w:type="dxa"/>
            <w:tcBorders>
              <w:bottom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1.设立专职破产案件办理团队，团队有3年以上办理破产案件经验的成员3名以上，团队内部职责分工科学合理。优秀的计1</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分，良好的计7分，一般的计4分；</w:t>
            </w:r>
          </w:p>
        </w:tc>
        <w:tc>
          <w:tcPr>
            <w:tcW w:w="2258"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1.履职计划书；</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2.除在《履职计划书》体现并介绍主要内容外，团队负责人稳定性承诺书、相关内部制度、管理人报酬及破产费用测算证明材料等需单独提供</w:t>
            </w:r>
          </w:p>
        </w:tc>
        <w:tc>
          <w:tcPr>
            <w:tcW w:w="1613" w:type="dxa"/>
            <w:vMerge w:val="restart"/>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6"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破产案件办理内部规章制度</w:t>
            </w:r>
          </w:p>
        </w:tc>
        <w:tc>
          <w:tcPr>
            <w:tcW w:w="1004"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p>
        </w:tc>
        <w:tc>
          <w:tcPr>
            <w:tcW w:w="6396" w:type="dxa"/>
            <w:tcBorders>
              <w:top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2.建立了较完善的内部管理制度，包括但不限于人事管理、财务管理、印章证照管理、档案管理、风险防控及维稳预案等。优秀的计1</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分，良好的计7分，一般的计4分；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2"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办案流程管理</w:t>
            </w:r>
          </w:p>
        </w:tc>
        <w:tc>
          <w:tcPr>
            <w:tcW w:w="1004"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p>
        </w:tc>
        <w:tc>
          <w:tcPr>
            <w:tcW w:w="6396" w:type="dxa"/>
            <w:tcBorders>
              <w:top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3.建立了较完善的破产案件流程管理制度。优秀的计1</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分，良好的计7分，一般的计4分；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44"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对个人破产制度掌握</w:t>
            </w:r>
          </w:p>
        </w:tc>
        <w:tc>
          <w:tcPr>
            <w:tcW w:w="1004"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p>
        </w:tc>
        <w:tc>
          <w:tcPr>
            <w:tcW w:w="6396" w:type="dxa"/>
            <w:tcBorders>
              <w:top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4.对《深圳经济特区个人破产条例》各程序中管理人具体职责的理解准确且全面。优秀的计1</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分，良好的计</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分，一般的计6分；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工作计划可行性</w:t>
            </w:r>
          </w:p>
        </w:tc>
        <w:tc>
          <w:tcPr>
            <w:tcW w:w="1004"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p>
        </w:tc>
        <w:tc>
          <w:tcPr>
            <w:tcW w:w="6396" w:type="dxa"/>
            <w:tcBorders>
              <w:top w:val="single" w:color="auto" w:sz="4" w:space="0"/>
              <w:bottom w:val="single" w:color="auto" w:sz="4"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5</w:t>
            </w:r>
            <w:r>
              <w:rPr>
                <w:rFonts w:hint="eastAsia" w:ascii="仿宋_GB2312" w:hAnsi="仿宋_GB2312" w:eastAsia="仿宋_GB2312" w:cs="仿宋_GB2312"/>
                <w:sz w:val="24"/>
                <w:szCs w:val="24"/>
              </w:rPr>
              <w:t>.根据《深圳经济特区个人破产条例》规定各程序制定工作计划具有可行性。优秀的计1</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分，良好的计</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分，一般的计6分；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团队负责人稳定性</w:t>
            </w:r>
          </w:p>
        </w:tc>
        <w:tc>
          <w:tcPr>
            <w:tcW w:w="1004"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0</w:t>
            </w:r>
          </w:p>
        </w:tc>
        <w:tc>
          <w:tcPr>
            <w:tcW w:w="6396" w:type="dxa"/>
            <w:tcBorders>
              <w:top w:val="single" w:color="auto" w:sz="4" w:space="0"/>
              <w:bottom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6.团队负责人在个人破产案件办理期间稳定。机构和团队负责人承诺一经人民法院指定或市破产事务管理署任用后，在案件执行完毕前团队负责人不变更的，得1</w:t>
            </w:r>
            <w:r>
              <w:rPr>
                <w:rFonts w:ascii="仿宋_GB2312" w:hAnsi="仿宋_GB2312" w:eastAsia="仿宋_GB2312" w:cs="仿宋_GB2312"/>
                <w:sz w:val="24"/>
                <w:szCs w:val="24"/>
              </w:rPr>
              <w:t>0</w:t>
            </w:r>
            <w:r>
              <w:rPr>
                <w:rFonts w:hint="eastAsia" w:ascii="仿宋_GB2312" w:hAnsi="仿宋_GB2312" w:eastAsia="仿宋_GB2312" w:cs="仿宋_GB2312"/>
                <w:sz w:val="24"/>
                <w:szCs w:val="24"/>
              </w:rPr>
              <w:t>分；未承诺或承诺不符合要求的不得分；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9"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bottom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成本控制</w:t>
            </w:r>
          </w:p>
        </w:tc>
        <w:tc>
          <w:tcPr>
            <w:tcW w:w="1004" w:type="dxa"/>
            <w:tcBorders>
              <w:top w:val="single" w:color="auto" w:sz="4" w:space="0"/>
              <w:bottom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p>
        </w:tc>
        <w:tc>
          <w:tcPr>
            <w:tcW w:w="6396" w:type="dxa"/>
            <w:tcBorders>
              <w:top w:val="single" w:color="auto" w:sz="4" w:space="0"/>
              <w:bottom w:val="single" w:color="auto" w:sz="4"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7</w:t>
            </w:r>
            <w:r>
              <w:rPr>
                <w:rFonts w:hint="eastAsia" w:ascii="仿宋_GB2312" w:hAnsi="仿宋_GB2312" w:eastAsia="仿宋_GB2312" w:cs="仿宋_GB2312"/>
                <w:sz w:val="24"/>
                <w:szCs w:val="24"/>
              </w:rPr>
              <w:t>.管理人报酬和相关破产费用的测算合理且有利于降低破产案件办理成本。优秀的计1</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分，良好的计</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分，一般的计6分；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 w:hRule="atLeast"/>
          <w:jc w:val="center"/>
        </w:trPr>
        <w:tc>
          <w:tcPr>
            <w:tcW w:w="1400" w:type="dxa"/>
            <w:vMerge w:val="continue"/>
            <w:vAlign w:val="center"/>
          </w:tcPr>
          <w:p>
            <w:pPr>
              <w:jc w:val="center"/>
              <w:rPr>
                <w:rFonts w:ascii="仿宋_GB2312" w:hAnsi="仿宋_GB2312" w:eastAsia="仿宋_GB2312" w:cs="仿宋_GB2312"/>
                <w:b/>
                <w:bCs/>
                <w:sz w:val="24"/>
                <w:szCs w:val="24"/>
              </w:rPr>
            </w:pPr>
          </w:p>
        </w:tc>
        <w:tc>
          <w:tcPr>
            <w:tcW w:w="1277" w:type="dxa"/>
            <w:tcBorders>
              <w:top w:val="single" w:color="auto" w:sz="4" w:space="0"/>
            </w:tcBorders>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写作能力</w:t>
            </w:r>
          </w:p>
        </w:tc>
        <w:tc>
          <w:tcPr>
            <w:tcW w:w="1004" w:type="dxa"/>
            <w:tcBorders>
              <w:top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ascii="仿宋_GB2312" w:hAnsi="仿宋_GB2312" w:eastAsia="仿宋_GB2312" w:cs="仿宋_GB2312"/>
                <w:sz w:val="24"/>
                <w:szCs w:val="24"/>
              </w:rPr>
              <w:t>5</w:t>
            </w:r>
          </w:p>
        </w:tc>
        <w:tc>
          <w:tcPr>
            <w:tcW w:w="6396" w:type="dxa"/>
            <w:tcBorders>
              <w:top w:val="single" w:color="auto" w:sz="4" w:space="0"/>
            </w:tcBorders>
            <w:vAlign w:val="center"/>
          </w:tcPr>
          <w:p>
            <w:pPr>
              <w:rPr>
                <w:rFonts w:ascii="仿宋_GB2312" w:hAnsi="仿宋_GB2312" w:eastAsia="仿宋_GB2312" w:cs="仿宋_GB2312"/>
                <w:sz w:val="24"/>
                <w:szCs w:val="24"/>
              </w:rPr>
            </w:pPr>
            <w:r>
              <w:rPr>
                <w:rFonts w:ascii="仿宋_GB2312" w:hAnsi="仿宋_GB2312" w:eastAsia="仿宋_GB2312" w:cs="仿宋_GB2312"/>
                <w:sz w:val="24"/>
                <w:szCs w:val="24"/>
              </w:rPr>
              <w:t>8</w:t>
            </w:r>
            <w:r>
              <w:rPr>
                <w:rFonts w:hint="eastAsia" w:ascii="仿宋_GB2312" w:hAnsi="仿宋_GB2312" w:eastAsia="仿宋_GB2312" w:cs="仿宋_GB2312"/>
                <w:sz w:val="24"/>
                <w:szCs w:val="24"/>
              </w:rPr>
              <w:t>.履职计划思路清晰、逻辑严谨、</w:t>
            </w:r>
            <w:r>
              <w:rPr>
                <w:rFonts w:ascii="仿宋_GB2312" w:hAnsi="仿宋_GB2312" w:eastAsia="仿宋_GB2312" w:cs="仿宋_GB2312"/>
                <w:sz w:val="24"/>
                <w:szCs w:val="24"/>
              </w:rPr>
              <w:t>表述流畅</w:t>
            </w:r>
            <w:r>
              <w:rPr>
                <w:rFonts w:hint="eastAsia" w:ascii="仿宋_GB2312" w:hAnsi="仿宋_GB2312" w:eastAsia="仿宋_GB2312" w:cs="仿宋_GB2312"/>
                <w:sz w:val="24"/>
                <w:szCs w:val="24"/>
              </w:rPr>
              <w:t>。优秀的计1</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分，良好的计</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分，一般的计6分。</w:t>
            </w:r>
          </w:p>
        </w:tc>
        <w:tc>
          <w:tcPr>
            <w:tcW w:w="2258" w:type="dxa"/>
            <w:vMerge w:val="continue"/>
            <w:vAlign w:val="center"/>
          </w:tcPr>
          <w:p>
            <w:pPr>
              <w:rPr>
                <w:rFonts w:ascii="仿宋_GB2312" w:hAnsi="仿宋_GB2312" w:eastAsia="仿宋_GB2312" w:cs="仿宋_GB2312"/>
                <w:sz w:val="24"/>
                <w:szCs w:val="24"/>
              </w:rPr>
            </w:pPr>
          </w:p>
        </w:tc>
        <w:tc>
          <w:tcPr>
            <w:tcW w:w="1613" w:type="dxa"/>
            <w:vMerge w:val="continue"/>
            <w:vAlign w:val="center"/>
          </w:tcPr>
          <w:p>
            <w:pPr>
              <w:rPr>
                <w:rFonts w:ascii="仿宋_GB2312" w:hAnsi="仿宋_GB2312" w:eastAsia="仿宋_GB2312" w:cs="仿宋_GB2312"/>
                <w:sz w:val="24"/>
                <w:szCs w:val="24"/>
              </w:rPr>
            </w:pPr>
          </w:p>
        </w:tc>
      </w:tr>
    </w:tbl>
    <w:p>
      <w:pPr>
        <w:spacing w:line="578" w:lineRule="exact"/>
        <w:jc w:val="center"/>
        <w:rPr>
          <w:rFonts w:ascii="方正小标宋简体" w:hAnsi="黑体" w:eastAsia="方正小标宋简体" w:cs="宋体"/>
          <w:kern w:val="0"/>
          <w:sz w:val="44"/>
          <w:szCs w:val="44"/>
        </w:rPr>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1MGQ2NjQ4NmFhODQwOGU1Y2UyYTgzZDRkZDgyNWUifQ=="/>
  </w:docVars>
  <w:rsids>
    <w:rsidRoot w:val="311C116A"/>
    <w:rsid w:val="311C1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2022-09-30T09:10:00Z</dcterms:created>
  <dc:creator> </dc:creator>
  <cp:lastModifiedBy> </cp:lastModifiedBy>
  <dcterms:modified xsi:type="dcterms:W3CDTF">2022-09-30T09:11:35Z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9FA7F5A29B93431DAB543881FDD4B672</vt:lpwstr>
  </property>
</Properties>
</file>