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pPr>
      <w:r>
        <w:rPr>
          <w:rFonts w:hint="eastAsia"/>
        </w:rPr>
        <w:t>附件2</w:t>
      </w:r>
    </w:p>
    <w:p>
      <w:pPr>
        <w:ind w:firstLine="0"/>
        <w:rPr>
          <w:b/>
          <w:sz w:val="44"/>
          <w:szCs w:val="44"/>
          <w:lang w:val="en-US"/>
        </w:rPr>
      </w:pPr>
    </w:p>
    <w:p>
      <w:pPr>
        <w:ind w:firstLine="0"/>
        <w:jc w:val="center"/>
        <w:rPr>
          <w:b/>
          <w:sz w:val="44"/>
          <w:szCs w:val="44"/>
          <w:lang w:val="en-US"/>
        </w:rPr>
      </w:pPr>
      <w:r>
        <w:rPr>
          <w:rFonts w:hint="eastAsia"/>
          <w:b/>
          <w:sz w:val="44"/>
          <w:szCs w:val="44"/>
          <w:lang w:val="en-US"/>
        </w:rPr>
        <w:t>《深圳市自然资源统一确权登记实施办法》</w:t>
      </w:r>
    </w:p>
    <w:p>
      <w:pPr>
        <w:jc w:val="center"/>
        <w:rPr>
          <w:b/>
          <w:sz w:val="44"/>
          <w:szCs w:val="44"/>
          <w:lang w:val="en-US"/>
        </w:rPr>
      </w:pPr>
      <w:r>
        <w:rPr>
          <w:rFonts w:hint="eastAsia"/>
          <w:b/>
          <w:sz w:val="44"/>
          <w:szCs w:val="44"/>
          <w:lang w:val="en-US"/>
        </w:rPr>
        <w:t>（征求意见稿）起草说明</w:t>
      </w:r>
    </w:p>
    <w:p>
      <w:r>
        <w:rPr>
          <w:rFonts w:hint="eastAsia"/>
        </w:rPr>
        <w:t>为全面推进我市自然资源确权登记工作，推动建立归属清晰、权责明确、保护严格、流转顺畅、监管有效的自然资源资产产权制度，实现山水林田湖草整体保护、系统修复、综合治理，根据《自然资源统一确权登记暂行办法》（自然资发〔</w:t>
      </w:r>
      <w:r>
        <w:t>2019〕116号，以下简称《办法》），在总结试点工作的基础上，制定了《深圳市自然资源统一确权登记实施办法》（以下简称《实施</w:t>
      </w:r>
      <w:r>
        <w:rPr>
          <w:rFonts w:hint="eastAsia"/>
        </w:rPr>
        <w:t>办法</w:t>
      </w:r>
      <w:r>
        <w:t>》）</w:t>
      </w:r>
      <w:r>
        <w:rPr>
          <w:rFonts w:hint="eastAsia"/>
        </w:rPr>
        <w:t>。现将主要内容说明如下</w:t>
      </w:r>
      <w:r>
        <w:t>:</w:t>
      </w:r>
    </w:p>
    <w:p>
      <w:pPr>
        <w:pStyle w:val="2"/>
        <w:rPr>
          <w:rStyle w:val="16"/>
          <w:bCs/>
          <w:shd w:val="clear" w:color="auto" w:fill="auto"/>
        </w:rPr>
      </w:pPr>
      <w:r>
        <w:t>一、</w:t>
      </w:r>
      <w:r>
        <w:rPr>
          <w:rFonts w:hint="eastAsia"/>
        </w:rPr>
        <w:t>起草</w:t>
      </w:r>
      <w:r>
        <w:t>背景</w:t>
      </w:r>
      <w:r>
        <w:rPr>
          <w:rFonts w:hint="eastAsia"/>
        </w:rPr>
        <w:t>及必要性</w:t>
      </w:r>
    </w:p>
    <w:p>
      <w:r>
        <w:rPr>
          <w:rFonts w:hint="eastAsia"/>
        </w:rPr>
        <w:t>自然资源统一确权登记是中央生态文明体制改革的重要决策部署，是加强自然资源资产管理的现实需要，是履行自然资源管理“两统一”职责的基础支撑。</w:t>
      </w:r>
    </w:p>
    <w:p>
      <w:r>
        <w:rPr>
          <w:rFonts w:hint="eastAsia"/>
          <w:lang w:val="en-US"/>
        </w:rPr>
        <w:t>2019年7月，</w:t>
      </w:r>
      <w:r>
        <w:t>自然资源部等</w:t>
      </w:r>
      <w:r>
        <w:rPr>
          <w:rFonts w:hint="eastAsia"/>
        </w:rPr>
        <w:t>五</w:t>
      </w:r>
      <w:r>
        <w:t>部门印发</w:t>
      </w:r>
      <w:r>
        <w:rPr>
          <w:rFonts w:hint="eastAsia"/>
        </w:rPr>
        <w:t>《办法》和</w:t>
      </w:r>
      <w:r>
        <w:t>《自然资源统一确权登记工作方案》</w:t>
      </w:r>
      <w:r>
        <w:rPr>
          <w:rFonts w:hint="eastAsia"/>
        </w:rPr>
        <w:t>，明确了登记管辖、资源类型划分、权利主体确定和登记单元划分等重要方面的规定，</w:t>
      </w:r>
      <w:r>
        <w:t>要求从2019年起，利用5年时间基本完成全国重点区域的自然资源统一确权登记</w:t>
      </w:r>
      <w:r>
        <w:rPr>
          <w:rFonts w:hint="eastAsia"/>
        </w:rPr>
        <w:t>。</w:t>
      </w:r>
      <w:r>
        <w:t>2023年以后，分阶段推进其它区域的自然资源确权登记工作，通过补充完善的方式逐步实现全国全覆盖。</w:t>
      </w:r>
    </w:p>
    <w:p>
      <w:pPr>
        <w:rPr>
          <w:lang w:val="en-US"/>
        </w:rPr>
      </w:pPr>
      <w:r>
        <w:rPr>
          <w:rFonts w:hint="eastAsia"/>
          <w:lang w:val="en-US"/>
        </w:rPr>
        <w:t>2020年5月，省自然资源厅印发《广东省自然资源统一确权登记总体工作方案》，确定广州、深圳等五个市作为试点地区，要求试点地区自行选取部分区域开展统一确权登记工作。</w:t>
      </w:r>
    </w:p>
    <w:p>
      <w:pPr>
        <w:rPr>
          <w:lang w:val="en-US"/>
        </w:rPr>
      </w:pPr>
      <w:r>
        <w:rPr>
          <w:rFonts w:hint="eastAsia"/>
          <w:lang w:val="en-US"/>
        </w:rPr>
        <w:t>目前，我市根据广东省统一部署，正在推进广东内伶仃-福田国家级自然保护区确权登记试点工作，已完成通告、资料收集、登记单元预划分、地籍调查、关联信息、调查成果审核、公告和异议处理等工作，下一步将开展登簿等工作，确保今年年底前完成试点任务。</w:t>
      </w:r>
    </w:p>
    <w:p>
      <w:pPr>
        <w:rPr>
          <w:lang w:val="en-US"/>
        </w:rPr>
      </w:pPr>
      <w:r>
        <w:rPr>
          <w:rFonts w:hint="eastAsia"/>
          <w:lang w:val="en-US"/>
        </w:rPr>
        <w:t>经过一</w:t>
      </w:r>
      <w:r>
        <w:rPr>
          <w:lang w:val="en-US"/>
        </w:rPr>
        <w:t>年多的试点，我们探索出一套适合深圳市实际情况且行之有效的自然资源确权登记工作流程、技术方法、标准规范，</w:t>
      </w:r>
      <w:r>
        <w:rPr>
          <w:rFonts w:hint="eastAsia"/>
          <w:lang w:val="en-US"/>
        </w:rPr>
        <w:t>增强</w:t>
      </w:r>
      <w:r>
        <w:rPr>
          <w:lang w:val="en-US"/>
        </w:rPr>
        <w:t>了自然资源确权登记的现实性和可操作性。</w:t>
      </w:r>
    </w:p>
    <w:p>
      <w:pPr>
        <w:rPr>
          <w:lang w:val="en-US"/>
        </w:rPr>
      </w:pPr>
      <w:r>
        <w:rPr>
          <w:rFonts w:hint="eastAsia"/>
          <w:lang w:val="en-US"/>
        </w:rPr>
        <w:t>为贯彻落实中共中央、国务院关于</w:t>
      </w:r>
      <w:bookmarkStart w:id="0" w:name="_GoBack"/>
      <w:bookmarkEnd w:id="0"/>
      <w:r>
        <w:rPr>
          <w:rFonts w:hint="eastAsia"/>
          <w:lang w:val="en-US"/>
        </w:rPr>
        <w:t>生态文明建设决策部署，建立和实施自然资源统一确权登记制度，推进自然资源确权登记法治化，推动建立归属清晰、权责明确、保护严格、流转顺畅、监管有效的自然资源资产产权制度，实现山水林田湖草整体保护、系统修复、综合治理，我们在总结试点经验的基础上，在遵循《办法》重要内容、增强其适用性的原则，编制了本《实施办法》。</w:t>
      </w:r>
    </w:p>
    <w:p>
      <w:pPr>
        <w:pStyle w:val="2"/>
      </w:pPr>
      <w:r>
        <w:t>二、</w:t>
      </w:r>
      <w:r>
        <w:rPr>
          <w:rFonts w:hint="eastAsia"/>
        </w:rPr>
        <w:t>主要内容说明</w:t>
      </w:r>
    </w:p>
    <w:p>
      <w:pPr>
        <w:pStyle w:val="2"/>
      </w:pPr>
      <w:r>
        <w:rPr>
          <w:rFonts w:hint="eastAsia"/>
        </w:rPr>
        <w:t>（一）关于《实施办法》框架</w:t>
      </w:r>
    </w:p>
    <w:p>
      <w:r>
        <w:rPr>
          <w:rFonts w:hint="eastAsia"/>
        </w:rPr>
        <w:t>《实施办法》有五章二十八条，包括总则、自然资源登记簿、自然资源登记程序、自然资源登记信息管理与应用、附则，与《办法》相比，合并了自然资源登记簿和自然资源登记单元两章。</w:t>
      </w:r>
    </w:p>
    <w:p>
      <w:pPr>
        <w:pStyle w:val="2"/>
      </w:pPr>
      <w:r>
        <w:rPr>
          <w:rFonts w:hint="eastAsia"/>
        </w:rPr>
        <w:t>（二）关于登记机构</w:t>
      </w:r>
    </w:p>
    <w:p>
      <w:r>
        <w:rPr>
          <w:rFonts w:hint="eastAsia"/>
        </w:rPr>
        <w:t>根据《办法》第六条规定，自然资源主管部门作为承担自然资源统一确权登记工作的机构（简称登记机构），按照分级和属地相结合的方式进行登记管辖。深圳市不动产登记中心是深圳市的不动产登记机构，不具备自然资源登记职责，因此，深圳市自然资源确权登记机构为市规划和自然资源局，负责自然资源统一确权登记的组织开展工作，市不动产登记中心按照工作部署，具体承办自然资源登记工作。</w:t>
      </w:r>
    </w:p>
    <w:p>
      <w:pPr>
        <w:rPr>
          <w:lang w:val="en-US"/>
        </w:rPr>
      </w:pPr>
      <w:r>
        <w:rPr>
          <w:rFonts w:hint="eastAsia"/>
        </w:rPr>
        <w:t>另自然资源涉及水流、森林、山岭、草原、荒地、滩涂、海域、无居民海岛以及探明储量的矿产资源等自然资源，所以要求市生态环境、水务、城市管理和综合执法等相关部门以及各区政府依职权配合开展自然资源确权登记相关工作。</w:t>
      </w:r>
    </w:p>
    <w:p>
      <w:pPr>
        <w:pStyle w:val="2"/>
      </w:pPr>
      <w:r>
        <w:rPr>
          <w:rFonts w:hint="eastAsia"/>
        </w:rPr>
        <w:t>（三）关于土地所有权</w:t>
      </w:r>
    </w:p>
    <w:p>
      <w:r>
        <w:rPr>
          <w:rFonts w:hint="eastAsia"/>
        </w:rPr>
        <w:t>经过</w:t>
      </w:r>
      <w:r>
        <w:t>1992年</w:t>
      </w:r>
      <w:r>
        <w:rPr>
          <w:rFonts w:hint="eastAsia"/>
        </w:rPr>
        <w:t>、2004年</w:t>
      </w:r>
      <w:r>
        <w:t>城市化进程，我市村集体经济组织成员已全部转为城市居民。根据《中华人民共和国土地管理法实施条例》第二条规定：“下列土地属于全民所有即国家所有：（一）城市市区的土地；（二）农村和城市郊区中已经依法没收、征收、征购为国有的土地；（三）国家依法征收的土地；（四）依法不属于集体所有的林地、草地、荒地、滩涂及其他土地；（五）农村集体经济组织全部成员转为城镇居民的，原属于其成员集体所有的土地；（六）因国家组织移民、自然灾害等原因，农民成建制地集体迁移后不再使用的原属于迁移农民集体所有的土地。”目前深圳市土地全部国有</w:t>
      </w:r>
      <w:r>
        <w:rPr>
          <w:rFonts w:hint="eastAsia"/>
        </w:rPr>
        <w:t>，</w:t>
      </w:r>
      <w:r>
        <w:t>不存在集体土地</w:t>
      </w:r>
      <w:r>
        <w:rPr>
          <w:rFonts w:hint="eastAsia"/>
        </w:rPr>
        <w:t>。因此，《实施办法》删除了有关集体土地的内容。</w:t>
      </w:r>
    </w:p>
    <w:p>
      <w:pPr>
        <w:pStyle w:val="2"/>
      </w:pPr>
      <w:r>
        <w:rPr>
          <w:rFonts w:hint="eastAsia"/>
        </w:rPr>
        <w:t>（四）关于划清边界</w:t>
      </w:r>
    </w:p>
    <w:p>
      <w:r>
        <w:rPr>
          <w:rFonts w:hint="eastAsia"/>
        </w:rPr>
        <w:t>根据试点经验，为利于管理主体开展自然资源日常管理工作，将《办法》中规定的“四划清”，即划清全民所有和集体所有之间的边界，划清全民所有、不同层级政府行使所有权的边界，划清不同集体所有者的边界，划清不同类型自然资源之间的边界。改为“三划清”，即划清深圳市人民政府代理行使所有权的边界，划清不同管理主体行使日常管理的边界，划清不同类型自然资源之间的边界。增加了有关登记管理主体、管理主体行使日常管理的内容，以及相应的图示要求，并增加了 “可以向管理主体颁发自然资源所有权证书”的表述。</w:t>
      </w:r>
    </w:p>
    <w:p>
      <w:pPr>
        <w:pStyle w:val="2"/>
      </w:pPr>
      <w:r>
        <w:rPr>
          <w:rFonts w:hint="eastAsia"/>
        </w:rPr>
        <w:t>（五）关于权利主体</w:t>
      </w:r>
    </w:p>
    <w:p>
      <w:pPr>
        <w:rPr>
          <w:lang w:val="en-US"/>
        </w:rPr>
      </w:pPr>
      <w:r>
        <w:rPr>
          <w:rFonts w:hint="eastAsia"/>
          <w:lang w:val="en-US"/>
        </w:rPr>
        <w:t>根据《办法》第十条，深圳市自然资源所有权主体登记为全民。自然资源所有权代表行使主体登记为国务院自然资源主管部门。中央委托相关部门、地方政府代理行使所有权的，所有权代理行使主体登记为相关部门、地方人民政府。因此，中央出台委托地方政府代理行使所有权的清单，明确深圳市人民政府代理行使所有权的，可视深圳市自然资源所有者权益管理的改革成果，将深圳市自然资源所有权代理行使主体登记为深圳市人民政府或者各区人民政府。</w:t>
      </w:r>
    </w:p>
    <w:p>
      <w:pPr>
        <w:rPr>
          <w:lang w:val="en-US"/>
        </w:rPr>
      </w:pPr>
      <w:r>
        <w:rPr>
          <w:rFonts w:hint="eastAsia"/>
          <w:lang w:val="en-US"/>
        </w:rPr>
        <w:t>《中华人民共和国自然保护区条例》第二十一条　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有关自然保护区行政主管部门应当在自然保护区内设立专门的管理机构，配备专业技术人员，负责自然保护区的具体管理工作。《深圳市内伶仃岛—福田国家级自然保护区管理规定》（深圳市人民政府令第</w:t>
      </w:r>
      <w:r>
        <w:rPr>
          <w:lang w:val="en-US"/>
        </w:rPr>
        <w:t>234号</w:t>
      </w:r>
      <w:r>
        <w:rPr>
          <w:rFonts w:hint="eastAsia"/>
          <w:lang w:val="en-US"/>
        </w:rPr>
        <w:t>）第四条，广东内伶仃岛—福田国家级自然保护区管理机构（以下简称保护区管理机构）具体负责自然保护区的日常管理工作。</w:t>
      </w:r>
    </w:p>
    <w:p>
      <w:pPr>
        <w:rPr>
          <w:lang w:val="en-US"/>
        </w:rPr>
      </w:pPr>
      <w:r>
        <w:rPr>
          <w:rFonts w:hint="eastAsia"/>
          <w:lang w:val="en-US"/>
        </w:rPr>
        <w:t>由上述可知，自然资源所有权日常管理主体由行政法规规定行政主管部门管理，行政主管部门依法设立管理机构，或者</w:t>
      </w:r>
      <w:r>
        <w:rPr>
          <w:lang w:val="en-US"/>
        </w:rPr>
        <w:t>地方政府规章明确管理机构</w:t>
      </w:r>
      <w:r>
        <w:rPr>
          <w:rFonts w:hint="eastAsia"/>
          <w:lang w:val="en-US"/>
        </w:rPr>
        <w:t>。因此，自然资源所有权日常管理主体登记表述为深圳市政府或行政主管部门指定设立的管理部门机构。</w:t>
      </w:r>
    </w:p>
    <w:p>
      <w:pPr>
        <w:pStyle w:val="2"/>
      </w:pPr>
      <w:r>
        <w:rPr>
          <w:rFonts w:hint="eastAsia"/>
        </w:rPr>
        <w:t>（六）关于经费保障</w:t>
      </w:r>
    </w:p>
    <w:p>
      <w:r>
        <w:rPr>
          <w:rFonts w:hint="eastAsia"/>
        </w:rPr>
        <w:t>根据《办法》规定，自然资源统一确权登记工作经费应纳入各级政府预算，不得向当事人收取登记费等相关费用</w:t>
      </w:r>
      <w:r>
        <w:t>。因此</w:t>
      </w:r>
      <w:r>
        <w:rPr>
          <w:rFonts w:hint="eastAsia"/>
        </w:rPr>
        <w:t>《实施办法》</w:t>
      </w:r>
      <w:r>
        <w:t>规定</w:t>
      </w:r>
      <w:r>
        <w:rPr>
          <w:rFonts w:hint="eastAsia"/>
        </w:rPr>
        <w:t>，深圳市自然资源统一确权登记工作经费应纳入各市、区级政府预算，分别由市区财政、发改部门按规定予以保障，不得向当事人收取登记费等相关费用。</w:t>
      </w:r>
    </w:p>
    <w:p>
      <w:pPr>
        <w:rPr>
          <w:lang w:val="en-US"/>
        </w:rPr>
      </w:pPr>
      <w:r>
        <w:rPr>
          <w:rFonts w:hint="eastAsia"/>
          <w:lang w:val="en-US"/>
        </w:rPr>
        <w:t>特此说明。</w:t>
      </w:r>
    </w:p>
    <w:p>
      <w:pPr>
        <w:rPr>
          <w:lang w:val="en-US"/>
        </w:rPr>
      </w:pPr>
    </w:p>
    <w:p>
      <w:pPr>
        <w:rPr>
          <w:lang w:val="en-US"/>
        </w:rPr>
      </w:pPr>
      <w:r>
        <w:rPr>
          <w:rFonts w:hint="eastAsia"/>
          <w:lang w:val="en-US"/>
        </w:rPr>
        <w:t xml:space="preserve">                             市规划和自然资源局</w:t>
      </w:r>
    </w:p>
    <w:p>
      <w:r>
        <w:rPr>
          <w:rFonts w:hint="eastAsia"/>
          <w:lang w:val="en-US"/>
        </w:rPr>
        <w:t xml:space="preserve">                               </w:t>
      </w:r>
      <w:r>
        <w:rPr>
          <w:lang w:val="en-US"/>
        </w:rPr>
        <w:t>2020年11</w:t>
      </w:r>
      <w:r>
        <w:rPr>
          <w:rFonts w:hint="eastAsia"/>
          <w:lang w:val="en-US"/>
        </w:rPr>
        <w:t>月</w:t>
      </w:r>
      <w:r>
        <w:rPr>
          <w:lang w:val="en-US"/>
        </w:rPr>
        <w:t>30</w:t>
      </w:r>
      <w:r>
        <w:rPr>
          <w:rFonts w:hint="eastAsia"/>
          <w:lang w:val="en-US"/>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00D92187"/>
    <w:rsid w:val="000160F6"/>
    <w:rsid w:val="000336D8"/>
    <w:rsid w:val="0006569F"/>
    <w:rsid w:val="00072DD8"/>
    <w:rsid w:val="000A416B"/>
    <w:rsid w:val="000A471A"/>
    <w:rsid w:val="000D3ABA"/>
    <w:rsid w:val="000E53E4"/>
    <w:rsid w:val="00105611"/>
    <w:rsid w:val="001204D6"/>
    <w:rsid w:val="001300F3"/>
    <w:rsid w:val="0014625F"/>
    <w:rsid w:val="00157742"/>
    <w:rsid w:val="001C2BBF"/>
    <w:rsid w:val="001C58F5"/>
    <w:rsid w:val="001D3FAD"/>
    <w:rsid w:val="00201E4D"/>
    <w:rsid w:val="002273C3"/>
    <w:rsid w:val="00240661"/>
    <w:rsid w:val="00257002"/>
    <w:rsid w:val="002626DE"/>
    <w:rsid w:val="002651C6"/>
    <w:rsid w:val="002A024B"/>
    <w:rsid w:val="002A67CA"/>
    <w:rsid w:val="002B22FD"/>
    <w:rsid w:val="002D18F8"/>
    <w:rsid w:val="002E0760"/>
    <w:rsid w:val="002E0EAF"/>
    <w:rsid w:val="00302C21"/>
    <w:rsid w:val="00315287"/>
    <w:rsid w:val="00330914"/>
    <w:rsid w:val="003654F4"/>
    <w:rsid w:val="003C5D52"/>
    <w:rsid w:val="003C5D64"/>
    <w:rsid w:val="00437263"/>
    <w:rsid w:val="00451A8D"/>
    <w:rsid w:val="00474827"/>
    <w:rsid w:val="0048695A"/>
    <w:rsid w:val="004B35AD"/>
    <w:rsid w:val="004D18E7"/>
    <w:rsid w:val="004E62F3"/>
    <w:rsid w:val="004F5552"/>
    <w:rsid w:val="005523B8"/>
    <w:rsid w:val="005715DA"/>
    <w:rsid w:val="00616143"/>
    <w:rsid w:val="00624541"/>
    <w:rsid w:val="00626EF8"/>
    <w:rsid w:val="00632D2B"/>
    <w:rsid w:val="00661695"/>
    <w:rsid w:val="006721A1"/>
    <w:rsid w:val="00680109"/>
    <w:rsid w:val="006823AE"/>
    <w:rsid w:val="006B22ED"/>
    <w:rsid w:val="006C7771"/>
    <w:rsid w:val="006F7E0C"/>
    <w:rsid w:val="0074013B"/>
    <w:rsid w:val="00754A4F"/>
    <w:rsid w:val="00794F09"/>
    <w:rsid w:val="007D5952"/>
    <w:rsid w:val="007E0FB3"/>
    <w:rsid w:val="00802276"/>
    <w:rsid w:val="00824E76"/>
    <w:rsid w:val="00827A78"/>
    <w:rsid w:val="008405C0"/>
    <w:rsid w:val="008608A4"/>
    <w:rsid w:val="00862225"/>
    <w:rsid w:val="00870C1B"/>
    <w:rsid w:val="008D4740"/>
    <w:rsid w:val="00944398"/>
    <w:rsid w:val="009857BE"/>
    <w:rsid w:val="009C6BA9"/>
    <w:rsid w:val="00A00AAA"/>
    <w:rsid w:val="00A1094A"/>
    <w:rsid w:val="00A160D6"/>
    <w:rsid w:val="00A21CBA"/>
    <w:rsid w:val="00A54298"/>
    <w:rsid w:val="00AC34EB"/>
    <w:rsid w:val="00AF5E7B"/>
    <w:rsid w:val="00B00726"/>
    <w:rsid w:val="00B03ACD"/>
    <w:rsid w:val="00B11E8C"/>
    <w:rsid w:val="00B24089"/>
    <w:rsid w:val="00B34447"/>
    <w:rsid w:val="00B357F9"/>
    <w:rsid w:val="00B37DE5"/>
    <w:rsid w:val="00B642D6"/>
    <w:rsid w:val="00BA2025"/>
    <w:rsid w:val="00BB3ED6"/>
    <w:rsid w:val="00BB6531"/>
    <w:rsid w:val="00BB7390"/>
    <w:rsid w:val="00BC41DF"/>
    <w:rsid w:val="00BD03D8"/>
    <w:rsid w:val="00BF0624"/>
    <w:rsid w:val="00BF0F6F"/>
    <w:rsid w:val="00C15876"/>
    <w:rsid w:val="00C40C6A"/>
    <w:rsid w:val="00C953C1"/>
    <w:rsid w:val="00D05155"/>
    <w:rsid w:val="00D15B5D"/>
    <w:rsid w:val="00D57F09"/>
    <w:rsid w:val="00D92187"/>
    <w:rsid w:val="00DA1330"/>
    <w:rsid w:val="00DE2319"/>
    <w:rsid w:val="00E0321D"/>
    <w:rsid w:val="00E07F22"/>
    <w:rsid w:val="00E77851"/>
    <w:rsid w:val="00E91826"/>
    <w:rsid w:val="00EB1DBA"/>
    <w:rsid w:val="00EB3FA4"/>
    <w:rsid w:val="00EC545E"/>
    <w:rsid w:val="00F055E4"/>
    <w:rsid w:val="00F0747C"/>
    <w:rsid w:val="00F872D6"/>
    <w:rsid w:val="00FF2BA5"/>
    <w:rsid w:val="03A53587"/>
    <w:rsid w:val="05120C04"/>
    <w:rsid w:val="06B76DB3"/>
    <w:rsid w:val="09CA19E1"/>
    <w:rsid w:val="0A742746"/>
    <w:rsid w:val="0E6A0363"/>
    <w:rsid w:val="10E26990"/>
    <w:rsid w:val="13A977E9"/>
    <w:rsid w:val="14311562"/>
    <w:rsid w:val="149F4CE3"/>
    <w:rsid w:val="17B8416B"/>
    <w:rsid w:val="191E69CE"/>
    <w:rsid w:val="1B0E7C0B"/>
    <w:rsid w:val="20477D17"/>
    <w:rsid w:val="20606AA9"/>
    <w:rsid w:val="21853935"/>
    <w:rsid w:val="28487063"/>
    <w:rsid w:val="2A982700"/>
    <w:rsid w:val="2C6F49FF"/>
    <w:rsid w:val="351473B9"/>
    <w:rsid w:val="37677D8A"/>
    <w:rsid w:val="3FE50194"/>
    <w:rsid w:val="43A5494C"/>
    <w:rsid w:val="44B34CB2"/>
    <w:rsid w:val="47C83202"/>
    <w:rsid w:val="4A2D3084"/>
    <w:rsid w:val="4EF87119"/>
    <w:rsid w:val="52E105EF"/>
    <w:rsid w:val="540A0CFE"/>
    <w:rsid w:val="55BB0F45"/>
    <w:rsid w:val="55C2662F"/>
    <w:rsid w:val="57073625"/>
    <w:rsid w:val="58FA1414"/>
    <w:rsid w:val="591B3AEC"/>
    <w:rsid w:val="5A617777"/>
    <w:rsid w:val="5F951576"/>
    <w:rsid w:val="5FAB2F40"/>
    <w:rsid w:val="63E414BB"/>
    <w:rsid w:val="643B45CD"/>
    <w:rsid w:val="643C7E13"/>
    <w:rsid w:val="65E33B5E"/>
    <w:rsid w:val="663C2D37"/>
    <w:rsid w:val="6AC1456C"/>
    <w:rsid w:val="72EF527E"/>
    <w:rsid w:val="731F2306"/>
    <w:rsid w:val="746229EA"/>
    <w:rsid w:val="76947C3B"/>
    <w:rsid w:val="769B541D"/>
    <w:rsid w:val="76C34786"/>
    <w:rsid w:val="7FE5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601"/>
      <w:outlineLvl w:val="2"/>
    </w:pPr>
    <w:rPr>
      <w:rFonts w:ascii="仿宋" w:hAnsi="仿宋" w:eastAsia="仿宋" w:cs="宋体"/>
      <w:color w:val="282828"/>
      <w:sz w:val="32"/>
      <w:szCs w:val="32"/>
      <w:lang w:val="en" w:eastAsia="zh-CN" w:bidi="ar-SA"/>
    </w:rPr>
  </w:style>
  <w:style w:type="paragraph" w:styleId="2">
    <w:name w:val="heading 1"/>
    <w:basedOn w:val="1"/>
    <w:next w:val="1"/>
    <w:link w:val="16"/>
    <w:qFormat/>
    <w:uiPriority w:val="99"/>
    <w:pPr>
      <w:keepNext/>
      <w:keepLines/>
      <w:shd w:val="clear" w:color="auto" w:fill="FFFFFF"/>
      <w:spacing w:before="120" w:after="120"/>
      <w:ind w:firstLine="672" w:firstLineChars="200"/>
      <w:jc w:val="both"/>
      <w:outlineLvl w:val="0"/>
    </w:pPr>
    <w:rPr>
      <w:rFonts w:ascii="黑体" w:hAnsi="黑体" w:eastAsia="黑体"/>
      <w:bCs/>
      <w:color w:val="333333"/>
      <w:spacing w:val="8"/>
      <w:kern w:val="44"/>
      <w:lang w:val="en-US"/>
    </w:rPr>
  </w:style>
  <w:style w:type="paragraph" w:styleId="3">
    <w:name w:val="heading 3"/>
    <w:basedOn w:val="1"/>
    <w:next w:val="1"/>
    <w:link w:val="13"/>
    <w:qFormat/>
    <w:uiPriority w:val="9"/>
    <w:pPr>
      <w:spacing w:before="100" w:beforeAutospacing="1" w:after="100" w:afterAutospacing="1"/>
    </w:pPr>
    <w:rPr>
      <w:rFonts w:ascii="宋体" w:hAnsi="宋体" w:eastAsia="宋体"/>
      <w:sz w:val="24"/>
      <w:szCs w:val="24"/>
    </w:rPr>
  </w:style>
  <w:style w:type="paragraph" w:styleId="4">
    <w:name w:val="heading 4"/>
    <w:basedOn w:val="1"/>
    <w:next w:val="1"/>
    <w:link w:val="14"/>
    <w:qFormat/>
    <w:uiPriority w:val="9"/>
    <w:pPr>
      <w:spacing w:before="100" w:beforeAutospacing="1" w:after="100" w:afterAutospacing="1"/>
      <w:outlineLvl w:val="3"/>
    </w:pPr>
    <w:rPr>
      <w:rFonts w:ascii="宋体" w:hAnsi="宋体" w:eastAsia="宋体"/>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pPr>
      <w:spacing w:line="240" w:lineRule="auto"/>
    </w:pPr>
    <w:rPr>
      <w:sz w:val="18"/>
      <w:szCs w:val="18"/>
    </w:rPr>
  </w:style>
  <w:style w:type="paragraph" w:styleId="6">
    <w:name w:val="footer"/>
    <w:basedOn w:val="1"/>
    <w:link w:val="18"/>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8">
    <w:name w:val="Normal (Web)"/>
    <w:basedOn w:val="1"/>
    <w:semiHidden/>
    <w:unhideWhenUsed/>
    <w:qFormat/>
    <w:uiPriority w:val="99"/>
    <w:pPr>
      <w:spacing w:before="100" w:beforeAutospacing="1" w:after="100" w:afterAutospacing="1"/>
    </w:pPr>
    <w:rPr>
      <w:rFonts w:ascii="宋体" w:hAnsi="宋体" w:eastAsia="宋体"/>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none"/>
    </w:rPr>
  </w:style>
  <w:style w:type="character" w:customStyle="1" w:styleId="13">
    <w:name w:val="标题 3 Char"/>
    <w:basedOn w:val="10"/>
    <w:link w:val="3"/>
    <w:qFormat/>
    <w:uiPriority w:val="9"/>
    <w:rPr>
      <w:rFonts w:ascii="宋体" w:hAnsi="宋体" w:eastAsia="宋体" w:cs="宋体"/>
      <w:kern w:val="0"/>
      <w:sz w:val="24"/>
      <w:szCs w:val="24"/>
    </w:rPr>
  </w:style>
  <w:style w:type="character" w:customStyle="1" w:styleId="14">
    <w:name w:val="标题 4 Char"/>
    <w:basedOn w:val="10"/>
    <w:link w:val="4"/>
    <w:qFormat/>
    <w:uiPriority w:val="9"/>
    <w:rPr>
      <w:rFonts w:ascii="宋体" w:hAnsi="宋体" w:eastAsia="宋体" w:cs="宋体"/>
      <w:kern w:val="0"/>
      <w:sz w:val="24"/>
      <w:szCs w:val="24"/>
    </w:rPr>
  </w:style>
  <w:style w:type="character" w:customStyle="1" w:styleId="15">
    <w:name w:val="ly"/>
    <w:basedOn w:val="10"/>
    <w:qFormat/>
    <w:uiPriority w:val="0"/>
  </w:style>
  <w:style w:type="character" w:customStyle="1" w:styleId="16">
    <w:name w:val="标题 1 Char"/>
    <w:basedOn w:val="10"/>
    <w:link w:val="2"/>
    <w:qFormat/>
    <w:uiPriority w:val="99"/>
    <w:rPr>
      <w:rFonts w:ascii="黑体" w:hAnsi="黑体" w:eastAsia="黑体" w:cs="宋体"/>
      <w:bCs/>
      <w:color w:val="333333"/>
      <w:spacing w:val="8"/>
      <w:kern w:val="44"/>
      <w:sz w:val="32"/>
      <w:szCs w:val="32"/>
      <w:shd w:val="clear" w:color="auto" w:fill="FFFFFF"/>
    </w:rPr>
  </w:style>
  <w:style w:type="character" w:customStyle="1" w:styleId="17">
    <w:name w:val="页眉 Char"/>
    <w:basedOn w:val="10"/>
    <w:link w:val="7"/>
    <w:qFormat/>
    <w:uiPriority w:val="99"/>
    <w:rPr>
      <w:rFonts w:ascii="仿宋" w:hAnsi="仿宋" w:eastAsia="仿宋" w:cs="宋体"/>
      <w:color w:val="282828"/>
      <w:kern w:val="0"/>
      <w:sz w:val="18"/>
      <w:szCs w:val="18"/>
      <w:lang w:val="en"/>
    </w:rPr>
  </w:style>
  <w:style w:type="character" w:customStyle="1" w:styleId="18">
    <w:name w:val="页脚 Char"/>
    <w:basedOn w:val="10"/>
    <w:link w:val="6"/>
    <w:qFormat/>
    <w:uiPriority w:val="99"/>
    <w:rPr>
      <w:rFonts w:ascii="仿宋" w:hAnsi="仿宋" w:eastAsia="仿宋" w:cs="宋体"/>
      <w:color w:val="282828"/>
      <w:kern w:val="0"/>
      <w:sz w:val="18"/>
      <w:szCs w:val="18"/>
      <w:lang w:val="en"/>
    </w:rPr>
  </w:style>
  <w:style w:type="character" w:customStyle="1" w:styleId="19">
    <w:name w:val="批注框文本 Char"/>
    <w:basedOn w:val="10"/>
    <w:link w:val="5"/>
    <w:semiHidden/>
    <w:uiPriority w:val="99"/>
    <w:rPr>
      <w:rFonts w:ascii="仿宋" w:hAnsi="仿宋" w:eastAsia="仿宋" w:cs="宋体"/>
      <w:color w:val="282828"/>
      <w:sz w:val="18"/>
      <w:szCs w:val="18"/>
      <w:lang w:val="e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GZJ</Company>
  <Pages>5</Pages>
  <Words>2573</Words>
  <Characters>2603</Characters>
  <Lines>19</Lines>
  <Paragraphs>5</Paragraphs>
  <TotalTime>588</TotalTime>
  <ScaleCrop>false</ScaleCrop>
  <LinksUpToDate>false</LinksUpToDate>
  <CharactersWithSpaces>2665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2020-05-18T09:34:00Z</dcterms:created>
  <dc:creator>wangcy</dc:creator>
  <cp:lastModifiedBy>阿营</cp:lastModifiedBy>
  <cp:lastPrinted>2020-12-01T03:20:00Z</cp:lastPrinted>
  <dcterms:modified xsi:type="dcterms:W3CDTF">2022-10-18T03:58:35Z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E2AD904A170840DEA03DF6C8AAF4F472</vt:lpwstr>
  </property>
</Properties>
</file>