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val="0"/>
        <w:spacing w:line="580" w:lineRule="exact"/>
        <w:jc w:val="center"/>
        <w:textAlignment w:val="auto"/>
        <w:rPr>
          <w:rFonts w:ascii="仿宋_GB2312" w:hAnsi="仿宋_GB2312" w:eastAsia="仿宋_GB2312" w:cs="仿宋_GB2312"/>
          <w:b w:val="0"/>
          <w:bCs w:val="0"/>
          <w:kern w:val="21"/>
          <w:sz w:val="28"/>
          <w:szCs w:val="28"/>
        </w:rPr>
      </w:pPr>
      <w:bookmarkStart w:id="10" w:name="_GoBack"/>
      <w:r>
        <w:rPr>
          <w:rFonts w:hint="eastAsia" w:ascii="方正小标宋_GBK" w:hAnsi="仿宋_GB2312" w:eastAsia="方正小标宋_GBK" w:cs="仿宋_GB2312"/>
          <w:b w:val="0"/>
          <w:bCs w:val="0"/>
          <w:kern w:val="21"/>
          <w:sz w:val="44"/>
          <w:szCs w:val="44"/>
        </w:rPr>
        <w:t>深圳市罗湖区建筑市场预拌混凝土、预制构件企业信用管理实施细则</w:t>
      </w:r>
      <w:r>
        <w:rPr>
          <w:rFonts w:ascii="仿宋_GB2312" w:hAnsi="仿宋_GB2312" w:eastAsia="仿宋_GB2312" w:cs="仿宋_GB2312"/>
          <w:b w:val="0"/>
          <w:bCs w:val="0"/>
          <w:kern w:val="21"/>
          <w:sz w:val="28"/>
          <w:szCs w:val="28"/>
        </w:rPr>
        <w:t xml:space="preserve"> </w:t>
      </w:r>
    </w:p>
    <w:p>
      <w:pPr>
        <w:keepNext w:val="0"/>
        <w:keepLines w:val="0"/>
        <w:pageBreakBefore w:val="0"/>
        <w:widowControl w:val="0"/>
        <w:kinsoku/>
        <w:wordWrap/>
        <w:overflowPunct w:val="0"/>
        <w:topLinePunct w:val="0"/>
        <w:autoSpaceDE/>
        <w:autoSpaceDN/>
        <w:bidi w:val="0"/>
        <w:adjustRightInd w:val="0"/>
        <w:snapToGrid w:val="0"/>
        <w:spacing w:line="580" w:lineRule="exact"/>
        <w:jc w:val="center"/>
        <w:textAlignment w:val="auto"/>
        <w:rPr>
          <w:rFonts w:ascii="仿宋_GB2312" w:hAnsi="仿宋_GB2312" w:eastAsia="仿宋_GB2312" w:cs="仿宋_GB2312"/>
          <w:b w:val="0"/>
          <w:bCs w:val="0"/>
          <w:kern w:val="21"/>
          <w:sz w:val="28"/>
          <w:szCs w:val="28"/>
        </w:rPr>
      </w:pPr>
    </w:p>
    <w:p>
      <w:pPr>
        <w:keepNext w:val="0"/>
        <w:keepLines w:val="0"/>
        <w:pageBreakBefore w:val="0"/>
        <w:widowControl w:val="0"/>
        <w:kinsoku/>
        <w:wordWrap/>
        <w:overflowPunct w:val="0"/>
        <w:topLinePunct w:val="0"/>
        <w:autoSpaceDE/>
        <w:autoSpaceDN/>
        <w:bidi w:val="0"/>
        <w:adjustRightInd w:val="0"/>
        <w:snapToGrid w:val="0"/>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第一章</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总</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为进一步加强我区建设工程预拌混凝土、预制构件企业管理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规范</w:t>
      </w:r>
      <w:r>
        <w:rPr>
          <w:rFonts w:hint="eastAsia" w:ascii="仿宋_GB2312" w:hAnsi="仿宋_GB2312" w:eastAsia="仿宋_GB2312" w:cs="仿宋_GB2312"/>
          <w:b w:val="0"/>
          <w:bCs w:val="0"/>
          <w:kern w:val="21"/>
          <w:sz w:val="32"/>
        </w:rPr>
        <w:t>房屋建筑和市政基础设施工程建设活动</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根据《深圳市罗湖区建筑市场主体信用管理办法》的要求</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制定本细则。</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第二条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本细则适用于罗湖区从事</w:t>
      </w:r>
      <w:r>
        <w:rPr>
          <w:rFonts w:hint="eastAsia" w:ascii="仿宋_GB2312" w:hAnsi="仿宋_GB2312" w:eastAsia="仿宋_GB2312" w:cs="仿宋_GB2312"/>
          <w:b w:val="0"/>
          <w:bCs w:val="0"/>
          <w:kern w:val="21"/>
          <w:sz w:val="32"/>
        </w:rPr>
        <w:t>房屋建筑和市政基础设施工程建设</w:t>
      </w:r>
      <w:r>
        <w:rPr>
          <w:rFonts w:hint="eastAsia" w:ascii="仿宋_GB2312" w:hAnsi="仿宋_GB2312" w:eastAsia="仿宋_GB2312" w:cs="仿宋_GB2312"/>
          <w:b w:val="0"/>
          <w:bCs w:val="0"/>
          <w:kern w:val="21"/>
          <w:sz w:val="32"/>
          <w:szCs w:val="32"/>
        </w:rPr>
        <w:t>活动的预拌混凝土、预制构件企业。</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第三条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本细则所称信用管理是指在罗湖区从事</w:t>
      </w:r>
      <w:r>
        <w:rPr>
          <w:rFonts w:hint="eastAsia" w:ascii="仿宋_GB2312" w:hAnsi="仿宋_GB2312" w:eastAsia="仿宋_GB2312" w:cs="仿宋_GB2312"/>
          <w:b w:val="0"/>
          <w:bCs w:val="0"/>
          <w:kern w:val="21"/>
          <w:sz w:val="32"/>
        </w:rPr>
        <w:t>房屋建筑和市政基础设施工程建设</w:t>
      </w:r>
      <w:r>
        <w:rPr>
          <w:rFonts w:hint="eastAsia" w:ascii="仿宋_GB2312" w:hAnsi="仿宋_GB2312" w:eastAsia="仿宋_GB2312" w:cs="仿宋_GB2312"/>
          <w:b w:val="0"/>
          <w:bCs w:val="0"/>
          <w:kern w:val="21"/>
          <w:sz w:val="32"/>
          <w:szCs w:val="32"/>
        </w:rPr>
        <w:t>活动中</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对预拌混凝土、预制构件企业的信用信息认定、采集、交换、公开、评价、使用及监督管理。</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第四条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区建设行政主管部门（以下简称区主管部门）</w:t>
      </w:r>
      <w:r>
        <w:rPr>
          <w:rFonts w:hint="eastAsia" w:ascii="仿宋_GB2312" w:hAnsi="仿宋_GB2312" w:eastAsia="仿宋_GB2312" w:cs="仿宋_GB2312"/>
          <w:b w:val="0"/>
          <w:bCs w:val="0"/>
          <w:kern w:val="21"/>
          <w:sz w:val="32"/>
          <w:szCs w:val="32"/>
        </w:rPr>
        <w:t>负责全区预拌混凝土、预制构件企业信用信息管理工作</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负责对预拌混凝土、预制构件企业信用信息的认定、采集、交换、公开、评价、使用及监督管理。区工程质量安全监督机构负责预拌混凝土、预制构件企业信用信息具体管理工作。</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第五条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区工程质量安全监督机构根据区主管部门的委托对</w:t>
      </w:r>
      <w:r>
        <w:rPr>
          <w:rFonts w:hint="eastAsia" w:ascii="仿宋_GB2312" w:hAnsi="仿宋_GB2312" w:eastAsia="仿宋_GB2312" w:cs="仿宋_GB2312"/>
          <w:b w:val="0"/>
          <w:bCs w:val="0"/>
          <w:kern w:val="21"/>
          <w:sz w:val="32"/>
          <w:szCs w:val="32"/>
        </w:rPr>
        <w:t>工程勘察企业及从业人员的信用信息</w:t>
      </w:r>
      <w:r>
        <w:rPr>
          <w:rFonts w:hint="eastAsia" w:ascii="仿宋_GB2312" w:hAnsi="仿宋_GB2312" w:eastAsia="仿宋_GB2312" w:cs="仿宋_GB2312"/>
          <w:b w:val="0"/>
          <w:bCs w:val="0"/>
          <w:kern w:val="21"/>
          <w:sz w:val="32"/>
          <w:szCs w:val="32"/>
        </w:rPr>
        <w:t>进行采集、审核、录入</w:t>
      </w:r>
      <w:r>
        <w:rPr>
          <w:rFonts w:hint="eastAsia" w:ascii="仿宋_GB2312" w:hAnsi="仿宋_GB2312" w:eastAsia="仿宋_GB2312" w:cs="仿宋_GB2312"/>
          <w:b w:val="0"/>
          <w:bCs w:val="0"/>
          <w:kern w:val="21"/>
          <w:sz w:val="32"/>
          <w:szCs w:val="32"/>
        </w:rPr>
        <w:t>。</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numPr>
          <w:numId w:val="0"/>
        </w:numPr>
        <w:kinsoku/>
        <w:wordWrap/>
        <w:overflowPunct w:val="0"/>
        <w:topLinePunct w:val="0"/>
        <w:autoSpaceDE/>
        <w:autoSpaceDN/>
        <w:bidi w:val="0"/>
        <w:adjustRightInd w:val="0"/>
        <w:snapToGrid w:val="0"/>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lang w:val="en-US" w:eastAsia="zh-CN"/>
        </w:rPr>
        <w:t xml:space="preserve">第二章 </w:t>
      </w:r>
      <w:r>
        <w:rPr>
          <w:rFonts w:hint="eastAsia" w:ascii="黑体" w:hAnsi="黑体" w:eastAsia="黑体" w:cs="黑体"/>
          <w:b w:val="0"/>
          <w:bCs w:val="0"/>
          <w:kern w:val="21"/>
          <w:sz w:val="32"/>
          <w:szCs w:val="32"/>
        </w:rPr>
        <w:t>信用信息分类和采集</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第六条</w:t>
      </w:r>
      <w:r>
        <w:rPr>
          <w:rFonts w:hint="eastAsia" w:ascii="仿宋_GB2312" w:hAnsi="仿宋_GB2312" w:eastAsia="仿宋_GB2312" w:cs="仿宋_GB2312"/>
          <w:b w:val="0"/>
          <w:bCs w:val="0"/>
          <w:kern w:val="21"/>
          <w:sz w:val="32"/>
          <w:szCs w:val="32"/>
        </w:rPr>
        <w:t xml:space="preserve"> 信用信息由基本信息、良好信用信息、不良信用信息、履约评价信息构成。</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第七条</w:t>
      </w:r>
      <w:r>
        <w:rPr>
          <w:rFonts w:hint="eastAsia" w:ascii="仿宋_GB2312" w:hAnsi="仿宋_GB2312" w:eastAsia="仿宋_GB2312" w:cs="仿宋_GB2312"/>
          <w:b w:val="0"/>
          <w:bCs w:val="0"/>
          <w:kern w:val="21"/>
          <w:sz w:val="32"/>
          <w:szCs w:val="32"/>
        </w:rPr>
        <w:t xml:space="preserve"> 基本信息主要由区建筑信用管理系统自动采集生成。</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第八条</w:t>
      </w:r>
      <w:r>
        <w:rPr>
          <w:rFonts w:hint="eastAsia" w:ascii="仿宋_GB2312" w:hAnsi="仿宋_GB2312" w:eastAsia="仿宋_GB2312" w:cs="仿宋_GB2312"/>
          <w:b w:val="0"/>
          <w:bCs w:val="0"/>
          <w:kern w:val="21"/>
          <w:sz w:val="32"/>
          <w:szCs w:val="32"/>
        </w:rPr>
        <w:t xml:space="preserve"> 良好信用信息由区建筑信用管理系统自动采集生成。</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第九条</w:t>
      </w:r>
      <w:r>
        <w:rPr>
          <w:rFonts w:hint="eastAsia" w:ascii="仿宋_GB2312" w:hAnsi="仿宋_GB2312" w:eastAsia="仿宋_GB2312" w:cs="仿宋_GB2312"/>
          <w:b w:val="0"/>
          <w:bCs w:val="0"/>
          <w:kern w:val="21"/>
          <w:sz w:val="32"/>
          <w:szCs w:val="32"/>
        </w:rPr>
        <w:t xml:space="preserve"> 不良信用信息采集</w:t>
      </w:r>
      <w:r>
        <w:rPr>
          <w:rFonts w:hint="eastAsia" w:ascii="仿宋_GB2312" w:hAnsi="仿宋_GB2312" w:eastAsia="仿宋_GB2312" w:cs="仿宋_GB2312"/>
          <w:b w:val="0"/>
          <w:bCs w:val="0"/>
          <w:kern w:val="21"/>
          <w:sz w:val="32"/>
          <w:szCs w:val="32"/>
          <w:lang w:eastAsia="zh-CN"/>
        </w:rPr>
        <w:t>：</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（一）不良信用信息由区主管部门和区工程质量安全监督机构在行政执法和监督管理工作中进行采集</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主要包括</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行政处罚决定书、不良行为认定书、书面通报、警示约谈等。</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（二）建设单位在项目实施过程中发现预拌混凝土、预制构件企业的不良信用信息及时报送区主管部门</w:t>
      </w:r>
      <w:r>
        <w:rPr>
          <w:rFonts w:hint="eastAsia" w:ascii="仿宋_GB2312" w:hAnsi="仿宋_GB2312" w:eastAsia="仿宋_GB2312" w:cs="仿宋_GB2312"/>
          <w:b w:val="0"/>
          <w:bCs w:val="0"/>
          <w:kern w:val="21"/>
          <w:sz w:val="32"/>
          <w:szCs w:val="32"/>
        </w:rPr>
        <w:t>和区工程质量安全监督机构。</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（三）纪检、审计等部门在工作中发现的预拌混凝土、预制构件企业的不良信用信息及时报送至区主管部门和区工程质量安全监督机构。</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第十条</w:t>
      </w:r>
      <w:r>
        <w:rPr>
          <w:rFonts w:hint="eastAsia" w:ascii="仿宋_GB2312" w:hAnsi="仿宋_GB2312" w:eastAsia="仿宋_GB2312" w:cs="仿宋_GB2312"/>
          <w:b w:val="0"/>
          <w:bCs w:val="0"/>
          <w:kern w:val="21"/>
          <w:sz w:val="32"/>
          <w:szCs w:val="32"/>
        </w:rPr>
        <w:t xml:space="preserve"> </w:t>
      </w:r>
      <w:bookmarkStart w:id="0" w:name="_Hlk66117442"/>
      <w:r>
        <w:rPr>
          <w:rFonts w:hint="eastAsia" w:ascii="仿宋_GB2312" w:hAnsi="仿宋_GB2312" w:eastAsia="仿宋_GB2312" w:cs="仿宋_GB2312"/>
          <w:b w:val="0"/>
          <w:bCs w:val="0"/>
          <w:kern w:val="21"/>
          <w:sz w:val="32"/>
          <w:szCs w:val="32"/>
        </w:rPr>
        <w:t>项目建设单位或委托方应当按照双方约定的合同条款和《深圳市罗湖区建筑市场主体履约评价诚信管理办法》的规定，依据客观事实，及时组织对有直接合同关系的预拌混凝土、预制构件企业进行履约评价，并将评价结果录入</w:t>
      </w:r>
      <w:bookmarkStart w:id="1" w:name="_Hlk65245164"/>
      <w:r>
        <w:rPr>
          <w:rFonts w:hint="eastAsia" w:ascii="仿宋_GB2312" w:hAnsi="仿宋_GB2312" w:eastAsia="仿宋_GB2312" w:cs="仿宋_GB2312"/>
          <w:b w:val="0"/>
          <w:bCs w:val="0"/>
          <w:kern w:val="21"/>
          <w:sz w:val="32"/>
          <w:szCs w:val="32"/>
        </w:rPr>
        <w:t>区建筑信用管理</w:t>
      </w:r>
      <w:bookmarkEnd w:id="1"/>
      <w:r>
        <w:rPr>
          <w:rFonts w:hint="eastAsia" w:ascii="仿宋_GB2312" w:hAnsi="仿宋_GB2312" w:eastAsia="仿宋_GB2312" w:cs="仿宋_GB2312"/>
          <w:b w:val="0"/>
          <w:bCs w:val="0"/>
          <w:kern w:val="21"/>
          <w:sz w:val="32"/>
          <w:szCs w:val="32"/>
        </w:rPr>
        <w:t>系统。</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区建筑信用管理系统自动采集评价结果所对应的信用信息。</w:t>
      </w:r>
    </w:p>
    <w:bookmarkEnd w:id="0"/>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val="0"/>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第三章 信用信息评价、公布和应用</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第十一条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信用信息评价实行动态加减分制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依照预拌混凝土、预制构件企业的信用计分标准进行加分、扣分。信用加分、扣分均设置有效期</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当有效期届满时</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加分、扣分值自动归零。信用扣分、加分的分值和有效期详见附件预拌混凝土、预制构件企业计分表。</w:t>
      </w:r>
    </w:p>
    <w:p>
      <w:pPr>
        <w:keepNext w:val="0"/>
        <w:keepLines w:val="0"/>
        <w:pageBreakBefore w:val="0"/>
        <w:widowControl w:val="0"/>
        <w:kinsoku/>
        <w:wordWrap/>
        <w:overflowPunct w:val="0"/>
        <w:topLinePunct w:val="0"/>
        <w:autoSpaceDE/>
        <w:autoSpaceDN/>
        <w:bidi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bookmarkStart w:id="2" w:name="_Hlk65511362"/>
      <w:bookmarkStart w:id="3" w:name="_Hlk66118379"/>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二</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rPr>
        <w:t xml:space="preserve"> </w:t>
      </w:r>
      <w:r>
        <w:rPr>
          <w:rFonts w:hint="eastAsia" w:ascii="仿宋_GB2312" w:hAnsi="仿宋_GB2312" w:eastAsia="仿宋_GB2312" w:cs="仿宋_GB2312"/>
          <w:b w:val="0"/>
          <w:bCs w:val="0"/>
          <w:kern w:val="21"/>
          <w:sz w:val="32"/>
          <w:szCs w:val="32"/>
        </w:rPr>
        <w:t>区主管部门对预拌混凝土、预制构件企业按照计分表规定的方法，实时公布其良好信用信息和不良信用信息，每3个月公布一次信用评价分数，但不做定性评价。</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三</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rPr>
        <w:t xml:space="preserve"> 本细则所规定的信用信息的公布按《深圳市罗湖区建筑市场主体信用管理办法》的相关规定执行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相关法律、法规、规章未规定可以对外公布的信用信息</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不进行公布。</w:t>
      </w:r>
    </w:p>
    <w:bookmarkEnd w:id="2"/>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四</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rPr>
        <w:t xml:space="preserve"> 区主管部门可以按照《深圳市罗湖区建筑市场诚信优质企业管理办法》的规定，根据实际情况开展本行业的诚信优质企业评选，及时公布诚信优质企业名单。</w:t>
      </w:r>
    </w:p>
    <w:bookmarkEnd w:id="3"/>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lang w:eastAsia="zh-CN"/>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五</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w:t>
      </w:r>
      <w:bookmarkStart w:id="4" w:name="_Hlk70581573"/>
      <w:r>
        <w:rPr>
          <w:rFonts w:hint="eastAsia" w:ascii="仿宋_GB2312" w:hAnsi="仿宋_GB2312" w:eastAsia="仿宋_GB2312" w:cs="仿宋_GB2312"/>
          <w:b w:val="0"/>
          <w:bCs w:val="0"/>
          <w:kern w:val="21"/>
          <w:sz w:val="32"/>
          <w:szCs w:val="32"/>
        </w:rPr>
        <w:t>信用评价分数较高</w:t>
      </w:r>
      <w:bookmarkEnd w:id="4"/>
      <w:r>
        <w:rPr>
          <w:rFonts w:hint="eastAsia" w:ascii="仿宋_GB2312" w:hAnsi="仿宋_GB2312" w:eastAsia="仿宋_GB2312" w:cs="仿宋_GB2312"/>
          <w:b w:val="0"/>
          <w:bCs w:val="0"/>
          <w:kern w:val="21"/>
          <w:sz w:val="32"/>
          <w:szCs w:val="32"/>
        </w:rPr>
        <w:t>、</w:t>
      </w:r>
      <w:bookmarkStart w:id="5" w:name="_Hlk66118405"/>
      <w:r>
        <w:rPr>
          <w:rFonts w:hint="eastAsia" w:ascii="仿宋_GB2312" w:hAnsi="仿宋_GB2312" w:eastAsia="仿宋_GB2312" w:cs="仿宋_GB2312"/>
          <w:b w:val="0"/>
          <w:bCs w:val="0"/>
          <w:kern w:val="21"/>
          <w:sz w:val="32"/>
          <w:szCs w:val="32"/>
        </w:rPr>
        <w:t>履约评价等级为“优”和获得区诚信优质企业荣誉</w:t>
      </w:r>
      <w:bookmarkEnd w:id="5"/>
      <w:r>
        <w:rPr>
          <w:rFonts w:hint="eastAsia" w:ascii="仿宋_GB2312" w:hAnsi="仿宋_GB2312" w:eastAsia="仿宋_GB2312" w:cs="仿宋_GB2312"/>
          <w:b w:val="0"/>
          <w:bCs w:val="0"/>
          <w:kern w:val="21"/>
          <w:sz w:val="32"/>
          <w:szCs w:val="32"/>
        </w:rPr>
        <w:t>的预拌混凝土、预制构件企业</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可以实施下列奖励措施</w:t>
      </w:r>
      <w:bookmarkStart w:id="6" w:name="_Hlk66118501"/>
      <w:r>
        <w:rPr>
          <w:rFonts w:hint="eastAsia" w:ascii="仿宋_GB2312" w:hAnsi="仿宋_GB2312" w:eastAsia="仿宋_GB2312" w:cs="仿宋_GB2312"/>
          <w:b w:val="0"/>
          <w:bCs w:val="0"/>
          <w:kern w:val="21"/>
          <w:sz w:val="32"/>
          <w:szCs w:val="32"/>
          <w:lang w:eastAsia="zh-CN"/>
        </w:rPr>
        <w:t>：</w:t>
      </w:r>
    </w:p>
    <w:bookmarkEnd w:id="6"/>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（一）建议有关单位在招标、采购相关服务时对该类企业给予优先考虑；</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6" w:firstLineChars="202"/>
        <w:jc w:val="both"/>
        <w:textAlignment w:val="auto"/>
        <w:rPr>
          <w:rFonts w:hint="eastAsia" w:ascii="仿宋_GB2312" w:hAnsi="仿宋_GB2312" w:eastAsia="仿宋_GB2312" w:cs="仿宋_GB2312"/>
          <w:b w:val="0"/>
          <w:bCs w:val="0"/>
          <w:kern w:val="21"/>
          <w:sz w:val="32"/>
          <w:szCs w:val="32"/>
        </w:rPr>
      </w:pPr>
      <w:bookmarkStart w:id="7" w:name="_Hlk66118531"/>
      <w:r>
        <w:rPr>
          <w:rFonts w:hint="eastAsia" w:ascii="仿宋_GB2312" w:hAnsi="仿宋_GB2312" w:eastAsia="仿宋_GB2312" w:cs="仿宋_GB2312"/>
          <w:b w:val="0"/>
          <w:bCs w:val="0"/>
          <w:kern w:val="21"/>
          <w:sz w:val="32"/>
          <w:szCs w:val="32"/>
        </w:rPr>
        <w:t>（二）在本区各类创先评优活动中给予优先考虑或推荐；</w:t>
      </w:r>
    </w:p>
    <w:bookmarkEnd w:id="7"/>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（三）法律、法规、规章和国家文件规定的其他奖励措施。</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六</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对</w:t>
      </w:r>
      <w:bookmarkStart w:id="8" w:name="_Hlk70581585"/>
      <w:bookmarkStart w:id="9" w:name="_Hlk66118419"/>
      <w:r>
        <w:rPr>
          <w:rFonts w:hint="eastAsia" w:ascii="仿宋_GB2312" w:hAnsi="仿宋_GB2312" w:eastAsia="仿宋_GB2312" w:cs="仿宋_GB2312"/>
          <w:b w:val="0"/>
          <w:bCs w:val="0"/>
          <w:kern w:val="21"/>
          <w:sz w:val="32"/>
          <w:szCs w:val="32"/>
        </w:rPr>
        <w:t>信用评价分数较低</w:t>
      </w:r>
      <w:bookmarkEnd w:id="8"/>
      <w:r>
        <w:rPr>
          <w:rFonts w:hint="eastAsia" w:ascii="仿宋_GB2312" w:hAnsi="仿宋_GB2312" w:eastAsia="仿宋_GB2312" w:cs="仿宋_GB2312"/>
          <w:b w:val="0"/>
          <w:bCs w:val="0"/>
          <w:kern w:val="21"/>
          <w:sz w:val="32"/>
          <w:szCs w:val="32"/>
        </w:rPr>
        <w:t>和履约评价等级为“不合格”</w:t>
      </w:r>
      <w:bookmarkEnd w:id="9"/>
      <w:r>
        <w:rPr>
          <w:rFonts w:hint="eastAsia" w:ascii="仿宋_GB2312" w:hAnsi="仿宋_GB2312" w:eastAsia="仿宋_GB2312" w:cs="仿宋_GB2312"/>
          <w:b w:val="0"/>
          <w:bCs w:val="0"/>
          <w:kern w:val="21"/>
          <w:sz w:val="32"/>
          <w:szCs w:val="32"/>
        </w:rPr>
        <w:t>的预拌混凝土、预制构件企业</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在有效期内可依法采取下列惩戒措施</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 xml:space="preserve"> </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（一）建议有关单位在招标、采购相关服务时谨慎选择该类企业；</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（二）在“双随机、一公开”检查中，将该类企业列为重点检查对象；</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（三）法律、法规、规章和国家文件规定的其他惩戒措施。</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val="0"/>
        <w:spacing w:line="580" w:lineRule="exact"/>
        <w:jc w:val="center"/>
        <w:textAlignment w:val="auto"/>
        <w:rPr>
          <w:rFonts w:hint="eastAsia" w:ascii="黑体" w:hAnsi="黑体" w:eastAsia="黑体" w:cs="黑体"/>
          <w:b w:val="0"/>
          <w:bCs w:val="0"/>
          <w:kern w:val="21"/>
          <w:sz w:val="32"/>
          <w:szCs w:val="32"/>
        </w:rPr>
      </w:pPr>
      <w:r>
        <w:rPr>
          <w:rFonts w:hint="eastAsia" w:ascii="黑体" w:hAnsi="黑体" w:eastAsia="黑体" w:cs="黑体"/>
          <w:b w:val="0"/>
          <w:bCs w:val="0"/>
          <w:kern w:val="21"/>
          <w:sz w:val="32"/>
          <w:szCs w:val="32"/>
        </w:rPr>
        <w:t>第四章 附</w:t>
      </w:r>
      <w:r>
        <w:rPr>
          <w:rFonts w:hint="eastAsia" w:ascii="黑体" w:hAnsi="黑体" w:eastAsia="黑体" w:cs="黑体"/>
          <w:b w:val="0"/>
          <w:bCs w:val="0"/>
          <w:kern w:val="21"/>
          <w:sz w:val="32"/>
          <w:szCs w:val="32"/>
          <w:lang w:val="en-US" w:eastAsia="zh-CN"/>
        </w:rPr>
        <w:t xml:space="preserve"> </w:t>
      </w:r>
      <w:r>
        <w:rPr>
          <w:rFonts w:hint="eastAsia" w:ascii="黑体" w:hAnsi="黑体" w:eastAsia="黑体" w:cs="黑体"/>
          <w:b w:val="0"/>
          <w:bCs w:val="0"/>
          <w:kern w:val="21"/>
          <w:sz w:val="32"/>
          <w:szCs w:val="32"/>
        </w:rPr>
        <w:t>则</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第十七条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信用信息将向</w:t>
      </w:r>
      <w:r>
        <w:rPr>
          <w:rFonts w:hint="eastAsia" w:ascii="仿宋_GB2312" w:hAnsi="仿宋_GB2312" w:eastAsia="仿宋_GB2312" w:cs="仿宋_GB2312"/>
          <w:b w:val="0"/>
          <w:bCs w:val="0"/>
          <w:kern w:val="21"/>
          <w:sz w:val="32"/>
          <w:szCs w:val="32"/>
          <w:lang w:eastAsia="zh-CN"/>
        </w:rPr>
        <w:t>市住房建设局</w:t>
      </w:r>
      <w:r>
        <w:rPr>
          <w:rFonts w:hint="eastAsia" w:ascii="仿宋_GB2312" w:hAnsi="仿宋_GB2312" w:eastAsia="仿宋_GB2312" w:cs="仿宋_GB2312"/>
          <w:b w:val="0"/>
          <w:bCs w:val="0"/>
          <w:kern w:val="21"/>
          <w:sz w:val="32"/>
          <w:szCs w:val="32"/>
        </w:rPr>
        <w:t>信用管理系统推送。</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第十八条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本细则由深圳市罗湖区住房和建设局负责解释。</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黑体" w:hAnsi="黑体" w:eastAsia="黑体" w:cs="黑体"/>
          <w:b w:val="0"/>
          <w:bCs w:val="0"/>
          <w:kern w:val="21"/>
          <w:sz w:val="32"/>
          <w:szCs w:val="32"/>
        </w:rPr>
        <w:t>第十</w:t>
      </w:r>
      <w:r>
        <w:rPr>
          <w:rFonts w:hint="eastAsia" w:ascii="黑体" w:hAnsi="黑体" w:eastAsia="黑体" w:cs="黑体"/>
          <w:b w:val="0"/>
          <w:bCs w:val="0"/>
          <w:kern w:val="21"/>
          <w:sz w:val="32"/>
          <w:szCs w:val="32"/>
          <w:lang w:val="en-US" w:eastAsia="zh-CN"/>
        </w:rPr>
        <w:t>九</w:t>
      </w:r>
      <w:r>
        <w:rPr>
          <w:rFonts w:hint="eastAsia" w:ascii="黑体" w:hAnsi="黑体" w:eastAsia="黑体" w:cs="黑体"/>
          <w:b w:val="0"/>
          <w:bCs w:val="0"/>
          <w:kern w:val="21"/>
          <w:sz w:val="32"/>
          <w:szCs w:val="32"/>
        </w:rPr>
        <w:t>条</w:t>
      </w:r>
      <w:r>
        <w:rPr>
          <w:rFonts w:hint="eastAsia" w:ascii="仿宋_GB2312" w:hAnsi="仿宋_GB2312" w:eastAsia="仿宋_GB2312" w:cs="仿宋_GB2312"/>
          <w:b w:val="0"/>
          <w:bCs w:val="0"/>
          <w:kern w:val="21"/>
          <w:sz w:val="32"/>
          <w:szCs w:val="32"/>
          <w:lang w:val="en-US" w:eastAsia="zh-CN"/>
        </w:rPr>
        <w:t xml:space="preserve"> </w:t>
      </w:r>
      <w:r>
        <w:rPr>
          <w:rFonts w:hint="eastAsia" w:ascii="仿宋_GB2312" w:hAnsi="仿宋_GB2312" w:eastAsia="仿宋_GB2312" w:cs="仿宋_GB2312"/>
          <w:b w:val="0"/>
          <w:bCs w:val="0"/>
          <w:kern w:val="21"/>
          <w:sz w:val="32"/>
          <w:szCs w:val="32"/>
        </w:rPr>
        <w:t>本细则自2021年9</w:t>
      </w:r>
      <w:r>
        <w:rPr>
          <w:rFonts w:hint="eastAsia" w:ascii="仿宋_GB2312" w:hAnsi="仿宋_GB2312" w:eastAsia="仿宋_GB2312" w:cs="仿宋_GB2312"/>
          <w:b w:val="0"/>
          <w:bCs w:val="0"/>
          <w:kern w:val="21"/>
          <w:sz w:val="32"/>
          <w:szCs w:val="32"/>
        </w:rPr>
        <w:t>月20</w:t>
      </w:r>
      <w:r>
        <w:rPr>
          <w:rFonts w:hint="eastAsia" w:ascii="仿宋_GB2312" w:hAnsi="仿宋_GB2312" w:eastAsia="仿宋_GB2312" w:cs="仿宋_GB2312"/>
          <w:b w:val="0"/>
          <w:bCs w:val="0"/>
          <w:kern w:val="21"/>
          <w:sz w:val="32"/>
          <w:szCs w:val="32"/>
        </w:rPr>
        <w:t>日起施行</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有效期5</w:t>
      </w:r>
      <w:r>
        <w:rPr>
          <w:rFonts w:hint="eastAsia" w:ascii="仿宋_GB2312" w:hAnsi="仿宋_GB2312" w:eastAsia="仿宋_GB2312" w:cs="仿宋_GB2312"/>
          <w:b w:val="0"/>
          <w:bCs w:val="0"/>
          <w:kern w:val="21"/>
          <w:sz w:val="32"/>
          <w:szCs w:val="32"/>
        </w:rPr>
        <w:t>年。</w:t>
      </w: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p>
    <w:p>
      <w:pPr>
        <w:keepNext w:val="0"/>
        <w:keepLines w:val="0"/>
        <w:pageBreakBefore w:val="0"/>
        <w:widowControl w:val="0"/>
        <w:kinsoku/>
        <w:wordWrap/>
        <w:overflowPunct w:val="0"/>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b w:val="0"/>
          <w:bCs w:val="0"/>
          <w:kern w:val="21"/>
          <w:sz w:val="32"/>
          <w:szCs w:val="32"/>
        </w:rPr>
      </w:pPr>
      <w:r>
        <w:rPr>
          <w:rFonts w:hint="eastAsia" w:ascii="仿宋_GB2312" w:hAnsi="仿宋_GB2312" w:eastAsia="仿宋_GB2312" w:cs="仿宋_GB2312"/>
          <w:b w:val="0"/>
          <w:bCs w:val="0"/>
          <w:kern w:val="21"/>
          <w:sz w:val="32"/>
          <w:szCs w:val="32"/>
        </w:rPr>
        <w:t>附件：预拌混凝土、预制构件企业计分表</w:t>
      </w:r>
    </w:p>
    <w:bookmarkEnd w:id="10"/>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20F84"/>
    <w:rsid w:val="00052D08"/>
    <w:rsid w:val="000624A6"/>
    <w:rsid w:val="00073715"/>
    <w:rsid w:val="00085C66"/>
    <w:rsid w:val="000D356D"/>
    <w:rsid w:val="000E2972"/>
    <w:rsid w:val="001149A3"/>
    <w:rsid w:val="001368A2"/>
    <w:rsid w:val="001B5556"/>
    <w:rsid w:val="002B2B86"/>
    <w:rsid w:val="002D58CB"/>
    <w:rsid w:val="00322016"/>
    <w:rsid w:val="00327E73"/>
    <w:rsid w:val="003715C3"/>
    <w:rsid w:val="003A3611"/>
    <w:rsid w:val="003B4C1D"/>
    <w:rsid w:val="003B6A5F"/>
    <w:rsid w:val="004554D6"/>
    <w:rsid w:val="004B30D1"/>
    <w:rsid w:val="005A2F73"/>
    <w:rsid w:val="006718C5"/>
    <w:rsid w:val="006D6B03"/>
    <w:rsid w:val="007573E1"/>
    <w:rsid w:val="00762569"/>
    <w:rsid w:val="007A5A03"/>
    <w:rsid w:val="007B4874"/>
    <w:rsid w:val="007E6681"/>
    <w:rsid w:val="00832799"/>
    <w:rsid w:val="0095362E"/>
    <w:rsid w:val="00963E73"/>
    <w:rsid w:val="0096716D"/>
    <w:rsid w:val="009C1E9D"/>
    <w:rsid w:val="00A50173"/>
    <w:rsid w:val="00A85120"/>
    <w:rsid w:val="00AB0196"/>
    <w:rsid w:val="00B15E12"/>
    <w:rsid w:val="00B56BB7"/>
    <w:rsid w:val="00B852EC"/>
    <w:rsid w:val="00CD4994"/>
    <w:rsid w:val="00D04A45"/>
    <w:rsid w:val="00D13038"/>
    <w:rsid w:val="00D37ACB"/>
    <w:rsid w:val="00D4682A"/>
    <w:rsid w:val="00DA1349"/>
    <w:rsid w:val="00E85129"/>
    <w:rsid w:val="00EA2594"/>
    <w:rsid w:val="00F20797"/>
    <w:rsid w:val="00F24DB1"/>
    <w:rsid w:val="00F537F9"/>
    <w:rsid w:val="00F84A14"/>
    <w:rsid w:val="00FC6F5A"/>
    <w:rsid w:val="00FE537F"/>
    <w:rsid w:val="014229A4"/>
    <w:rsid w:val="02C258F1"/>
    <w:rsid w:val="04C04E2A"/>
    <w:rsid w:val="076A2597"/>
    <w:rsid w:val="093241C2"/>
    <w:rsid w:val="09425CC2"/>
    <w:rsid w:val="09D53E27"/>
    <w:rsid w:val="0A6301AA"/>
    <w:rsid w:val="0B2174DC"/>
    <w:rsid w:val="0DBA388B"/>
    <w:rsid w:val="0ECA7DE6"/>
    <w:rsid w:val="0F527C4D"/>
    <w:rsid w:val="12026B6A"/>
    <w:rsid w:val="12386E9F"/>
    <w:rsid w:val="13D512BB"/>
    <w:rsid w:val="14BF045E"/>
    <w:rsid w:val="150D72E0"/>
    <w:rsid w:val="19115931"/>
    <w:rsid w:val="19F06EF2"/>
    <w:rsid w:val="1C5D05FD"/>
    <w:rsid w:val="1D1E494C"/>
    <w:rsid w:val="1D705DA2"/>
    <w:rsid w:val="219A7193"/>
    <w:rsid w:val="23CB1CA9"/>
    <w:rsid w:val="25A7668B"/>
    <w:rsid w:val="27D1069D"/>
    <w:rsid w:val="295E1987"/>
    <w:rsid w:val="2A3809C3"/>
    <w:rsid w:val="2AAF46BA"/>
    <w:rsid w:val="31A37368"/>
    <w:rsid w:val="3477122A"/>
    <w:rsid w:val="34A5662F"/>
    <w:rsid w:val="378B5960"/>
    <w:rsid w:val="388D02B3"/>
    <w:rsid w:val="3C527C05"/>
    <w:rsid w:val="3E151E16"/>
    <w:rsid w:val="429E3474"/>
    <w:rsid w:val="443A25FC"/>
    <w:rsid w:val="45CE1A4C"/>
    <w:rsid w:val="46160BB8"/>
    <w:rsid w:val="46B247D2"/>
    <w:rsid w:val="4ADC6105"/>
    <w:rsid w:val="4B7F5FF4"/>
    <w:rsid w:val="520F5039"/>
    <w:rsid w:val="52832CC3"/>
    <w:rsid w:val="53D664A1"/>
    <w:rsid w:val="53E7662B"/>
    <w:rsid w:val="53E85608"/>
    <w:rsid w:val="5780168B"/>
    <w:rsid w:val="59960678"/>
    <w:rsid w:val="5B936F84"/>
    <w:rsid w:val="5C8B31AA"/>
    <w:rsid w:val="5C9C2E5F"/>
    <w:rsid w:val="611E2514"/>
    <w:rsid w:val="612D2A2A"/>
    <w:rsid w:val="6231061A"/>
    <w:rsid w:val="64895D21"/>
    <w:rsid w:val="653E75D9"/>
    <w:rsid w:val="67CC662B"/>
    <w:rsid w:val="6B6D11EC"/>
    <w:rsid w:val="6D5940FB"/>
    <w:rsid w:val="6F4A0272"/>
    <w:rsid w:val="6F69435D"/>
    <w:rsid w:val="6FCF3272"/>
    <w:rsid w:val="744722BD"/>
    <w:rsid w:val="757E7C57"/>
    <w:rsid w:val="7BC95971"/>
    <w:rsid w:val="7CC664E2"/>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249</Words>
  <Characters>1423</Characters>
  <Lines>11</Lines>
  <Paragraphs>3</Paragraphs>
  <TotalTime>0</TotalTime>
  <ScaleCrop>false</ScaleCrop>
  <LinksUpToDate>false</LinksUpToDate>
  <CharactersWithSpaces>1669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dcterms:modified xsi:type="dcterms:W3CDTF">2021-09-02T12:05:55Z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6003E150281D4285A4E9D904B5814434</vt:lpwstr>
  </property>
</Properties>
</file>