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《深圳市落实住房制度改革加快住房用地供应的暂行规定》征求意见及采纳情况汇总表（社会公众意见）</w:t>
      </w:r>
    </w:p>
    <w:p>
      <w:pPr>
        <w:jc w:val="center"/>
        <w:rPr>
          <w:rFonts w:ascii="仿宋_GB2312" w:hAnsi="仿宋_GB2312"/>
          <w:szCs w:val="21"/>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712"/>
        <w:gridCol w:w="1364"/>
        <w:gridCol w:w="12790"/>
        <w:gridCol w:w="1274"/>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3" w:type="pct"/>
            <w:vAlign w:val="center"/>
          </w:tcPr>
          <w:p>
            <w:pPr>
              <w:jc w:val="center"/>
              <w:rPr>
                <w:b/>
                <w:sz w:val="24"/>
                <w:szCs w:val="24"/>
              </w:rPr>
            </w:pPr>
            <w:r>
              <w:rPr>
                <w:rFonts w:hint="eastAsia"/>
                <w:b/>
                <w:sz w:val="24"/>
                <w:szCs w:val="24"/>
              </w:rPr>
              <w:t>序号</w:t>
            </w:r>
          </w:p>
        </w:tc>
        <w:tc>
          <w:tcPr>
            <w:tcW w:w="379" w:type="pct"/>
            <w:vAlign w:val="center"/>
          </w:tcPr>
          <w:p>
            <w:pPr>
              <w:jc w:val="center"/>
              <w:rPr>
                <w:b/>
                <w:sz w:val="24"/>
                <w:szCs w:val="24"/>
              </w:rPr>
            </w:pPr>
            <w:r>
              <w:rPr>
                <w:rFonts w:hint="eastAsia"/>
                <w:b/>
                <w:sz w:val="24"/>
                <w:szCs w:val="24"/>
              </w:rPr>
              <w:t>关键字</w:t>
            </w:r>
          </w:p>
        </w:tc>
        <w:tc>
          <w:tcPr>
            <w:tcW w:w="302" w:type="pct"/>
            <w:vAlign w:val="center"/>
          </w:tcPr>
          <w:p>
            <w:pPr>
              <w:jc w:val="center"/>
              <w:rPr>
                <w:b/>
                <w:sz w:val="24"/>
                <w:szCs w:val="24"/>
              </w:rPr>
            </w:pPr>
            <w:r>
              <w:rPr>
                <w:rFonts w:hint="eastAsia"/>
                <w:b/>
                <w:sz w:val="24"/>
                <w:szCs w:val="24"/>
              </w:rPr>
              <w:t>对应条文</w:t>
            </w:r>
          </w:p>
        </w:tc>
        <w:tc>
          <w:tcPr>
            <w:tcW w:w="2831" w:type="pct"/>
            <w:vAlign w:val="center"/>
          </w:tcPr>
          <w:p>
            <w:pPr>
              <w:jc w:val="center"/>
              <w:rPr>
                <w:rFonts w:ascii="宋体" w:hAnsi="宋体" w:eastAsia="宋体"/>
                <w:b/>
                <w:szCs w:val="21"/>
              </w:rPr>
            </w:pPr>
            <w:r>
              <w:rPr>
                <w:rFonts w:hint="eastAsia" w:ascii="宋体" w:hAnsi="宋体" w:eastAsia="宋体"/>
                <w:b/>
                <w:sz w:val="24"/>
                <w:szCs w:val="21"/>
              </w:rPr>
              <w:t>反馈意见及建议</w:t>
            </w:r>
          </w:p>
        </w:tc>
        <w:tc>
          <w:tcPr>
            <w:tcW w:w="282" w:type="pct"/>
            <w:vAlign w:val="center"/>
          </w:tcPr>
          <w:p>
            <w:pPr>
              <w:jc w:val="center"/>
              <w:rPr>
                <w:b/>
                <w:sz w:val="24"/>
                <w:szCs w:val="24"/>
              </w:rPr>
            </w:pPr>
            <w:r>
              <w:rPr>
                <w:rFonts w:hint="eastAsia"/>
                <w:b/>
                <w:sz w:val="24"/>
                <w:szCs w:val="24"/>
              </w:rPr>
              <w:t>采纳情况</w:t>
            </w:r>
          </w:p>
        </w:tc>
        <w:tc>
          <w:tcPr>
            <w:tcW w:w="1023" w:type="pct"/>
            <w:vAlign w:val="center"/>
          </w:tcPr>
          <w:p>
            <w:pPr>
              <w:jc w:val="center"/>
              <w:rPr>
                <w:b/>
                <w:sz w:val="24"/>
                <w:szCs w:val="24"/>
              </w:rPr>
            </w:pPr>
            <w:r>
              <w:rPr>
                <w:rFonts w:hint="eastAsia"/>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1</w:t>
            </w:r>
          </w:p>
        </w:tc>
        <w:tc>
          <w:tcPr>
            <w:tcW w:w="379" w:type="pct"/>
            <w:vAlign w:val="center"/>
          </w:tcPr>
          <w:p>
            <w:pPr>
              <w:jc w:val="center"/>
              <w:rPr>
                <w:rFonts w:ascii="仿宋_GB2312" w:hAnsi="仿宋_GB2312"/>
                <w:szCs w:val="21"/>
              </w:rPr>
            </w:pPr>
            <w:r>
              <w:rPr>
                <w:rFonts w:hint="eastAsia" w:ascii="仿宋_GB2312" w:hAnsi="仿宋_GB2312"/>
                <w:szCs w:val="21"/>
              </w:rPr>
              <w:t>供应数量及结构要求</w:t>
            </w:r>
          </w:p>
        </w:tc>
        <w:tc>
          <w:tcPr>
            <w:tcW w:w="302" w:type="pct"/>
            <w:vAlign w:val="center"/>
          </w:tcPr>
          <w:p>
            <w:pPr>
              <w:jc w:val="center"/>
              <w:rPr>
                <w:rFonts w:ascii="仿宋_GB2312" w:hAnsi="仿宋_GB2312"/>
                <w:szCs w:val="21"/>
              </w:rPr>
            </w:pPr>
            <w:r>
              <w:rPr>
                <w:rFonts w:hint="eastAsia" w:ascii="仿宋_GB2312" w:hAnsi="仿宋_GB2312"/>
                <w:szCs w:val="21"/>
              </w:rPr>
              <w:t>第五条</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建筑设计已取消施工图审查，而且公共住房面积普遍比经营性住宅要小，套数4:6结构是否不好把控，相对于套数，用地面积和建筑面积是否更好把控。</w:t>
            </w:r>
            <w:r>
              <w:rPr>
                <w:rFonts w:hint="eastAsia" w:ascii="宋体" w:hAnsi="宋体" w:eastAsia="宋体"/>
                <w:b/>
                <w:color w:val="000000"/>
                <w:szCs w:val="21"/>
              </w:rPr>
              <w:t>（深圳市</w:t>
            </w:r>
            <w:r>
              <w:rPr>
                <w:rFonts w:hint="eastAsia" w:ascii="宋体" w:hAnsi="宋体" w:eastAsia="宋体"/>
                <w:b/>
                <w:color w:val="000000"/>
                <w:szCs w:val="21"/>
                <w:lang w:val="en-US" w:eastAsia="zh-CN"/>
              </w:rPr>
              <w:t>******</w:t>
            </w:r>
            <w:r>
              <w:rPr>
                <w:rFonts w:hint="eastAsia" w:ascii="宋体" w:hAnsi="宋体" w:eastAsia="宋体"/>
                <w:b/>
                <w:color w:val="000000"/>
                <w:szCs w:val="21"/>
              </w:rPr>
              <w:t>集团有限公司）</w:t>
            </w:r>
          </w:p>
        </w:tc>
        <w:tc>
          <w:tcPr>
            <w:tcW w:w="282" w:type="pct"/>
            <w:vAlign w:val="center"/>
          </w:tcPr>
          <w:p>
            <w:pPr>
              <w:jc w:val="center"/>
              <w:rPr>
                <w:rFonts w:ascii="宋体" w:hAnsi="宋体" w:eastAsia="宋体"/>
                <w:szCs w:val="21"/>
              </w:rPr>
            </w:pPr>
            <w:r>
              <w:rPr>
                <w:rFonts w:hint="eastAsia" w:ascii="宋体" w:hAnsi="宋体" w:eastAsia="宋体"/>
                <w:szCs w:val="21"/>
              </w:rPr>
              <w:t>采纳</w:t>
            </w:r>
          </w:p>
        </w:tc>
        <w:tc>
          <w:tcPr>
            <w:tcW w:w="1023" w:type="pct"/>
            <w:vAlign w:val="center"/>
          </w:tcPr>
          <w:p>
            <w:pPr>
              <w:rPr>
                <w:rFonts w:ascii="宋体" w:hAnsi="宋体" w:eastAsia="宋体"/>
                <w:szCs w:val="21"/>
              </w:rPr>
            </w:pPr>
            <w:r>
              <w:rPr>
                <w:rFonts w:hint="eastAsia" w:ascii="宋体" w:hAnsi="宋体" w:eastAsia="宋体"/>
                <w:szCs w:val="21"/>
              </w:rPr>
              <w:t>4:6的套数结构要求是《深圳市人民政府关于深化住房制度改革加快建立多主体供给多渠道保障租购并举的住房供应与保障体系的意见》（深府规〔2018〕13号》）提出的宏观战略目标，在具体实施中，将考虑通过用地面积、建筑面积来控制住房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2</w:t>
            </w:r>
          </w:p>
        </w:tc>
        <w:tc>
          <w:tcPr>
            <w:tcW w:w="379" w:type="pct"/>
            <w:vAlign w:val="center"/>
          </w:tcPr>
          <w:p>
            <w:pPr>
              <w:jc w:val="center"/>
              <w:rPr>
                <w:rFonts w:ascii="仿宋_GB2312" w:hAnsi="仿宋_GB2312"/>
                <w:szCs w:val="21"/>
              </w:rPr>
            </w:pPr>
            <w:r>
              <w:rPr>
                <w:rFonts w:hint="eastAsia" w:ascii="仿宋_GB2312" w:hAnsi="仿宋_GB2312"/>
                <w:szCs w:val="21"/>
              </w:rPr>
              <w:t>新供应建设用地</w:t>
            </w:r>
          </w:p>
        </w:tc>
        <w:tc>
          <w:tcPr>
            <w:tcW w:w="302" w:type="pct"/>
            <w:vAlign w:val="center"/>
          </w:tcPr>
          <w:p>
            <w:pPr>
              <w:jc w:val="center"/>
              <w:rPr>
                <w:rFonts w:ascii="仿宋_GB2312" w:hAnsi="仿宋_GB2312"/>
                <w:szCs w:val="21"/>
              </w:rPr>
            </w:pPr>
            <w:r>
              <w:rPr>
                <w:rFonts w:hint="eastAsia" w:ascii="仿宋_GB2312" w:hAnsi="仿宋_GB2312"/>
                <w:szCs w:val="21"/>
              </w:rPr>
              <w:t>第七条</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第六、第七条两条意见，存在前后不一致的情况。新供应建设用地属于市场主体主导的，其公共住房类型应以何种类型为主，存在歧义。</w:t>
            </w:r>
            <w:r>
              <w:rPr>
                <w:rFonts w:hint="eastAsia" w:ascii="宋体" w:hAnsi="宋体" w:eastAsia="宋体"/>
                <w:b/>
                <w:color w:val="000000"/>
                <w:szCs w:val="21"/>
              </w:rPr>
              <w:t>（深圳市</w:t>
            </w:r>
            <w:r>
              <w:rPr>
                <w:rFonts w:hint="eastAsia" w:ascii="宋体" w:hAnsi="宋体" w:eastAsia="宋体"/>
                <w:b/>
                <w:color w:val="000000"/>
                <w:szCs w:val="21"/>
                <w:lang w:val="en-US" w:eastAsia="zh-CN"/>
              </w:rPr>
              <w:t>******</w:t>
            </w:r>
            <w:r>
              <w:rPr>
                <w:rFonts w:hint="eastAsia" w:ascii="宋体" w:hAnsi="宋体" w:eastAsia="宋体"/>
                <w:b/>
                <w:color w:val="000000"/>
                <w:szCs w:val="21"/>
              </w:rPr>
              <w:t>集团有限公司）</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新供应建设用地主要是政府储备用地，属政府主导。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3</w:t>
            </w:r>
          </w:p>
        </w:tc>
        <w:tc>
          <w:tcPr>
            <w:tcW w:w="379" w:type="pct"/>
            <w:vAlign w:val="center"/>
          </w:tcPr>
          <w:p>
            <w:pPr>
              <w:jc w:val="center"/>
              <w:rPr>
                <w:rFonts w:ascii="仿宋_GB2312" w:hAnsi="仿宋_GB2312"/>
                <w:szCs w:val="21"/>
              </w:rPr>
            </w:pPr>
            <w:r>
              <w:rPr>
                <w:rFonts w:hint="eastAsia" w:ascii="仿宋_GB2312" w:hAnsi="仿宋_GB2312"/>
                <w:szCs w:val="21"/>
              </w:rPr>
              <w:t>未完善征（转）地补偿手续空地</w:t>
            </w:r>
          </w:p>
        </w:tc>
        <w:tc>
          <w:tcPr>
            <w:tcW w:w="302" w:type="pct"/>
            <w:vAlign w:val="center"/>
          </w:tcPr>
          <w:p>
            <w:pPr>
              <w:jc w:val="center"/>
              <w:rPr>
                <w:rFonts w:ascii="仿宋_GB2312" w:hAnsi="仿宋_GB2312"/>
                <w:szCs w:val="21"/>
              </w:rPr>
            </w:pPr>
            <w:r>
              <w:rPr>
                <w:rFonts w:hint="eastAsia" w:ascii="仿宋_GB2312" w:hAnsi="仿宋_GB2312"/>
                <w:szCs w:val="21"/>
              </w:rPr>
              <w:t>第八条</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未完善征转用地，历史用地权利人为股份公司或原用地单位，其建设的公共住房是否纳入全市公共住房统一分配管理，如是，那会打击其积极性，如否，其享受了地价优惠，却难以避免其变相为本单位人员分房，起不到公共住房的应有作用；</w:t>
            </w:r>
          </w:p>
          <w:p>
            <w:pPr>
              <w:rPr>
                <w:rFonts w:ascii="宋体" w:hAnsi="宋体" w:eastAsia="宋体"/>
                <w:color w:val="000000"/>
                <w:szCs w:val="21"/>
              </w:rPr>
            </w:pPr>
            <w:r>
              <w:rPr>
                <w:rFonts w:hint="eastAsia" w:ascii="宋体" w:hAnsi="宋体" w:eastAsia="宋体"/>
                <w:b/>
                <w:color w:val="000000"/>
                <w:szCs w:val="21"/>
              </w:rPr>
              <w:t>（深圳市</w:t>
            </w:r>
            <w:r>
              <w:rPr>
                <w:rFonts w:hint="eastAsia" w:ascii="宋体" w:hAnsi="宋体" w:eastAsia="宋体"/>
                <w:b/>
                <w:color w:val="000000"/>
                <w:szCs w:val="21"/>
                <w:lang w:val="en-US" w:eastAsia="zh-CN"/>
              </w:rPr>
              <w:t>*******</w:t>
            </w:r>
            <w:r>
              <w:rPr>
                <w:rFonts w:hint="eastAsia" w:ascii="宋体" w:hAnsi="宋体" w:eastAsia="宋体"/>
                <w:b/>
                <w:color w:val="000000"/>
                <w:szCs w:val="21"/>
              </w:rPr>
              <w:t>集团有限公司）</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color w:val="000000"/>
                <w:szCs w:val="21"/>
              </w:rPr>
            </w:pPr>
            <w:r>
              <w:rPr>
                <w:rFonts w:hint="eastAsia" w:ascii="宋体" w:hAnsi="宋体" w:eastAsia="宋体"/>
                <w:color w:val="000000"/>
                <w:szCs w:val="21"/>
              </w:rPr>
              <w:t>（1）</w:t>
            </w:r>
            <w:r>
              <w:rPr>
                <w:rFonts w:hint="eastAsia" w:ascii="宋体" w:hAnsi="宋体" w:eastAsia="宋体"/>
                <w:color w:val="000000"/>
                <w:kern w:val="0"/>
                <w:szCs w:val="21"/>
              </w:rPr>
              <w:t>未完善征(转)地补偿手续用地</w:t>
            </w:r>
            <w:r>
              <w:rPr>
                <w:rFonts w:hint="eastAsia" w:ascii="宋体" w:hAnsi="宋体" w:eastAsia="宋体"/>
                <w:color w:val="000000"/>
                <w:szCs w:val="21"/>
              </w:rPr>
              <w:t>建设的公共住房须纳入全市公共住房体系统一管理。</w:t>
            </w:r>
          </w:p>
          <w:p>
            <w:pPr>
              <w:rPr>
                <w:rFonts w:ascii="宋体" w:hAnsi="宋体" w:eastAsia="宋体"/>
                <w:szCs w:val="21"/>
              </w:rPr>
            </w:pPr>
            <w:r>
              <w:rPr>
                <w:rFonts w:hint="eastAsia" w:ascii="宋体" w:hAnsi="宋体" w:eastAsia="宋体"/>
                <w:szCs w:val="21"/>
              </w:rPr>
              <w:t>（2）政策制定过程中已充分考虑主体积极性、公平性等问题，并就经济效益问题进行了测算。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4</w:t>
            </w:r>
          </w:p>
        </w:tc>
        <w:tc>
          <w:tcPr>
            <w:tcW w:w="379" w:type="pct"/>
            <w:vAlign w:val="center"/>
          </w:tcPr>
          <w:p>
            <w:pPr>
              <w:jc w:val="center"/>
              <w:rPr>
                <w:rFonts w:ascii="仿宋_GB2312" w:hAnsi="仿宋_GB2312"/>
                <w:szCs w:val="21"/>
              </w:rPr>
            </w:pPr>
            <w:r>
              <w:rPr>
                <w:rFonts w:hint="eastAsia" w:ascii="仿宋_GB2312" w:hAnsi="仿宋_GB2312"/>
                <w:szCs w:val="21"/>
              </w:rPr>
              <w:t>基础设施综合开发</w:t>
            </w:r>
          </w:p>
        </w:tc>
        <w:tc>
          <w:tcPr>
            <w:tcW w:w="302" w:type="pct"/>
            <w:vAlign w:val="center"/>
          </w:tcPr>
          <w:p>
            <w:pPr>
              <w:jc w:val="center"/>
              <w:rPr>
                <w:rFonts w:ascii="仿宋_GB2312" w:hAnsi="仿宋_GB2312"/>
                <w:szCs w:val="21"/>
              </w:rPr>
            </w:pPr>
            <w:r>
              <w:rPr>
                <w:rFonts w:hint="eastAsia" w:ascii="仿宋_GB2312" w:hAnsi="仿宋_GB2312"/>
                <w:szCs w:val="21"/>
              </w:rPr>
              <w:t>第十三条</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针对第十三条基础设施综合开发建设，变电站、调压站、加油站都属于公用设施，这类用地对安全防护距离又有严格的要求，即使能够满足承载能力，如何能够保证安全，这个保证安全的范畴是否意味着更加严格的审批程序，是否有详细说明？以及考虑人的心理感受，是否愿意居住在这类用地周边？那这条渠道是否可行？</w:t>
            </w:r>
            <w:r>
              <w:rPr>
                <w:rFonts w:hint="eastAsia" w:ascii="宋体" w:hAnsi="宋体" w:eastAsia="宋体"/>
                <w:b/>
                <w:color w:val="000000"/>
                <w:szCs w:val="21"/>
              </w:rPr>
              <w:t>（市民24</w:t>
            </w:r>
            <w:r>
              <w:rPr>
                <w:rFonts w:hint="eastAsia" w:ascii="宋体" w:hAnsi="宋体" w:eastAsia="宋体"/>
                <w:b/>
                <w:color w:val="000000"/>
                <w:szCs w:val="21"/>
                <w:lang w:val="en-US" w:eastAsia="zh-CN"/>
              </w:rPr>
              <w:t>****</w:t>
            </w:r>
            <w:r>
              <w:rPr>
                <w:rFonts w:hint="eastAsia" w:ascii="宋体" w:hAnsi="宋体" w:eastAsia="宋体"/>
                <w:b/>
                <w:color w:val="000000"/>
                <w:szCs w:val="21"/>
              </w:rPr>
              <w:t>046@qq.com）</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基础设施综合开发的前提是必须要满足安全和周边的交通、配套承载力，有关安全和承载力的论证将在规划研究、建筑设计等环节严格审查。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5</w:t>
            </w:r>
          </w:p>
        </w:tc>
        <w:tc>
          <w:tcPr>
            <w:tcW w:w="379" w:type="pct"/>
            <w:vAlign w:val="center"/>
          </w:tcPr>
          <w:p>
            <w:pPr>
              <w:jc w:val="center"/>
              <w:rPr>
                <w:rFonts w:ascii="仿宋_GB2312" w:hAnsi="仿宋_GB2312"/>
                <w:szCs w:val="21"/>
              </w:rPr>
            </w:pPr>
            <w:r>
              <w:rPr>
                <w:rFonts w:hint="eastAsia" w:ascii="仿宋_GB2312" w:hAnsi="仿宋_GB2312"/>
                <w:szCs w:val="21"/>
              </w:rPr>
              <w:t>计划纳入及住房类型确定</w:t>
            </w:r>
          </w:p>
        </w:tc>
        <w:tc>
          <w:tcPr>
            <w:tcW w:w="302" w:type="pct"/>
            <w:vAlign w:val="center"/>
          </w:tcPr>
          <w:p>
            <w:pPr>
              <w:jc w:val="center"/>
              <w:rPr>
                <w:rFonts w:ascii="仿宋_GB2312" w:hAnsi="仿宋_GB2312"/>
                <w:szCs w:val="21"/>
              </w:rPr>
            </w:pPr>
            <w:r>
              <w:rPr>
                <w:rFonts w:hint="eastAsia" w:ascii="仿宋_GB2312" w:hAnsi="仿宋_GB2312"/>
                <w:szCs w:val="21"/>
              </w:rPr>
              <w:t>第十六条</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根据本规定建设公共住房需对规划进行调整的，在同意纳入安居工程年度实施计划前，市住建部门应批次征求主管部门意见。经研究具备规划调整可行性的，市住建部门纳入安居工程实施计划。</w:t>
            </w:r>
          </w:p>
          <w:p>
            <w:pPr>
              <w:rPr>
                <w:rFonts w:ascii="宋体" w:hAnsi="宋体" w:eastAsia="宋体"/>
                <w:color w:val="000000"/>
                <w:szCs w:val="21"/>
              </w:rPr>
            </w:pPr>
            <w:r>
              <w:rPr>
                <w:rFonts w:hint="eastAsia" w:ascii="宋体" w:hAnsi="宋体" w:eastAsia="宋体"/>
                <w:color w:val="000000"/>
                <w:szCs w:val="21"/>
              </w:rPr>
              <w:t>意见：建议明确文中“主管部门”为“市规划主管部门”。</w:t>
            </w:r>
            <w:r>
              <w:rPr>
                <w:rFonts w:hint="eastAsia" w:ascii="宋体" w:hAnsi="宋体" w:eastAsia="宋体"/>
                <w:b/>
                <w:color w:val="000000"/>
                <w:szCs w:val="21"/>
              </w:rPr>
              <w:t>（深圳市</w:t>
            </w:r>
            <w:r>
              <w:rPr>
                <w:rFonts w:hint="eastAsia" w:ascii="宋体" w:hAnsi="宋体" w:eastAsia="宋体"/>
                <w:b/>
                <w:color w:val="000000"/>
                <w:szCs w:val="21"/>
                <w:lang w:val="en-US" w:eastAsia="zh-CN"/>
              </w:rPr>
              <w:t>******</w:t>
            </w:r>
            <w:r>
              <w:rPr>
                <w:rFonts w:hint="eastAsia" w:ascii="宋体" w:hAnsi="宋体" w:eastAsia="宋体"/>
                <w:b/>
                <w:color w:val="000000"/>
                <w:szCs w:val="21"/>
              </w:rPr>
              <w:t>集团有限公司）</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已在职责分工中明确主管部门。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6</w:t>
            </w:r>
          </w:p>
        </w:tc>
        <w:tc>
          <w:tcPr>
            <w:tcW w:w="379" w:type="pct"/>
            <w:vAlign w:val="center"/>
          </w:tcPr>
          <w:p>
            <w:pPr>
              <w:jc w:val="center"/>
              <w:rPr>
                <w:rFonts w:ascii="仿宋_GB2312" w:hAnsi="仿宋_GB2312"/>
                <w:szCs w:val="21"/>
              </w:rPr>
            </w:pPr>
            <w:r>
              <w:rPr>
                <w:rFonts w:hint="eastAsia" w:ascii="仿宋_GB2312" w:hAnsi="仿宋_GB2312"/>
                <w:szCs w:val="21"/>
              </w:rPr>
              <w:t>规划审批</w:t>
            </w:r>
          </w:p>
        </w:tc>
        <w:tc>
          <w:tcPr>
            <w:tcW w:w="302" w:type="pct"/>
            <w:vAlign w:val="center"/>
          </w:tcPr>
          <w:p>
            <w:pPr>
              <w:jc w:val="center"/>
              <w:rPr>
                <w:rFonts w:ascii="仿宋_GB2312" w:hAnsi="仿宋_GB2312"/>
                <w:szCs w:val="21"/>
              </w:rPr>
            </w:pPr>
            <w:r>
              <w:rPr>
                <w:rFonts w:hint="eastAsia" w:ascii="仿宋_GB2312" w:hAnsi="仿宋_GB2312"/>
                <w:szCs w:val="21"/>
              </w:rPr>
              <w:t>第十七条</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规划调整审批须在市政府批准供应方案或处置方案后才能完成审批，是否审批时序较长同时与用地审批存在矛盾，建议进一步梳理有关审批时序，切实提高审批效率。另请明确“供应方案或处置方案”的申报主体和审批程序。</w:t>
            </w:r>
            <w:r>
              <w:rPr>
                <w:rFonts w:hint="eastAsia" w:ascii="宋体" w:hAnsi="宋体" w:eastAsia="宋体"/>
                <w:b/>
                <w:color w:val="000000"/>
                <w:szCs w:val="21"/>
              </w:rPr>
              <w:t>（深圳市</w:t>
            </w:r>
            <w:r>
              <w:rPr>
                <w:rFonts w:hint="eastAsia" w:ascii="宋体" w:hAnsi="宋体" w:eastAsia="宋体"/>
                <w:b/>
                <w:color w:val="000000"/>
                <w:szCs w:val="21"/>
                <w:lang w:val="en-US" w:eastAsia="zh-CN"/>
              </w:rPr>
              <w:t>******</w:t>
            </w:r>
            <w:r>
              <w:rPr>
                <w:rFonts w:hint="eastAsia" w:ascii="宋体" w:hAnsi="宋体" w:eastAsia="宋体"/>
                <w:b/>
                <w:color w:val="000000"/>
                <w:szCs w:val="21"/>
              </w:rPr>
              <w:t>集团有限公司）</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为确保规划修改后用于建设公共住房，明确规划调整方案在建设公共住房的用地方案通过后完成审批。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7</w:t>
            </w:r>
          </w:p>
        </w:tc>
        <w:tc>
          <w:tcPr>
            <w:tcW w:w="379" w:type="pct"/>
            <w:vAlign w:val="center"/>
          </w:tcPr>
          <w:p>
            <w:pPr>
              <w:jc w:val="center"/>
              <w:rPr>
                <w:rFonts w:ascii="仿宋_GB2312" w:hAnsi="仿宋_GB2312"/>
                <w:szCs w:val="21"/>
              </w:rPr>
            </w:pPr>
            <w:r>
              <w:rPr>
                <w:rFonts w:hint="eastAsia" w:ascii="仿宋_GB2312" w:hAnsi="仿宋_GB2312"/>
                <w:szCs w:val="21"/>
              </w:rPr>
              <w:t>有效期</w:t>
            </w:r>
          </w:p>
        </w:tc>
        <w:tc>
          <w:tcPr>
            <w:tcW w:w="302" w:type="pct"/>
            <w:vAlign w:val="center"/>
          </w:tcPr>
          <w:p>
            <w:pPr>
              <w:jc w:val="center"/>
              <w:rPr>
                <w:rFonts w:ascii="仿宋_GB2312" w:hAnsi="仿宋_GB2312"/>
                <w:szCs w:val="21"/>
              </w:rPr>
            </w:pPr>
            <w:r>
              <w:rPr>
                <w:rFonts w:hint="eastAsia" w:ascii="仿宋_GB2312" w:hAnsi="仿宋_GB2312"/>
                <w:szCs w:val="21"/>
              </w:rPr>
              <w:t>第二十五条</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 xml:space="preserve">针对暂行规定第二十五条：施行日期：有效期三年，我认为不妥，因深圳住房制度改革规划到2035年供应170万套，土地供应只是这三年的，过了这三年的土地怎么规划？ </w:t>
            </w:r>
            <w:r>
              <w:rPr>
                <w:rFonts w:hint="eastAsia" w:ascii="宋体" w:hAnsi="宋体" w:eastAsia="宋体"/>
                <w:b/>
                <w:color w:val="000000"/>
                <w:szCs w:val="21"/>
              </w:rPr>
              <w:t>（市民zh</w:t>
            </w:r>
            <w:r>
              <w:rPr>
                <w:rFonts w:hint="eastAsia" w:ascii="宋体" w:hAnsi="宋体" w:eastAsia="宋体"/>
                <w:b/>
                <w:color w:val="000000"/>
                <w:szCs w:val="21"/>
                <w:lang w:val="en-US" w:eastAsia="zh-CN"/>
              </w:rPr>
              <w:t>****</w:t>
            </w:r>
            <w:r>
              <w:rPr>
                <w:rFonts w:ascii="宋体" w:hAnsi="宋体" w:eastAsia="宋体"/>
                <w:b/>
                <w:color w:val="000000"/>
                <w:szCs w:val="21"/>
              </w:rPr>
              <w:t>a_xu@126.com</w:t>
            </w:r>
            <w:r>
              <w:rPr>
                <w:rFonts w:hint="eastAsia" w:ascii="宋体" w:hAnsi="宋体" w:eastAsia="宋体"/>
                <w:b/>
                <w:color w:val="000000"/>
                <w:szCs w:val="21"/>
              </w:rPr>
              <w:t>）</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政策出台后，我局将对政策实施效果进行跟踪评估，在政策有效期届满前，将根据评估的结果及时启动政策修订工作。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8</w:t>
            </w:r>
          </w:p>
        </w:tc>
        <w:tc>
          <w:tcPr>
            <w:tcW w:w="379" w:type="pct"/>
            <w:vAlign w:val="center"/>
          </w:tcPr>
          <w:p>
            <w:pPr>
              <w:jc w:val="center"/>
              <w:rPr>
                <w:rFonts w:ascii="仿宋_GB2312" w:hAnsi="仿宋_GB2312"/>
                <w:szCs w:val="21"/>
              </w:rPr>
            </w:pPr>
            <w:r>
              <w:rPr>
                <w:rFonts w:hint="eastAsia" w:ascii="仿宋_GB2312" w:hAnsi="仿宋_GB2312"/>
                <w:szCs w:val="21"/>
              </w:rPr>
              <w:t>增加市场商品住房用地供应渠道</w:t>
            </w:r>
          </w:p>
        </w:tc>
        <w:tc>
          <w:tcPr>
            <w:tcW w:w="302" w:type="pct"/>
            <w:vAlign w:val="center"/>
          </w:tcPr>
          <w:p>
            <w:pPr>
              <w:jc w:val="center"/>
              <w:rPr>
                <w:rFonts w:ascii="仿宋_GB2312" w:hAnsi="仿宋_GB2312"/>
                <w:szCs w:val="21"/>
              </w:rPr>
            </w:pPr>
            <w:r>
              <w:rPr>
                <w:rFonts w:hint="eastAsia" w:ascii="仿宋_GB2312" w:hAnsi="仿宋_GB2312"/>
                <w:szCs w:val="21"/>
              </w:rPr>
              <w:t>无</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本次“暂行规定”主要拓展了占比60%的公共住房用地的供应渠道，而占比40%的市场商品住房用地的供应渠道除新供应建设用地外未有拓展其他供应渠道。为较好地落实2035年前建设170万套的任务，同时提高市场主体积极性，建议考虑增加一些市场商品住房用地的供应渠道，如未完善征（转）地补偿手续空地、历史遗留未完善出让手续用地、已出让未建用地、已建的合法用地等。</w:t>
            </w:r>
            <w:r>
              <w:rPr>
                <w:rFonts w:hint="eastAsia" w:ascii="宋体" w:hAnsi="宋体" w:eastAsia="宋体"/>
                <w:b/>
                <w:color w:val="000000"/>
                <w:szCs w:val="21"/>
              </w:rPr>
              <w:t>（深圳市</w:t>
            </w:r>
            <w:r>
              <w:rPr>
                <w:rFonts w:hint="eastAsia" w:ascii="宋体" w:hAnsi="宋体" w:eastAsia="宋体"/>
                <w:b/>
                <w:color w:val="000000"/>
                <w:szCs w:val="21"/>
                <w:lang w:val="en-US" w:eastAsia="zh-CN"/>
              </w:rPr>
              <w:t>*******</w:t>
            </w:r>
            <w:r>
              <w:rPr>
                <w:rFonts w:hint="eastAsia" w:ascii="宋体" w:hAnsi="宋体" w:eastAsia="宋体"/>
                <w:b/>
                <w:color w:val="000000"/>
                <w:szCs w:val="21"/>
              </w:rPr>
              <w:t>团有限公司）</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当前，我市普通商品住房用地的供应主要通过城市更新等渠道供应。经测算，城市更新、土地整备等渠道的土地供应计划基本能满足市场商品住房用地供应任务；如今后供应不足，会适时调整供应计划和供应政策，增加市场商品住房用地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9</w:t>
            </w:r>
          </w:p>
        </w:tc>
        <w:tc>
          <w:tcPr>
            <w:tcW w:w="379" w:type="pct"/>
            <w:vAlign w:val="center"/>
          </w:tcPr>
          <w:p>
            <w:pPr>
              <w:jc w:val="center"/>
              <w:rPr>
                <w:rFonts w:ascii="仿宋_GB2312" w:hAnsi="仿宋_GB2312"/>
                <w:szCs w:val="21"/>
              </w:rPr>
            </w:pPr>
            <w:r>
              <w:rPr>
                <w:rFonts w:hint="eastAsia" w:ascii="仿宋_GB2312" w:hAnsi="仿宋_GB2312"/>
                <w:szCs w:val="21"/>
              </w:rPr>
              <w:t>工业用地改建住房</w:t>
            </w:r>
          </w:p>
        </w:tc>
        <w:tc>
          <w:tcPr>
            <w:tcW w:w="302" w:type="pct"/>
            <w:vAlign w:val="center"/>
          </w:tcPr>
          <w:p>
            <w:pPr>
              <w:jc w:val="center"/>
              <w:rPr>
                <w:rFonts w:ascii="仿宋_GB2312" w:hAnsi="仿宋_GB2312"/>
                <w:szCs w:val="21"/>
              </w:rPr>
            </w:pPr>
            <w:r>
              <w:rPr>
                <w:rFonts w:hint="eastAsia" w:ascii="仿宋_GB2312" w:hAnsi="仿宋_GB2312"/>
                <w:szCs w:val="21"/>
              </w:rPr>
              <w:t>无</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政府可以通过批准建更多的安居住房来缓解住房紧张问题，现在国有储备土地已经很紧张了，这是事实，但是可以更改房屋用途，把工业用地拿一部分出来改建住房用地，让市场来调节房价，让更多人能买得起房。(</w:t>
            </w:r>
            <w:r>
              <w:rPr>
                <w:rFonts w:hint="eastAsia" w:ascii="宋体" w:hAnsi="宋体" w:eastAsia="宋体"/>
                <w:b/>
                <w:color w:val="000000"/>
                <w:szCs w:val="21"/>
              </w:rPr>
              <w:t>市民周</w:t>
            </w:r>
            <w:r>
              <w:rPr>
                <w:rFonts w:hint="eastAsia" w:ascii="宋体" w:hAnsi="宋体" w:eastAsia="宋体"/>
                <w:b/>
                <w:color w:val="000000"/>
                <w:szCs w:val="21"/>
                <w:lang w:eastAsia="zh-CN"/>
              </w:rPr>
              <w:t>先生</w:t>
            </w:r>
            <w:r>
              <w:rPr>
                <w:rFonts w:hint="eastAsia" w:ascii="宋体" w:hAnsi="宋体" w:eastAsia="宋体"/>
                <w:color w:val="000000"/>
                <w:szCs w:val="21"/>
              </w:rPr>
              <w:t>)</w:t>
            </w:r>
          </w:p>
        </w:tc>
        <w:tc>
          <w:tcPr>
            <w:tcW w:w="282" w:type="pct"/>
            <w:vAlign w:val="center"/>
          </w:tcPr>
          <w:p>
            <w:pPr>
              <w:jc w:val="center"/>
              <w:rPr>
                <w:rFonts w:ascii="宋体" w:hAnsi="宋体" w:eastAsia="宋体"/>
                <w:szCs w:val="21"/>
              </w:rPr>
            </w:pPr>
            <w:r>
              <w:rPr>
                <w:rFonts w:hint="eastAsia" w:ascii="宋体" w:hAnsi="宋体" w:eastAsia="宋体"/>
                <w:szCs w:val="21"/>
              </w:rPr>
              <w:t>采纳</w:t>
            </w:r>
          </w:p>
        </w:tc>
        <w:tc>
          <w:tcPr>
            <w:tcW w:w="1023" w:type="pct"/>
            <w:vAlign w:val="center"/>
          </w:tcPr>
          <w:p>
            <w:pPr>
              <w:rPr>
                <w:rFonts w:ascii="宋体" w:hAnsi="宋体" w:eastAsia="宋体"/>
                <w:szCs w:val="21"/>
              </w:rPr>
            </w:pPr>
            <w:r>
              <w:rPr>
                <w:rFonts w:hint="eastAsia" w:ascii="宋体" w:hAnsi="宋体" w:eastAsia="宋体"/>
                <w:szCs w:val="21"/>
              </w:rPr>
              <w:t>政策中已明确允许符合条件的工业用地改建公共住房，并相应的审批程序、地价政策等方面予以支持。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10</w:t>
            </w:r>
          </w:p>
        </w:tc>
        <w:tc>
          <w:tcPr>
            <w:tcW w:w="379" w:type="pct"/>
            <w:vAlign w:val="center"/>
          </w:tcPr>
          <w:p>
            <w:pPr>
              <w:jc w:val="center"/>
              <w:rPr>
                <w:rFonts w:ascii="仿宋_GB2312" w:hAnsi="仿宋_GB2312"/>
                <w:szCs w:val="21"/>
              </w:rPr>
            </w:pPr>
            <w:r>
              <w:rPr>
                <w:rFonts w:hint="eastAsia" w:ascii="仿宋_GB2312" w:hAnsi="仿宋_GB2312"/>
                <w:szCs w:val="21"/>
              </w:rPr>
              <w:t>土地规划</w:t>
            </w:r>
          </w:p>
        </w:tc>
        <w:tc>
          <w:tcPr>
            <w:tcW w:w="302" w:type="pct"/>
            <w:vAlign w:val="center"/>
          </w:tcPr>
          <w:p>
            <w:pPr>
              <w:jc w:val="center"/>
              <w:rPr>
                <w:rFonts w:ascii="仿宋_GB2312" w:hAnsi="仿宋_GB2312"/>
                <w:szCs w:val="21"/>
              </w:rPr>
            </w:pPr>
            <w:r>
              <w:rPr>
                <w:rFonts w:hint="eastAsia" w:ascii="仿宋_GB2312" w:hAnsi="仿宋_GB2312"/>
                <w:szCs w:val="21"/>
              </w:rPr>
              <w:t>无</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土地规划：土地供应毫无疑问是前提，是首要的，充分的供应量是基本的保障。但是，以往市/区建设的一些安居房地处偏僻，交通不便，配套欠缺，市民多有微词，大家难以接受，反应不好。很多有住房需求/轮候的市民都无奈，有些只能放弃。由此还造成了一些空置，这是一种资源的浪费。</w:t>
            </w:r>
            <w:r>
              <w:rPr>
                <w:rFonts w:hint="eastAsia" w:ascii="宋体" w:hAnsi="宋体" w:eastAsia="宋体"/>
                <w:b/>
                <w:color w:val="000000"/>
                <w:szCs w:val="21"/>
              </w:rPr>
              <w:t>(市民D</w:t>
            </w:r>
            <w:r>
              <w:rPr>
                <w:rFonts w:hint="eastAsia" w:ascii="宋体" w:hAnsi="宋体" w:eastAsia="宋体"/>
                <w:b/>
                <w:color w:val="000000"/>
                <w:szCs w:val="21"/>
                <w:lang w:val="en-US" w:eastAsia="zh-CN"/>
              </w:rPr>
              <w:t>***</w:t>
            </w:r>
            <w:r>
              <w:rPr>
                <w:rFonts w:hint="eastAsia" w:ascii="宋体" w:hAnsi="宋体" w:eastAsia="宋体"/>
                <w:b/>
                <w:color w:val="000000"/>
                <w:szCs w:val="21"/>
              </w:rPr>
              <w:t>d Q.)</w:t>
            </w:r>
          </w:p>
        </w:tc>
        <w:tc>
          <w:tcPr>
            <w:tcW w:w="282" w:type="pct"/>
            <w:vAlign w:val="center"/>
          </w:tcPr>
          <w:p>
            <w:pPr>
              <w:jc w:val="center"/>
              <w:rPr>
                <w:rFonts w:ascii="宋体" w:hAnsi="宋体" w:eastAsia="宋体"/>
                <w:szCs w:val="21"/>
              </w:rPr>
            </w:pPr>
            <w:r>
              <w:rPr>
                <w:rFonts w:hint="eastAsia" w:ascii="宋体" w:hAnsi="宋体" w:eastAsia="宋体"/>
                <w:szCs w:val="21"/>
              </w:rPr>
              <w:t>采纳</w:t>
            </w:r>
          </w:p>
        </w:tc>
        <w:tc>
          <w:tcPr>
            <w:tcW w:w="1023" w:type="pct"/>
            <w:vAlign w:val="center"/>
          </w:tcPr>
          <w:p>
            <w:pPr>
              <w:rPr>
                <w:rFonts w:ascii="宋体" w:hAnsi="宋体" w:eastAsia="宋体"/>
                <w:szCs w:val="21"/>
              </w:rPr>
            </w:pPr>
            <w:r>
              <w:rPr>
                <w:rFonts w:hint="eastAsia" w:ascii="宋体" w:hAnsi="宋体" w:eastAsia="宋体"/>
                <w:szCs w:val="21"/>
              </w:rPr>
              <w:t>已在第六条明确住房建设类型确定的基本原则，要求充分考虑交通、配套设施等因素。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11</w:t>
            </w:r>
          </w:p>
        </w:tc>
        <w:tc>
          <w:tcPr>
            <w:tcW w:w="379" w:type="pct"/>
            <w:vAlign w:val="center"/>
          </w:tcPr>
          <w:p>
            <w:pPr>
              <w:jc w:val="center"/>
              <w:rPr>
                <w:rFonts w:ascii="仿宋_GB2312" w:hAnsi="仿宋_GB2312"/>
                <w:szCs w:val="21"/>
              </w:rPr>
            </w:pPr>
            <w:r>
              <w:rPr>
                <w:rFonts w:hint="eastAsia" w:ascii="仿宋_GB2312" w:hAnsi="仿宋_GB2312"/>
                <w:szCs w:val="21"/>
              </w:rPr>
              <w:t>工业区块线</w:t>
            </w:r>
          </w:p>
        </w:tc>
        <w:tc>
          <w:tcPr>
            <w:tcW w:w="302" w:type="pct"/>
            <w:vAlign w:val="center"/>
          </w:tcPr>
          <w:p>
            <w:pPr>
              <w:jc w:val="center"/>
              <w:rPr>
                <w:rFonts w:ascii="仿宋_GB2312" w:hAnsi="仿宋_GB2312"/>
                <w:szCs w:val="21"/>
              </w:rPr>
            </w:pPr>
            <w:r>
              <w:rPr>
                <w:rFonts w:hint="eastAsia" w:ascii="仿宋_GB2312" w:hAnsi="仿宋_GB2312"/>
                <w:szCs w:val="21"/>
              </w:rPr>
              <w:t>无</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该暂行规定请处在工业区块线的已批未建用地或已建成的用地，企业单位主动申请安居房用地规划，政府支持将该地调出工业区块线。</w:t>
            </w:r>
          </w:p>
          <w:p>
            <w:pPr>
              <w:rPr>
                <w:rFonts w:ascii="宋体" w:hAnsi="宋体" w:eastAsia="宋体"/>
                <w:color w:val="000000"/>
                <w:szCs w:val="21"/>
              </w:rPr>
            </w:pPr>
            <w:r>
              <w:rPr>
                <w:rFonts w:hint="eastAsia" w:ascii="宋体" w:hAnsi="宋体" w:eastAsia="宋体"/>
                <w:color w:val="000000"/>
                <w:szCs w:val="21"/>
              </w:rPr>
              <w:t>建议将在地铁站1000米或需要建设配套住宅的工业区块线内用地企业，划入政府支持纳入供地规划范围，否则该暂行规定将限制大部分企业用地的参入。</w:t>
            </w:r>
          </w:p>
          <w:p>
            <w:pPr>
              <w:rPr>
                <w:rFonts w:ascii="宋体" w:hAnsi="宋体" w:eastAsia="宋体"/>
                <w:color w:val="000000"/>
                <w:szCs w:val="21"/>
              </w:rPr>
            </w:pPr>
            <w:r>
              <w:rPr>
                <w:rFonts w:hint="eastAsia" w:ascii="宋体" w:hAnsi="宋体" w:eastAsia="宋体"/>
                <w:color w:val="000000"/>
                <w:szCs w:val="21"/>
              </w:rPr>
              <w:t>建议市政府对此暂行规定对区块线内用地及所有企业单位支持征地的地块按40%的商品住宅、60%的安居房用地规划，这样作用会好转些。</w:t>
            </w:r>
          </w:p>
          <w:p>
            <w:pPr>
              <w:rPr>
                <w:rFonts w:ascii="宋体" w:hAnsi="宋体" w:eastAsia="宋体"/>
                <w:color w:val="000000"/>
                <w:szCs w:val="21"/>
              </w:rPr>
            </w:pPr>
            <w:r>
              <w:rPr>
                <w:rFonts w:hint="eastAsia" w:ascii="宋体" w:hAnsi="宋体" w:eastAsia="宋体"/>
                <w:b/>
                <w:color w:val="000000"/>
                <w:szCs w:val="21"/>
              </w:rPr>
              <w:t>（市民</w:t>
            </w:r>
            <w:r>
              <w:rPr>
                <w:rFonts w:ascii="宋体" w:hAnsi="宋体" w:eastAsia="宋体"/>
                <w:b/>
                <w:color w:val="000000"/>
                <w:szCs w:val="21"/>
              </w:rPr>
              <w:t>13</w:t>
            </w:r>
            <w:r>
              <w:rPr>
                <w:rFonts w:hint="eastAsia" w:ascii="宋体" w:hAnsi="宋体" w:eastAsia="宋体"/>
                <w:b/>
                <w:color w:val="000000"/>
                <w:szCs w:val="21"/>
                <w:lang w:val="en-US" w:eastAsia="zh-CN"/>
              </w:rPr>
              <w:t>****</w:t>
            </w:r>
            <w:r>
              <w:rPr>
                <w:rFonts w:ascii="宋体" w:hAnsi="宋体" w:eastAsia="宋体"/>
                <w:b/>
                <w:color w:val="000000"/>
                <w:szCs w:val="21"/>
              </w:rPr>
              <w:t>24773@126.com</w:t>
            </w:r>
            <w:r>
              <w:rPr>
                <w:rFonts w:hint="eastAsia" w:ascii="宋体" w:hAnsi="宋体" w:eastAsia="宋体"/>
                <w:b/>
                <w:color w:val="000000"/>
                <w:szCs w:val="21"/>
              </w:rPr>
              <w:t>）</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产业是城市发展的基石，工业区块线内工业用地是我市产业长远发展的重要保障。因此，暂行规定明确工业区块线内的，从其规定。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 w:type="pct"/>
            <w:vAlign w:val="center"/>
          </w:tcPr>
          <w:p>
            <w:pPr>
              <w:jc w:val="center"/>
              <w:rPr>
                <w:rFonts w:ascii="仿宋_GB2312" w:hAnsi="仿宋_GB2312"/>
                <w:szCs w:val="21"/>
              </w:rPr>
            </w:pPr>
            <w:r>
              <w:rPr>
                <w:rFonts w:hint="eastAsia" w:ascii="仿宋_GB2312" w:hAnsi="仿宋_GB2312"/>
                <w:szCs w:val="21"/>
              </w:rPr>
              <w:t>12</w:t>
            </w:r>
          </w:p>
        </w:tc>
        <w:tc>
          <w:tcPr>
            <w:tcW w:w="379" w:type="pct"/>
            <w:vAlign w:val="center"/>
          </w:tcPr>
          <w:p>
            <w:pPr>
              <w:jc w:val="center"/>
              <w:rPr>
                <w:rFonts w:ascii="仿宋_GB2312" w:hAnsi="仿宋_GB2312"/>
                <w:szCs w:val="21"/>
              </w:rPr>
            </w:pPr>
            <w:r>
              <w:rPr>
                <w:rFonts w:hint="eastAsia" w:ascii="仿宋_GB2312" w:hAnsi="仿宋_GB2312"/>
                <w:szCs w:val="21"/>
              </w:rPr>
              <w:t>其他</w:t>
            </w:r>
          </w:p>
        </w:tc>
        <w:tc>
          <w:tcPr>
            <w:tcW w:w="302" w:type="pct"/>
            <w:vAlign w:val="center"/>
          </w:tcPr>
          <w:p>
            <w:pPr>
              <w:jc w:val="center"/>
              <w:rPr>
                <w:rFonts w:ascii="仿宋_GB2312" w:hAnsi="仿宋_GB2312"/>
                <w:szCs w:val="21"/>
              </w:rPr>
            </w:pPr>
            <w:r>
              <w:rPr>
                <w:rFonts w:hint="eastAsia" w:ascii="仿宋_GB2312" w:hAnsi="仿宋_GB2312"/>
                <w:szCs w:val="21"/>
              </w:rPr>
              <w:t>无</w:t>
            </w:r>
          </w:p>
        </w:tc>
        <w:tc>
          <w:tcPr>
            <w:tcW w:w="2831" w:type="pct"/>
            <w:vAlign w:val="center"/>
          </w:tcPr>
          <w:p>
            <w:pPr>
              <w:rPr>
                <w:rFonts w:ascii="宋体" w:hAnsi="宋体" w:eastAsia="宋体"/>
                <w:color w:val="000000"/>
                <w:szCs w:val="21"/>
              </w:rPr>
            </w:pPr>
            <w:r>
              <w:rPr>
                <w:rFonts w:hint="eastAsia" w:ascii="宋体" w:hAnsi="宋体" w:eastAsia="宋体"/>
                <w:color w:val="000000"/>
                <w:szCs w:val="21"/>
              </w:rPr>
              <w:t>公司2015年12月份纳入深圳市城市更新单元计划第五批计划，单元名称：三金科技园。 目前尚未通过工改工专项规划审批。</w:t>
            </w:r>
          </w:p>
          <w:p>
            <w:pPr>
              <w:rPr>
                <w:rFonts w:ascii="宋体" w:hAnsi="宋体" w:eastAsia="宋体"/>
                <w:color w:val="000000"/>
                <w:szCs w:val="21"/>
              </w:rPr>
            </w:pPr>
            <w:r>
              <w:rPr>
                <w:rFonts w:hint="eastAsia" w:ascii="宋体" w:hAnsi="宋体" w:eastAsia="宋体"/>
                <w:color w:val="000000"/>
                <w:szCs w:val="21"/>
              </w:rPr>
              <w:t>我们地块位于龙岗区平湖街道办，用地面积44003m²，建议领导允许我们通过专项规划研究，在保持项目范围内工业用地一定比例增量的情况下，剩余土地用于建设公共住房，按政府相关政策执行。 这样可以改善我们的工业用地，为产业升级创造条件；也为政府公共住房的建设增加供应。</w:t>
            </w:r>
            <w:r>
              <w:rPr>
                <w:rFonts w:hint="eastAsia" w:ascii="宋体" w:hAnsi="宋体" w:eastAsia="宋体"/>
                <w:b/>
                <w:color w:val="000000"/>
                <w:szCs w:val="21"/>
              </w:rPr>
              <w:t>（深圳市</w:t>
            </w:r>
            <w:r>
              <w:rPr>
                <w:rFonts w:hint="eastAsia" w:ascii="宋体" w:hAnsi="宋体" w:eastAsia="宋体"/>
                <w:b/>
                <w:color w:val="000000"/>
                <w:szCs w:val="21"/>
                <w:lang w:val="en-US" w:eastAsia="zh-CN"/>
              </w:rPr>
              <w:t>****</w:t>
            </w:r>
            <w:r>
              <w:rPr>
                <w:rFonts w:hint="eastAsia" w:ascii="宋体" w:hAnsi="宋体" w:eastAsia="宋体"/>
                <w:b/>
                <w:color w:val="000000"/>
                <w:szCs w:val="21"/>
              </w:rPr>
              <w:t>有限公司的股东李</w:t>
            </w:r>
            <w:r>
              <w:rPr>
                <w:rFonts w:hint="eastAsia" w:ascii="宋体" w:hAnsi="宋体" w:eastAsia="宋体"/>
                <w:b/>
                <w:color w:val="000000"/>
                <w:szCs w:val="21"/>
                <w:lang w:val="en-US" w:eastAsia="zh-CN"/>
              </w:rPr>
              <w:t>**</w:t>
            </w:r>
            <w:bookmarkStart w:id="0" w:name="_GoBack"/>
            <w:bookmarkEnd w:id="0"/>
            <w:r>
              <w:rPr>
                <w:rFonts w:hint="eastAsia" w:ascii="宋体" w:hAnsi="宋体" w:eastAsia="宋体"/>
                <w:b/>
                <w:color w:val="000000"/>
                <w:szCs w:val="21"/>
              </w:rPr>
              <w:t>）</w:t>
            </w:r>
            <w:r>
              <w:rPr>
                <w:rFonts w:ascii="宋体" w:hAnsi="宋体" w:eastAsia="宋体"/>
                <w:color w:val="000000"/>
                <w:szCs w:val="21"/>
              </w:rPr>
              <w:t xml:space="preserve"> </w:t>
            </w:r>
          </w:p>
        </w:tc>
        <w:tc>
          <w:tcPr>
            <w:tcW w:w="282" w:type="pct"/>
            <w:vAlign w:val="center"/>
          </w:tcPr>
          <w:p>
            <w:pPr>
              <w:jc w:val="center"/>
              <w:rPr>
                <w:rFonts w:ascii="宋体" w:hAnsi="宋体" w:eastAsia="宋体"/>
                <w:szCs w:val="21"/>
              </w:rPr>
            </w:pPr>
            <w:r>
              <w:rPr>
                <w:rFonts w:hint="eastAsia" w:ascii="宋体" w:hAnsi="宋体" w:eastAsia="宋体"/>
                <w:szCs w:val="21"/>
              </w:rPr>
              <w:t>解释</w:t>
            </w:r>
          </w:p>
        </w:tc>
        <w:tc>
          <w:tcPr>
            <w:tcW w:w="1023" w:type="pct"/>
            <w:vAlign w:val="center"/>
          </w:tcPr>
          <w:p>
            <w:pPr>
              <w:rPr>
                <w:rFonts w:ascii="宋体" w:hAnsi="宋体" w:eastAsia="宋体"/>
                <w:szCs w:val="21"/>
              </w:rPr>
            </w:pPr>
            <w:r>
              <w:rPr>
                <w:rFonts w:hint="eastAsia" w:ascii="宋体" w:hAnsi="宋体" w:eastAsia="宋体"/>
                <w:szCs w:val="21"/>
              </w:rPr>
              <w:t>已纳入城市更新单元计划的按城市更新相关政策执行。</w:t>
            </w:r>
          </w:p>
        </w:tc>
      </w:tr>
    </w:tbl>
    <w:p>
      <w:pPr>
        <w:jc w:val="center"/>
        <w:rPr>
          <w:rFonts w:ascii="仿宋_GB2312" w:hAnsi="仿宋_GB2312"/>
          <w:szCs w:val="21"/>
        </w:rPr>
      </w:pPr>
    </w:p>
    <w:sectPr>
      <w:pgSz w:w="23814" w:h="16839"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zZiYzI5N2IyYWQ5NmZhNTY2ZWQ4ODhkOTE2OWEifQ=="/>
  </w:docVars>
  <w:rsids>
    <w:rsidRoot w:val="00681A15"/>
    <w:rsid w:val="00020593"/>
    <w:rsid w:val="00033163"/>
    <w:rsid w:val="00041AAD"/>
    <w:rsid w:val="0004233F"/>
    <w:rsid w:val="000429F6"/>
    <w:rsid w:val="00055CCA"/>
    <w:rsid w:val="00055FAE"/>
    <w:rsid w:val="00061269"/>
    <w:rsid w:val="000617C5"/>
    <w:rsid w:val="0006754B"/>
    <w:rsid w:val="000737F6"/>
    <w:rsid w:val="00073FE2"/>
    <w:rsid w:val="00090153"/>
    <w:rsid w:val="000A1883"/>
    <w:rsid w:val="000A443C"/>
    <w:rsid w:val="000A662C"/>
    <w:rsid w:val="000A783C"/>
    <w:rsid w:val="000B1677"/>
    <w:rsid w:val="000B26AE"/>
    <w:rsid w:val="000B69EB"/>
    <w:rsid w:val="000B7082"/>
    <w:rsid w:val="000C077E"/>
    <w:rsid w:val="000F0E7D"/>
    <w:rsid w:val="00113C4D"/>
    <w:rsid w:val="00137F89"/>
    <w:rsid w:val="0014001E"/>
    <w:rsid w:val="00140EFF"/>
    <w:rsid w:val="00147D33"/>
    <w:rsid w:val="0015204C"/>
    <w:rsid w:val="00160D97"/>
    <w:rsid w:val="00163892"/>
    <w:rsid w:val="0016779F"/>
    <w:rsid w:val="00172538"/>
    <w:rsid w:val="001A27FF"/>
    <w:rsid w:val="001B00F5"/>
    <w:rsid w:val="001F533F"/>
    <w:rsid w:val="002028C9"/>
    <w:rsid w:val="0021539E"/>
    <w:rsid w:val="00216AA0"/>
    <w:rsid w:val="00217308"/>
    <w:rsid w:val="00223080"/>
    <w:rsid w:val="002259B9"/>
    <w:rsid w:val="00227422"/>
    <w:rsid w:val="0023086C"/>
    <w:rsid w:val="002323C9"/>
    <w:rsid w:val="0023311E"/>
    <w:rsid w:val="00240182"/>
    <w:rsid w:val="00240673"/>
    <w:rsid w:val="00267EAB"/>
    <w:rsid w:val="00281ADF"/>
    <w:rsid w:val="0028447A"/>
    <w:rsid w:val="002873DC"/>
    <w:rsid w:val="00291803"/>
    <w:rsid w:val="00297682"/>
    <w:rsid w:val="002A0F10"/>
    <w:rsid w:val="002C40A8"/>
    <w:rsid w:val="002D2411"/>
    <w:rsid w:val="002D6DAA"/>
    <w:rsid w:val="002F049B"/>
    <w:rsid w:val="003004E9"/>
    <w:rsid w:val="00307796"/>
    <w:rsid w:val="00307B87"/>
    <w:rsid w:val="003149A0"/>
    <w:rsid w:val="003258F9"/>
    <w:rsid w:val="00342894"/>
    <w:rsid w:val="00360D04"/>
    <w:rsid w:val="00366CA0"/>
    <w:rsid w:val="003704AF"/>
    <w:rsid w:val="00371D4F"/>
    <w:rsid w:val="003769D3"/>
    <w:rsid w:val="00391D53"/>
    <w:rsid w:val="003A78A2"/>
    <w:rsid w:val="003B0154"/>
    <w:rsid w:val="003B4987"/>
    <w:rsid w:val="003B4F55"/>
    <w:rsid w:val="003C420D"/>
    <w:rsid w:val="003C4D61"/>
    <w:rsid w:val="003C5AEE"/>
    <w:rsid w:val="003D00F3"/>
    <w:rsid w:val="003D6008"/>
    <w:rsid w:val="0040455C"/>
    <w:rsid w:val="0040588A"/>
    <w:rsid w:val="0041096D"/>
    <w:rsid w:val="00410FF4"/>
    <w:rsid w:val="0041290B"/>
    <w:rsid w:val="004172F1"/>
    <w:rsid w:val="00430059"/>
    <w:rsid w:val="00435B85"/>
    <w:rsid w:val="0044163E"/>
    <w:rsid w:val="00443906"/>
    <w:rsid w:val="00444CA3"/>
    <w:rsid w:val="00445B7E"/>
    <w:rsid w:val="00454098"/>
    <w:rsid w:val="004545D9"/>
    <w:rsid w:val="0045585A"/>
    <w:rsid w:val="00467ECB"/>
    <w:rsid w:val="00474C38"/>
    <w:rsid w:val="0047539D"/>
    <w:rsid w:val="004807AF"/>
    <w:rsid w:val="004861DB"/>
    <w:rsid w:val="0049617E"/>
    <w:rsid w:val="004B1107"/>
    <w:rsid w:val="004B1606"/>
    <w:rsid w:val="004C090C"/>
    <w:rsid w:val="004C18BD"/>
    <w:rsid w:val="004D719B"/>
    <w:rsid w:val="004F5818"/>
    <w:rsid w:val="00510206"/>
    <w:rsid w:val="005121E1"/>
    <w:rsid w:val="0051422F"/>
    <w:rsid w:val="00520A27"/>
    <w:rsid w:val="00536D2A"/>
    <w:rsid w:val="0053766E"/>
    <w:rsid w:val="005601A0"/>
    <w:rsid w:val="005743CB"/>
    <w:rsid w:val="00575B3E"/>
    <w:rsid w:val="00576AF4"/>
    <w:rsid w:val="0058220E"/>
    <w:rsid w:val="0058729E"/>
    <w:rsid w:val="0059045F"/>
    <w:rsid w:val="005A56E3"/>
    <w:rsid w:val="005A720B"/>
    <w:rsid w:val="005B2FB7"/>
    <w:rsid w:val="005B6441"/>
    <w:rsid w:val="005B7D29"/>
    <w:rsid w:val="005C182D"/>
    <w:rsid w:val="005C6275"/>
    <w:rsid w:val="005F12FF"/>
    <w:rsid w:val="005F14E3"/>
    <w:rsid w:val="005F591E"/>
    <w:rsid w:val="005F5A0B"/>
    <w:rsid w:val="00603435"/>
    <w:rsid w:val="00605913"/>
    <w:rsid w:val="006060CD"/>
    <w:rsid w:val="0060772F"/>
    <w:rsid w:val="00614B23"/>
    <w:rsid w:val="006314B7"/>
    <w:rsid w:val="00631785"/>
    <w:rsid w:val="006375FE"/>
    <w:rsid w:val="00650ABA"/>
    <w:rsid w:val="00651EEA"/>
    <w:rsid w:val="0068131E"/>
    <w:rsid w:val="00681A15"/>
    <w:rsid w:val="00683D16"/>
    <w:rsid w:val="00695877"/>
    <w:rsid w:val="006A0BFF"/>
    <w:rsid w:val="006B0BC7"/>
    <w:rsid w:val="006B6B38"/>
    <w:rsid w:val="006C0549"/>
    <w:rsid w:val="006C065F"/>
    <w:rsid w:val="006C6723"/>
    <w:rsid w:val="006D1CB6"/>
    <w:rsid w:val="006D4DA6"/>
    <w:rsid w:val="006F6185"/>
    <w:rsid w:val="006F6698"/>
    <w:rsid w:val="00727F12"/>
    <w:rsid w:val="007301B1"/>
    <w:rsid w:val="00730FD5"/>
    <w:rsid w:val="007324BC"/>
    <w:rsid w:val="00755B1C"/>
    <w:rsid w:val="00765BFD"/>
    <w:rsid w:val="0077692C"/>
    <w:rsid w:val="00777481"/>
    <w:rsid w:val="007821D2"/>
    <w:rsid w:val="00786881"/>
    <w:rsid w:val="00795F6F"/>
    <w:rsid w:val="00797378"/>
    <w:rsid w:val="00797B2D"/>
    <w:rsid w:val="007A1507"/>
    <w:rsid w:val="007A22B6"/>
    <w:rsid w:val="007C2A11"/>
    <w:rsid w:val="007C4CA2"/>
    <w:rsid w:val="007D0549"/>
    <w:rsid w:val="007D2C8D"/>
    <w:rsid w:val="007E48F9"/>
    <w:rsid w:val="007F16BD"/>
    <w:rsid w:val="007F2256"/>
    <w:rsid w:val="0080224E"/>
    <w:rsid w:val="00814C5D"/>
    <w:rsid w:val="008270D2"/>
    <w:rsid w:val="008364E9"/>
    <w:rsid w:val="008406A9"/>
    <w:rsid w:val="0084075C"/>
    <w:rsid w:val="00841A6C"/>
    <w:rsid w:val="00846F1B"/>
    <w:rsid w:val="00847CEA"/>
    <w:rsid w:val="00860321"/>
    <w:rsid w:val="00861BA7"/>
    <w:rsid w:val="0087592C"/>
    <w:rsid w:val="00886AA0"/>
    <w:rsid w:val="008948AA"/>
    <w:rsid w:val="00895323"/>
    <w:rsid w:val="00895D41"/>
    <w:rsid w:val="00896B7C"/>
    <w:rsid w:val="008A2593"/>
    <w:rsid w:val="008B3793"/>
    <w:rsid w:val="008B7B7E"/>
    <w:rsid w:val="008C294A"/>
    <w:rsid w:val="008D29EC"/>
    <w:rsid w:val="008D3081"/>
    <w:rsid w:val="008D65FA"/>
    <w:rsid w:val="008E22A3"/>
    <w:rsid w:val="008E2EB9"/>
    <w:rsid w:val="008E48DB"/>
    <w:rsid w:val="008F3334"/>
    <w:rsid w:val="009021B2"/>
    <w:rsid w:val="00922788"/>
    <w:rsid w:val="009276DA"/>
    <w:rsid w:val="00947AD7"/>
    <w:rsid w:val="009672C8"/>
    <w:rsid w:val="009809FB"/>
    <w:rsid w:val="00987ACD"/>
    <w:rsid w:val="00992E96"/>
    <w:rsid w:val="00993B4C"/>
    <w:rsid w:val="009A378A"/>
    <w:rsid w:val="009A6038"/>
    <w:rsid w:val="009C2CCD"/>
    <w:rsid w:val="009C3BD0"/>
    <w:rsid w:val="009C4938"/>
    <w:rsid w:val="009C4F1E"/>
    <w:rsid w:val="009D5F33"/>
    <w:rsid w:val="009E42B6"/>
    <w:rsid w:val="00A016D0"/>
    <w:rsid w:val="00A026AA"/>
    <w:rsid w:val="00A049A8"/>
    <w:rsid w:val="00A0787F"/>
    <w:rsid w:val="00A154C4"/>
    <w:rsid w:val="00A17CA4"/>
    <w:rsid w:val="00A30445"/>
    <w:rsid w:val="00A30F12"/>
    <w:rsid w:val="00A32DA5"/>
    <w:rsid w:val="00A33751"/>
    <w:rsid w:val="00A43B33"/>
    <w:rsid w:val="00A45BDA"/>
    <w:rsid w:val="00A61A83"/>
    <w:rsid w:val="00A673E7"/>
    <w:rsid w:val="00A7409D"/>
    <w:rsid w:val="00A843D4"/>
    <w:rsid w:val="00A8738F"/>
    <w:rsid w:val="00A9209D"/>
    <w:rsid w:val="00AB16F8"/>
    <w:rsid w:val="00AB704A"/>
    <w:rsid w:val="00AC205D"/>
    <w:rsid w:val="00AC2C9E"/>
    <w:rsid w:val="00AD4E5D"/>
    <w:rsid w:val="00AE0742"/>
    <w:rsid w:val="00AF1E1D"/>
    <w:rsid w:val="00AF3617"/>
    <w:rsid w:val="00AF6DF8"/>
    <w:rsid w:val="00B115B6"/>
    <w:rsid w:val="00B11E5C"/>
    <w:rsid w:val="00B150B2"/>
    <w:rsid w:val="00B171BA"/>
    <w:rsid w:val="00B25B04"/>
    <w:rsid w:val="00B327B9"/>
    <w:rsid w:val="00B336BE"/>
    <w:rsid w:val="00B374B7"/>
    <w:rsid w:val="00B40010"/>
    <w:rsid w:val="00B43E78"/>
    <w:rsid w:val="00B51F82"/>
    <w:rsid w:val="00B73DDE"/>
    <w:rsid w:val="00B7555D"/>
    <w:rsid w:val="00B8260E"/>
    <w:rsid w:val="00B840E7"/>
    <w:rsid w:val="00B86DA4"/>
    <w:rsid w:val="00B92633"/>
    <w:rsid w:val="00B9376E"/>
    <w:rsid w:val="00B97B7C"/>
    <w:rsid w:val="00BA0821"/>
    <w:rsid w:val="00BA18F3"/>
    <w:rsid w:val="00BB0F25"/>
    <w:rsid w:val="00BB1DE6"/>
    <w:rsid w:val="00BB22B9"/>
    <w:rsid w:val="00BB5E99"/>
    <w:rsid w:val="00BC60F4"/>
    <w:rsid w:val="00BD11EC"/>
    <w:rsid w:val="00BD5A39"/>
    <w:rsid w:val="00BD5A7E"/>
    <w:rsid w:val="00C033B7"/>
    <w:rsid w:val="00C357D7"/>
    <w:rsid w:val="00C36048"/>
    <w:rsid w:val="00C371D0"/>
    <w:rsid w:val="00C442AF"/>
    <w:rsid w:val="00C46923"/>
    <w:rsid w:val="00C47F0C"/>
    <w:rsid w:val="00C57A24"/>
    <w:rsid w:val="00C70969"/>
    <w:rsid w:val="00C759FF"/>
    <w:rsid w:val="00C8415E"/>
    <w:rsid w:val="00C90BA9"/>
    <w:rsid w:val="00C9701A"/>
    <w:rsid w:val="00CA7786"/>
    <w:rsid w:val="00CB4654"/>
    <w:rsid w:val="00CC6A2A"/>
    <w:rsid w:val="00CC7420"/>
    <w:rsid w:val="00CD1059"/>
    <w:rsid w:val="00CD647B"/>
    <w:rsid w:val="00CE4741"/>
    <w:rsid w:val="00CE6F78"/>
    <w:rsid w:val="00D003E9"/>
    <w:rsid w:val="00D11663"/>
    <w:rsid w:val="00D1287C"/>
    <w:rsid w:val="00D14F7D"/>
    <w:rsid w:val="00D1683F"/>
    <w:rsid w:val="00D22169"/>
    <w:rsid w:val="00D24D8A"/>
    <w:rsid w:val="00D26CE1"/>
    <w:rsid w:val="00D30A27"/>
    <w:rsid w:val="00D35542"/>
    <w:rsid w:val="00D3688B"/>
    <w:rsid w:val="00D4075B"/>
    <w:rsid w:val="00D44B22"/>
    <w:rsid w:val="00D46D6F"/>
    <w:rsid w:val="00D520F7"/>
    <w:rsid w:val="00D601D3"/>
    <w:rsid w:val="00D60258"/>
    <w:rsid w:val="00D609DD"/>
    <w:rsid w:val="00D64988"/>
    <w:rsid w:val="00D660AE"/>
    <w:rsid w:val="00D7566D"/>
    <w:rsid w:val="00D83649"/>
    <w:rsid w:val="00D87587"/>
    <w:rsid w:val="00DB2944"/>
    <w:rsid w:val="00DB40E1"/>
    <w:rsid w:val="00DC36B3"/>
    <w:rsid w:val="00DC546F"/>
    <w:rsid w:val="00DD4F1D"/>
    <w:rsid w:val="00DD51AC"/>
    <w:rsid w:val="00DD6A98"/>
    <w:rsid w:val="00DD6E70"/>
    <w:rsid w:val="00DE160E"/>
    <w:rsid w:val="00DE2FE2"/>
    <w:rsid w:val="00DF7995"/>
    <w:rsid w:val="00E00A74"/>
    <w:rsid w:val="00E138BE"/>
    <w:rsid w:val="00E14B73"/>
    <w:rsid w:val="00E15B0F"/>
    <w:rsid w:val="00E31F8B"/>
    <w:rsid w:val="00E369A8"/>
    <w:rsid w:val="00E37213"/>
    <w:rsid w:val="00E477ED"/>
    <w:rsid w:val="00E519D6"/>
    <w:rsid w:val="00E77152"/>
    <w:rsid w:val="00E9627C"/>
    <w:rsid w:val="00EA0F01"/>
    <w:rsid w:val="00EA72BF"/>
    <w:rsid w:val="00EB4126"/>
    <w:rsid w:val="00EB7EFC"/>
    <w:rsid w:val="00EC15A9"/>
    <w:rsid w:val="00EC671C"/>
    <w:rsid w:val="00ED1BAF"/>
    <w:rsid w:val="00ED294A"/>
    <w:rsid w:val="00ED588F"/>
    <w:rsid w:val="00F04AAA"/>
    <w:rsid w:val="00F0657C"/>
    <w:rsid w:val="00F10780"/>
    <w:rsid w:val="00F30F1B"/>
    <w:rsid w:val="00F30F21"/>
    <w:rsid w:val="00F323D8"/>
    <w:rsid w:val="00F37463"/>
    <w:rsid w:val="00F43158"/>
    <w:rsid w:val="00F63476"/>
    <w:rsid w:val="00F75706"/>
    <w:rsid w:val="00F8004F"/>
    <w:rsid w:val="00F8158C"/>
    <w:rsid w:val="00F81F78"/>
    <w:rsid w:val="00F87667"/>
    <w:rsid w:val="00FA0A5C"/>
    <w:rsid w:val="00FA39CE"/>
    <w:rsid w:val="00FA795D"/>
    <w:rsid w:val="00FB673D"/>
    <w:rsid w:val="674E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 w:type="paragraph" w:styleId="11">
    <w:name w:val="List Paragraph"/>
    <w:basedOn w:val="1"/>
    <w:qFormat/>
    <w:uiPriority w:val="34"/>
    <w:pPr>
      <w:ind w:firstLine="420" w:firstLineChars="200"/>
    </w:pPr>
  </w:style>
  <w:style w:type="paragraph" w:customStyle="1" w:styleId="12">
    <w:name w:val="Char Char Char Char"/>
    <w:basedOn w:val="1"/>
    <w:next w:val="1"/>
    <w:uiPriority w:val="0"/>
    <w:pPr>
      <w:spacing w:line="360" w:lineRule="auto"/>
      <w:ind w:left="100" w:leftChars="100" w:right="100" w:rightChars="100"/>
      <w:jc w:val="left"/>
    </w:pPr>
    <w:rPr>
      <w:rFonts w:ascii="Times New Roman" w:hAnsi="Times New Roman" w:eastAsia="宋体" w:cs="Times New Roman"/>
      <w:sz w:val="28"/>
      <w:szCs w:val="24"/>
    </w:rPr>
  </w:style>
  <w:style w:type="table" w:customStyle="1" w:styleId="13">
    <w:name w:val="网格型1"/>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2DC8-5C7A-482B-9E60-7FDC21F7E31C}">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2441</Words>
  <Characters>2539</Characters>
  <Lines>18</Lines>
  <Paragraphs>5</Paragraphs>
  <TotalTime>1644</TotalTime>
  <ScaleCrop>false</ScaleCrop>
  <LinksUpToDate>false</LinksUpToDate>
  <CharactersWithSpaces>2544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2019-01-25T08:46:00Z</dcterms:created>
  <dc:creator>Chinese User</dc:creator>
  <cp:lastModifiedBy>user</cp:lastModifiedBy>
  <cp:lastPrinted>2019-10-23T08:46:00Z</cp:lastPrinted>
  <dcterms:modified xsi:type="dcterms:W3CDTF">2022-11-10T12:16:14Z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64556A08D38D43A6AE76F4ACF4909A5D</vt:lpwstr>
  </property>
</Properties>
</file>