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overflowPunct w:val="0"/>
        <w:spacing w:line="560" w:lineRule="exact"/>
      </w:pPr>
    </w:p>
    <w:p>
      <w:pPr>
        <w:overflowPunct w:val="0"/>
        <w:spacing w:line="560" w:lineRule="exact"/>
        <w:jc w:val="center"/>
        <w:rPr>
          <w:rStyle w:val="5"/>
          <w:rFonts w:hint="default" w:ascii="方正小标宋简体" w:hAnsi="方正小标宋简体" w:eastAsia="方正小标宋简体" w:cs="方正小标宋简体"/>
          <w:kern w:val="2"/>
          <w:sz w:val="44"/>
          <w:szCs w:val="44"/>
        </w:rPr>
      </w:pPr>
      <w:r>
        <w:rPr>
          <w:rStyle w:val="5"/>
          <w:rFonts w:hint="default" w:ascii="方正小标宋简体" w:hAnsi="方正小标宋简体" w:eastAsia="方正小标宋简体" w:cs="方正小标宋简体"/>
          <w:kern w:val="2"/>
          <w:sz w:val="44"/>
          <w:szCs w:val="44"/>
        </w:rPr>
        <w:t>深圳市人民政府关于将一批市（区）级行政</w:t>
      </w:r>
    </w:p>
    <w:p>
      <w:pPr>
        <w:overflowPunct w:val="0"/>
        <w:spacing w:line="560" w:lineRule="exact"/>
        <w:jc w:val="center"/>
        <w:rPr>
          <w:rStyle w:val="5"/>
          <w:rFonts w:hint="default" w:ascii="方正小标宋简体" w:hAnsi="方正小标宋简体" w:eastAsia="方正小标宋简体" w:cs="方正小标宋简体"/>
          <w:kern w:val="2"/>
          <w:sz w:val="44"/>
          <w:szCs w:val="44"/>
        </w:rPr>
      </w:pPr>
      <w:r>
        <w:rPr>
          <w:rStyle w:val="5"/>
          <w:rFonts w:hint="default" w:ascii="方正小标宋简体" w:hAnsi="方正小标宋简体" w:eastAsia="方正小标宋简体" w:cs="方正小标宋简体"/>
          <w:kern w:val="2"/>
          <w:sz w:val="44"/>
          <w:szCs w:val="44"/>
        </w:rPr>
        <w:t>职权事项调整由前海管理局、前海地方金融</w:t>
      </w:r>
    </w:p>
    <w:p>
      <w:pPr>
        <w:overflowPunct w:val="0"/>
        <w:spacing w:line="560" w:lineRule="exact"/>
        <w:jc w:val="center"/>
        <w:rPr>
          <w:rStyle w:val="5"/>
          <w:rFonts w:hint="default" w:ascii="方正小标宋简体" w:hAnsi="方正小标宋简体" w:eastAsia="方正小标宋简体" w:cs="方正小标宋简体"/>
          <w:kern w:val="2"/>
          <w:sz w:val="44"/>
          <w:szCs w:val="44"/>
        </w:rPr>
      </w:pPr>
      <w:r>
        <w:rPr>
          <w:rStyle w:val="5"/>
          <w:rFonts w:hint="default" w:ascii="方正小标宋简体" w:hAnsi="方正小标宋简体" w:eastAsia="方正小标宋简体" w:cs="方正小标宋简体"/>
          <w:kern w:val="2"/>
          <w:sz w:val="44"/>
          <w:szCs w:val="44"/>
        </w:rPr>
        <w:t>监督管理局在前海合作区实施的决定</w:t>
      </w:r>
    </w:p>
    <w:p>
      <w:pPr>
        <w:overflowPunct w:val="0"/>
        <w:spacing w:line="560" w:lineRule="exact"/>
        <w:jc w:val="center"/>
        <w:rPr>
          <w:rStyle w:val="5"/>
          <w:rFonts w:hint="eastAsia" w:ascii="方正小标宋简体" w:hAnsi="方正小标宋简体" w:eastAsia="方正小标宋简体" w:cs="方正小标宋简体"/>
          <w:kern w:val="2"/>
          <w:sz w:val="44"/>
          <w:szCs w:val="44"/>
          <w:lang w:eastAsia="zh-CN"/>
        </w:rPr>
      </w:pPr>
      <w:r>
        <w:rPr>
          <w:rStyle w:val="5"/>
          <w:rFonts w:hint="eastAsia" w:ascii="方正小标宋简体" w:hAnsi="方正小标宋简体" w:eastAsia="方正小标宋简体" w:cs="方正小标宋简体"/>
          <w:kern w:val="2"/>
          <w:sz w:val="44"/>
          <w:szCs w:val="44"/>
          <w:lang w:eastAsia="zh-CN"/>
        </w:rPr>
        <w:t>（征求意见稿）</w:t>
      </w:r>
    </w:p>
    <w:p>
      <w:pPr>
        <w:overflowPunct w:val="0"/>
        <w:spacing w:line="560" w:lineRule="exact"/>
        <w:jc w:val="center"/>
        <w:rPr>
          <w:rStyle w:val="5"/>
          <w:rFonts w:hint="default" w:ascii="方正小标宋简体" w:hAnsi="方正小标宋简体" w:eastAsia="方正小标宋简体" w:cs="方正小标宋简体"/>
          <w:kern w:val="2"/>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为贯彻落实党中央、国务院决策部署和市委、市政府工作安排，全面深化前海合作区改革开放，市人民政府决定将</w:t>
      </w:r>
      <w:r>
        <w:rPr>
          <w:rFonts w:ascii="仿宋_GB2312" w:hAnsi="Calibri" w:eastAsia="仿宋_GB2312" w:cs="Times New Roman"/>
          <w:sz w:val="32"/>
          <w:szCs w:val="32"/>
        </w:rPr>
        <w:t>97项市（区）级行政职权事项调整由</w:t>
      </w:r>
      <w:r>
        <w:rPr>
          <w:rFonts w:hint="eastAsia" w:ascii="仿宋_GB2312" w:hAnsi="Calibri" w:eastAsia="仿宋_GB2312" w:cs="Times New Roman"/>
          <w:sz w:val="32"/>
          <w:szCs w:val="32"/>
        </w:rPr>
        <w:t>市</w:t>
      </w:r>
      <w:r>
        <w:rPr>
          <w:rFonts w:ascii="仿宋_GB2312" w:hAnsi="Calibri" w:eastAsia="仿宋_GB2312" w:cs="Times New Roman"/>
          <w:sz w:val="32"/>
          <w:szCs w:val="32"/>
        </w:rPr>
        <w:t>前海深港现代服务业合作区管理局（以下简称前海管理局）实施、11</w:t>
      </w:r>
      <w:r>
        <w:rPr>
          <w:rFonts w:hint="eastAsia" w:ascii="仿宋_GB2312" w:hAnsi="Calibri" w:eastAsia="仿宋_GB2312" w:cs="Times New Roman"/>
          <w:sz w:val="32"/>
          <w:szCs w:val="32"/>
        </w:rPr>
        <w:t>项市级行政职权事项调整由市前海地方金融监督管理局（以下简称前海地方金融监管局）</w:t>
      </w:r>
      <w:r>
        <w:rPr>
          <w:rFonts w:ascii="仿宋_GB2312" w:hAnsi="Calibri" w:eastAsia="仿宋_GB2312" w:cs="Times New Roman"/>
          <w:sz w:val="32"/>
          <w:szCs w:val="32"/>
        </w:rPr>
        <w:t>实施。在前海合作区范围内，市有关部门、南山区、宝安区不再实施相同管理权限。</w:t>
      </w:r>
    </w:p>
    <w:p>
      <w:pPr>
        <w:keepNext w:val="0"/>
        <w:keepLines w:val="0"/>
        <w:overflowPunct w:val="0"/>
        <w:spacing w:line="56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前海管理局、</w:t>
      </w:r>
      <w:r>
        <w:rPr>
          <w:rFonts w:hint="eastAsia" w:ascii="仿宋_GB2312" w:hAnsi="Calibri" w:eastAsia="仿宋_GB2312" w:cs="Times New Roman"/>
          <w:sz w:val="32"/>
          <w:szCs w:val="32"/>
        </w:rPr>
        <w:t>前海</w:t>
      </w:r>
      <w:r>
        <w:rPr>
          <w:rFonts w:ascii="仿宋_GB2312" w:hAnsi="Calibri" w:eastAsia="仿宋_GB2312" w:cs="Times New Roman"/>
          <w:sz w:val="32"/>
          <w:szCs w:val="32"/>
        </w:rPr>
        <w:t>地方金融监管局</w:t>
      </w:r>
      <w:r>
        <w:rPr>
          <w:rFonts w:hint="eastAsia" w:ascii="仿宋_GB2312" w:hAnsi="Calibri" w:eastAsia="仿宋_GB2312" w:cs="Times New Roman"/>
          <w:sz w:val="32"/>
          <w:szCs w:val="32"/>
        </w:rPr>
        <w:t>与</w:t>
      </w:r>
      <w:r>
        <w:rPr>
          <w:rFonts w:ascii="仿宋_GB2312" w:hAnsi="Calibri" w:eastAsia="仿宋_GB2312" w:cs="Times New Roman"/>
          <w:sz w:val="32"/>
          <w:szCs w:val="32"/>
        </w:rPr>
        <w:t>市有关部门、南山区、宝安区应当依法做好管理权限调整的交接和实施工作，切实提高效率、优化服务、防控风险，确保相关</w:t>
      </w:r>
      <w:r>
        <w:rPr>
          <w:rFonts w:hint="eastAsia" w:ascii="仿宋_GB2312" w:hAnsi="Calibri" w:eastAsia="仿宋_GB2312" w:cs="Times New Roman"/>
          <w:sz w:val="32"/>
          <w:szCs w:val="32"/>
        </w:rPr>
        <w:t>行政职权事项</w:t>
      </w:r>
      <w:r>
        <w:rPr>
          <w:rFonts w:ascii="仿宋_GB2312" w:hAnsi="Calibri" w:eastAsia="仿宋_GB2312" w:cs="Times New Roman"/>
          <w:sz w:val="32"/>
          <w:szCs w:val="32"/>
        </w:rPr>
        <w:t>放得下、接得住、管得好。市有关部门应当按照各自职责，加强指导和监督，适时向市人民政府提出完善实施工作的建议。</w:t>
      </w:r>
    </w:p>
    <w:p>
      <w:pPr>
        <w:keepNext w:val="0"/>
        <w:keepLines w:val="0"/>
        <w:pageBreakBefore w:val="0"/>
        <w:widowControl w:val="0"/>
        <w:kinsoku/>
        <w:wordWrap/>
        <w:overflowPunct w:val="0"/>
        <w:topLinePunct w:val="0"/>
        <w:autoSpaceDE/>
        <w:autoSpaceDN/>
        <w:bidi w:val="0"/>
        <w:adjustRightInd/>
        <w:snapToGrid/>
        <w:spacing w:line="560" w:lineRule="exact"/>
        <w:ind w:left="2046" w:leftChars="304" w:hanging="1408" w:hangingChars="44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附件：</w:t>
      </w:r>
      <w:r>
        <w:rPr>
          <w:rFonts w:hint="eastAsia" w:ascii="仿宋_GB2312" w:hAnsi="仿宋_GB2312" w:eastAsia="仿宋_GB2312" w:cs="仿宋_GB2312"/>
          <w:sz w:val="32"/>
          <w:szCs w:val="32"/>
        </w:rPr>
        <w:t>1.调整由前海管理局</w:t>
      </w:r>
      <w:r>
        <w:rPr>
          <w:rFonts w:hint="eastAsia" w:ascii="仿宋_GB2312" w:hAnsi="Calibri" w:eastAsia="仿宋_GB2312" w:cs="Times New Roman"/>
          <w:sz w:val="32"/>
          <w:szCs w:val="32"/>
        </w:rPr>
        <w:t>在</w:t>
      </w:r>
      <w:r>
        <w:rPr>
          <w:rFonts w:ascii="仿宋_GB2312" w:hAnsi="Calibri" w:eastAsia="仿宋_GB2312" w:cs="Times New Roman"/>
          <w:sz w:val="32"/>
          <w:szCs w:val="32"/>
        </w:rPr>
        <w:t>前海合作区</w:t>
      </w:r>
      <w:r>
        <w:rPr>
          <w:rFonts w:hint="eastAsia" w:ascii="仿宋_GB2312" w:hAnsi="仿宋_GB2312" w:eastAsia="仿宋_GB2312" w:cs="仿宋_GB2312"/>
          <w:sz w:val="32"/>
          <w:szCs w:val="32"/>
        </w:rPr>
        <w:t>实施的市（区）级行政职权事项目录</w:t>
      </w:r>
      <w:r>
        <w:rPr>
          <w:rFonts w:ascii="仿宋_GB2312" w:hAnsi="仿宋_GB2312" w:eastAsia="仿宋_GB2312" w:cs="仿宋_GB2312"/>
          <w:sz w:val="32"/>
          <w:szCs w:val="32"/>
        </w:rPr>
        <w:t>（共97项）</w:t>
      </w:r>
    </w:p>
    <w:p>
      <w:pPr>
        <w:overflowPunct w:val="0"/>
        <w:spacing w:line="560" w:lineRule="exact"/>
        <w:ind w:left="2082" w:leftChars="740" w:hanging="528" w:hangingChars="16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.调整由前海地方金融监督管理局</w:t>
      </w:r>
      <w:r>
        <w:rPr>
          <w:rFonts w:hint="eastAsia" w:ascii="仿宋_GB2312" w:hAnsi="Calibri" w:eastAsia="仿宋_GB2312" w:cs="Times New Roman"/>
          <w:sz w:val="32"/>
          <w:szCs w:val="32"/>
        </w:rPr>
        <w:t>在</w:t>
      </w:r>
      <w:r>
        <w:rPr>
          <w:rFonts w:ascii="仿宋_GB2312" w:hAnsi="Calibri" w:eastAsia="仿宋_GB2312" w:cs="Times New Roman"/>
          <w:sz w:val="32"/>
          <w:szCs w:val="32"/>
        </w:rPr>
        <w:t>前海合作区</w:t>
      </w:r>
      <w:r>
        <w:rPr>
          <w:rFonts w:hint="eastAsia" w:ascii="仿宋_GB2312" w:hAnsi="仿宋_GB2312" w:eastAsia="仿宋_GB2312" w:cs="仿宋_GB2312"/>
          <w:sz w:val="32"/>
          <w:szCs w:val="32"/>
        </w:rPr>
        <w:t>实施的市级行政职权事项目录（共1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w:t>
      </w:r>
    </w:p>
    <w:p>
      <w:pPr>
        <w:overflowPunct w:val="0"/>
        <w:spacing w:line="560" w:lineRule="exact"/>
        <w:ind w:left="2082" w:leftChars="740" w:hanging="528" w:hangingChars="165"/>
        <w:jc w:val="left"/>
        <w:rPr>
          <w:rFonts w:hint="eastAsia" w:ascii="仿宋_GB2312" w:hAnsi="仿宋_GB2312" w:eastAsia="仿宋_GB2312" w:cs="仿宋_GB2312"/>
          <w:sz w:val="32"/>
          <w:szCs w:val="32"/>
        </w:rPr>
      </w:pPr>
    </w:p>
    <w:p>
      <w:pPr>
        <w:overflowPunct w:val="0"/>
        <w:spacing w:line="560" w:lineRule="exact"/>
        <w:ind w:left="2082" w:leftChars="740" w:hanging="528" w:hangingChars="165"/>
        <w:jc w:val="left"/>
        <w:rPr>
          <w:rFonts w:hint="eastAsia" w:ascii="仿宋_GB2312" w:hAnsi="仿宋_GB2312" w:eastAsia="仿宋_GB2312" w:cs="仿宋_GB2312"/>
          <w:sz w:val="32"/>
          <w:szCs w:val="32"/>
        </w:rPr>
      </w:pPr>
    </w:p>
    <w:p>
      <w:pPr>
        <w:overflowPunct w:val="0"/>
        <w:spacing w:line="560" w:lineRule="exact"/>
        <w:ind w:left="2082" w:leftChars="740" w:hanging="528" w:hangingChars="165"/>
        <w:jc w:val="left"/>
        <w:rPr>
          <w:rFonts w:hint="eastAsia" w:ascii="仿宋_GB2312" w:hAnsi="仿宋_GB2312" w:eastAsia="仿宋_GB2312" w:cs="仿宋_GB2312"/>
          <w:sz w:val="32"/>
          <w:szCs w:val="32"/>
        </w:rPr>
      </w:pPr>
    </w:p>
    <w:p>
      <w:pPr>
        <w:overflowPunct w:val="0"/>
        <w:spacing w:line="560" w:lineRule="exact"/>
        <w:ind w:left="0" w:leftChars="0" w:firstLine="0" w:firstLineChars="0"/>
        <w:jc w:val="left"/>
        <w:rPr>
          <w:rFonts w:hint="eastAsia" w:ascii="仿宋_GB2312" w:hAnsi="仿宋_GB2312" w:eastAsia="仿宋_GB2312" w:cs="仿宋_GB2312"/>
          <w:sz w:val="32"/>
          <w:szCs w:val="32"/>
        </w:rPr>
      </w:pPr>
    </w:p>
    <w:p>
      <w:pPr>
        <w:overflowPunct w:val="0"/>
        <w:spacing w:line="560" w:lineRule="exact"/>
        <w:ind w:left="2082" w:leftChars="740" w:hanging="528" w:hangingChars="165"/>
        <w:jc w:val="left"/>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1868" w:leftChars="775" w:hanging="240" w:hangingChars="75"/>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深圳市</w:t>
      </w:r>
      <w:r>
        <w:rPr>
          <w:rFonts w:ascii="仿宋_GB2312" w:hAnsi="仿宋_GB2312" w:eastAsia="仿宋_GB2312" w:cs="仿宋_GB2312"/>
          <w:sz w:val="32"/>
          <w:szCs w:val="32"/>
        </w:rPr>
        <w:t>人民政府</w:t>
      </w:r>
    </w:p>
    <w:p>
      <w:pPr>
        <w:overflowPunct w:val="0"/>
        <w:spacing w:line="560" w:lineRule="exact"/>
        <w:ind w:left="1868" w:leftChars="775" w:right="0" w:hanging="240" w:hangingChars="75"/>
        <w:jc w:val="right"/>
        <w:rPr>
          <w:rFonts w:ascii="仿宋_GB2312" w:hAnsi="仿宋_GB2312" w:eastAsia="仿宋_GB2312" w:cs="仿宋_GB2312"/>
          <w:sz w:val="32"/>
          <w:szCs w:val="32"/>
        </w:rPr>
        <w:sectPr>
          <w:footerReference r:id="rId3" w:type="default"/>
          <w:pgSz w:w="11906" w:h="16838"/>
          <w:pgMar w:top="2098" w:right="1474" w:bottom="1984" w:left="1587" w:header="851" w:footer="992" w:gutter="0"/>
          <w:pgNumType w:fmt="numberInDash"/>
          <w:cols w:space="720" w:num="1"/>
          <w:docGrid w:type="lines" w:linePitch="312" w:charSpace="0"/>
        </w:sect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XXXX</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日</w:t>
      </w:r>
    </w:p>
    <w:p>
      <w:pPr>
        <w:overflowPunct w:val="0"/>
        <w:spacing w:line="560" w:lineRule="exact"/>
        <w:jc w:val="left"/>
        <w:rPr>
          <w:rStyle w:val="5"/>
          <w:rFonts w:hint="eastAsia" w:ascii="黑体" w:hAnsi="黑体" w:eastAsia="黑体" w:cs="黑体"/>
          <w:kern w:val="2"/>
          <w:sz w:val="32"/>
          <w:szCs w:val="32"/>
          <w:lang w:val="en-US" w:eastAsia="zh-CN"/>
        </w:rPr>
      </w:pPr>
      <w:r>
        <w:rPr>
          <w:rStyle w:val="5"/>
          <w:rFonts w:hint="eastAsia" w:ascii="黑体" w:hAnsi="黑体" w:eastAsia="黑体" w:cs="黑体"/>
          <w:kern w:val="2"/>
          <w:sz w:val="32"/>
          <w:szCs w:val="32"/>
          <w:lang w:eastAsia="zh-CN"/>
        </w:rPr>
        <w:t>附件</w:t>
      </w:r>
      <w:r>
        <w:rPr>
          <w:rStyle w:val="5"/>
          <w:rFonts w:hint="eastAsia" w:ascii="黑体" w:hAnsi="黑体" w:eastAsia="黑体" w:cs="黑体"/>
          <w:kern w:val="2"/>
          <w:sz w:val="32"/>
          <w:szCs w:val="32"/>
          <w:lang w:val="en-US" w:eastAsia="zh-CN"/>
        </w:rPr>
        <w:t>1</w:t>
      </w:r>
    </w:p>
    <w:p>
      <w:pPr>
        <w:overflowPunct w:val="0"/>
        <w:spacing w:line="560" w:lineRule="exact"/>
        <w:jc w:val="center"/>
        <w:rPr>
          <w:rStyle w:val="5"/>
          <w:rFonts w:hint="default" w:ascii="方正小标宋简体" w:hAnsi="方正小标宋简体" w:eastAsia="方正小标宋简体" w:cs="方正小标宋简体"/>
          <w:kern w:val="2"/>
          <w:sz w:val="44"/>
          <w:szCs w:val="44"/>
        </w:rPr>
      </w:pPr>
    </w:p>
    <w:p>
      <w:pPr>
        <w:overflowPunct w:val="0"/>
        <w:spacing w:line="560" w:lineRule="exact"/>
        <w:jc w:val="center"/>
        <w:rPr>
          <w:rStyle w:val="5"/>
          <w:rFonts w:hint="eastAsia" w:hAnsi="方正小标宋简体" w:cs="方正小标宋简体"/>
        </w:rPr>
      </w:pPr>
      <w:r>
        <w:rPr>
          <w:rStyle w:val="5"/>
          <w:rFonts w:hint="default" w:ascii="方正小标宋简体" w:hAnsi="方正小标宋简体" w:eastAsia="方正小标宋简体" w:cs="方正小标宋简体"/>
          <w:kern w:val="2"/>
          <w:sz w:val="44"/>
          <w:szCs w:val="44"/>
        </w:rPr>
        <w:t>调整由前海管理局在前海合作区实施的市（区）级行政职权事项目录（共97项）</w:t>
      </w:r>
    </w:p>
    <w:p>
      <w:pPr>
        <w:overflowPunct w:val="0"/>
        <w:spacing w:line="560" w:lineRule="exact"/>
        <w:jc w:val="center"/>
        <w:rPr>
          <w:rStyle w:val="5"/>
          <w:rFonts w:ascii="方正小标宋简体" w:hAnsi="方正小标宋简体" w:eastAsia="方正小标宋简体" w:cs="方正小标宋简体"/>
          <w:sz w:val="44"/>
          <w:szCs w:val="44"/>
        </w:rPr>
      </w:pPr>
    </w:p>
    <w:tbl>
      <w:tblPr>
        <w:tblStyle w:val="4"/>
        <w:tblW w:w="9379" w:type="dxa"/>
        <w:jc w:val="center"/>
        <w:tblLayout w:type="autofit"/>
        <w:tblCellMar>
          <w:top w:w="0" w:type="dxa"/>
          <w:left w:w="108" w:type="dxa"/>
          <w:bottom w:w="0" w:type="dxa"/>
          <w:right w:w="108" w:type="dxa"/>
        </w:tblCellMar>
      </w:tblPr>
      <w:tblGrid>
        <w:gridCol w:w="950"/>
        <w:gridCol w:w="1533"/>
        <w:gridCol w:w="2543"/>
        <w:gridCol w:w="1847"/>
        <w:gridCol w:w="2506"/>
      </w:tblGrid>
      <w:tr>
        <w:tblPrEx>
          <w:tblCellMar>
            <w:top w:w="0" w:type="dxa"/>
            <w:left w:w="108" w:type="dxa"/>
            <w:bottom w:w="0" w:type="dxa"/>
            <w:right w:w="108" w:type="dxa"/>
          </w:tblCellMar>
        </w:tblPrEx>
        <w:trPr>
          <w:trHeight w:val="585" w:hRule="atLeast"/>
          <w:tblHeader/>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序号</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事项类型</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事项名称</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市主管部门</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备注</w:t>
            </w:r>
          </w:p>
        </w:tc>
      </w:tr>
      <w:tr>
        <w:tblPrEx>
          <w:tblCellMar>
            <w:top w:w="0" w:type="dxa"/>
            <w:left w:w="108" w:type="dxa"/>
            <w:bottom w:w="0" w:type="dxa"/>
            <w:right w:w="108" w:type="dxa"/>
          </w:tblCellMar>
        </w:tblPrEx>
        <w:trPr>
          <w:trHeight w:val="686"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固定资产投资项目核准（含国发〔2016〕72号文件规定的外商投资项目）</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市发展改革委</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仅限企业投资项目核准。</w:t>
            </w:r>
          </w:p>
        </w:tc>
      </w:tr>
      <w:tr>
        <w:tblPrEx>
          <w:tblCellMar>
            <w:top w:w="0" w:type="dxa"/>
            <w:left w:w="108" w:type="dxa"/>
            <w:bottom w:w="0" w:type="dxa"/>
            <w:right w:w="108" w:type="dxa"/>
          </w:tblCellMar>
        </w:tblPrEx>
        <w:trPr>
          <w:trHeight w:val="713"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政府投资项目审批</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市发展改革委</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仅限使用前海合作区本级财政性资金的政府投资项目审批。</w:t>
            </w:r>
          </w:p>
        </w:tc>
      </w:tr>
      <w:tr>
        <w:tblPrEx>
          <w:tblCellMar>
            <w:top w:w="0" w:type="dxa"/>
            <w:left w:w="108" w:type="dxa"/>
            <w:bottom w:w="0" w:type="dxa"/>
            <w:right w:w="108" w:type="dxa"/>
          </w:tblCellMar>
        </w:tblPrEx>
        <w:trPr>
          <w:trHeight w:val="550"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企业投资项目备案</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市发展改革委</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44"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限额以下国家鼓励发展的内资项目确认书核发</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市发展改革委</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52"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境外投资备案</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市商务局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74"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建设用地、临时建设用地规划许可</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行政确认</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建设工程规划条件核实合格证核发</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地名命名、更名审批</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51"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国有建设用地使用权出让后土地使用权分割转让批准</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临时用地审批</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建设工程、临时建设工程规划许可</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出具法定图则修改核查意见</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出具建设工程方案设计核查意见（建筑类）</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建设工程验线</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国有企业改制土地资产处置方案审核</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土地使用权出让合同主体变更</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17</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建设工程方案设计招标备案</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51"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18</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房地产登记历史遗留问题补办规划确认文件和用地文件</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51"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19</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城市噪声敏感建筑集中区域内连续施工作业审批</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市生态环境局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仅限深圳市前海合作区建设工程中午或者夜间施工作业证明核发。</w:t>
            </w: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留学回国人员引进</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市人力资源保障局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51"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企业实行不定时工作制和综合计算工时工作制审批</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市人力资源保障局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商品房预售许可</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市住房建设局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23</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建筑工程施工许可</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市住房建设局、市水务局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建设工程公开招标改邀请招标或直接发包审批</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市住房建设局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51"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25</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建设工程项目使用袋装水泥和现场搅拌混凝土行政许可</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市住房建设局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仅限建设工程项目现场搅拌混凝土核准。</w:t>
            </w: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26</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深圳市建设工程竣工验收备案</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市住房建设局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960"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27</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建设工程招标公告（投标邀请书）和招标组织形式备案</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市住房建设局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1533"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28</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水利基建项目初步设计文件审批</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市水务局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仅限前海合作区范围内的河道堤防工程建设项目可行性研究及初步设计文件审批（西海堤、双界河除外）。</w:t>
            </w:r>
          </w:p>
        </w:tc>
      </w:tr>
      <w:tr>
        <w:tblPrEx>
          <w:tblCellMar>
            <w:top w:w="0" w:type="dxa"/>
            <w:left w:w="108" w:type="dxa"/>
            <w:bottom w:w="0" w:type="dxa"/>
            <w:right w:w="108" w:type="dxa"/>
          </w:tblCellMar>
        </w:tblPrEx>
        <w:trPr>
          <w:trHeight w:val="1270"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29</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洪水影响评价类审批</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市水务局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仅限前海合作区河道管理范围内建设项目工程建设方案审批（西海堤、双界河除外）。</w:t>
            </w: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30</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生产建设项目水土保持方案审批</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市水务局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城镇污水排入排水管网许可</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市水务局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城镇排水与污水处理设施竣工验收备案</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市水务局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拆除、改动城镇排水与污水处理设施审核</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市水务局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696"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34</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印刷企业设立、变更、兼并、合并、分立审批</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市委宣传部（市新闻出版局）</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仅限印刷品印刷企业设立、变更审批。</w:t>
            </w: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35</w:t>
            </w:r>
          </w:p>
        </w:tc>
        <w:tc>
          <w:tcPr>
            <w:tcW w:w="153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应建防空地下室的民用建筑项目报建审批</w:t>
            </w:r>
          </w:p>
        </w:tc>
        <w:tc>
          <w:tcPr>
            <w:tcW w:w="1847"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市人防办</w:t>
            </w:r>
          </w:p>
        </w:tc>
        <w:tc>
          <w:tcPr>
            <w:tcW w:w="2506" w:type="dxa"/>
            <w:tcBorders>
              <w:top w:val="nil"/>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36</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拆除人民防空工程审批</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市人防办</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37</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行政裁决</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土地、林地权属争议调处</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仅限土地权属争议调处。</w:t>
            </w: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38</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城市更新单元计划审查</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96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39</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对已批准法定图则强制性内容作出调整或城市更新单元所在地区未制定法定图则的城市更新单元规划审查</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96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40</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未对已批准法定图则强制性内容作出调整的城市更新单元规划审查</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城市更新单元土地信息核查</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城市更新单元旧屋村范围认定</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96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43</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城市更新单元拟拆除重建范围内土地、建筑物权属认定文件核发</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44</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行政确认</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拆除重建类城市更新项目实施主体资格确认</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45</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城市更新项目建设用地的批准</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46</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城市更新历史用地处置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47</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土地使用权出让合同签订</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48</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土地使用权出让合同签订（城市更新项目）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土地使用权出让合同内容变更</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50</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土地使用权出让合同内容变更（城市更新项目）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51"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建设用地规划许可证核发与土地使用权出让合同签订</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51"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建设用地规划许可证与土地使用权出让合同内容变更</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建设用地规划许可证与国有土地划拨决定书核发</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54</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高新技术项目用地抵押审核</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55</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高新技术项目用地抵押审核（城市更新项目）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56</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建设工程桩基础报建证明书核发</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51"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57</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建设工程桩基础报建证明书核发（城市更新项目）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58</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出具《付清地价款证明》</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59</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出具《付清地价款证明》（城市更新项目）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60</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土地使用权预查封登记（城市更新项目）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61</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建设工程方案设计招标备案（城市更新项目）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51"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62</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出具建设工程方案设计核查意见（建筑类）（城市更新项目）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51"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出具建设工程方案设计核查意见（市政类）（城市更新项目）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出具建设工程方案设计核查意见（市政类）</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65</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建设工程验线（城市更新项目）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51"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66</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行政确认</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建设工程规划条件核实合格证核发（城市更新项目）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67</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超期开竣工处理（城市更新项目）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68</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国有企业改制土地资产估价报告备案</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96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69</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划拨土地使用权和地上建筑物及附着物所有权转让、出租、抵押审批</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70</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highlight w:val="yellow"/>
              </w:rPr>
            </w:pP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highlight w:val="yellow"/>
              </w:rPr>
            </w:pPr>
            <w:r>
              <w:rPr>
                <w:rFonts w:hint="eastAsia" w:ascii="仿宋_GB2312" w:hAnsi="仿宋_GB2312" w:eastAsia="仿宋_GB2312" w:cs="仿宋_GB2312"/>
                <w:color w:val="000000"/>
                <w:kern w:val="0"/>
                <w:sz w:val="32"/>
                <w:szCs w:val="32"/>
              </w:rPr>
              <w:t>政府储备建设用地使用权出让、租赁审批</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71</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土地供应方案审批</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72</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农用地转用实施方案审批</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73</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地下管线信息查询</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74</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非农建设用地调整</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75</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非农建设用地划定</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76</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闲置土地处置</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77</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建设项目含临时用地土地复垦方案审批</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78</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签发划拨土地决定书</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79</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建设项目用地预审与选址意见书核发</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38"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80</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地名批复</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81</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地下空间开发利用规划方案核查</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出具规划设计要点</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851"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83</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行政划拨用地办理有偿使用手续及延长土地使用年期</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84</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海域使用政策咨询</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85</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ascii="仿宋_GB2312" w:hAnsi="仿宋_GB2312" w:eastAsia="仿宋_GB2312" w:cs="仿宋_GB2312"/>
                <w:kern w:val="0"/>
                <w:sz w:val="32"/>
                <w:szCs w:val="32"/>
              </w:rPr>
              <w:t>海域使用审核</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仅限临时海域使用权审批。</w:t>
            </w: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86</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海洋工程规划许可</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87</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海洋产业扶持计划</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88</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海洋功能区划成果查询</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89</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公共服务</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海洋功能区划政策咨询</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市规划和自然资源局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96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90</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建设工程施工许可（提前开工核准）变更登记、延期、停工登记、复工申请</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市住房建设局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不含市管建设工程、上级政府投资建设、“市投市建”政府投资建设工程。</w:t>
            </w:r>
          </w:p>
        </w:tc>
      </w:tr>
      <w:tr>
        <w:tblPrEx>
          <w:tblCellMar>
            <w:top w:w="0" w:type="dxa"/>
            <w:left w:w="108" w:type="dxa"/>
            <w:bottom w:w="0" w:type="dxa"/>
            <w:right w:w="108" w:type="dxa"/>
          </w:tblCellMar>
        </w:tblPrEx>
        <w:trPr>
          <w:trHeight w:val="96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公路建设项目施工许可</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市交通运输局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仅限政府投资和社会投资市政线性类工程施工许可证（非跨海湾主干道、非跨区主干道及以下等级道路项目及附属工程由前海管理局负责；跨海湾主干道、跨区主干道和城市快速路由市交通运输局负责）。</w:t>
            </w:r>
          </w:p>
        </w:tc>
      </w:tr>
      <w:tr>
        <w:tblPrEx>
          <w:tblCellMar>
            <w:top w:w="0" w:type="dxa"/>
            <w:left w:w="108" w:type="dxa"/>
            <w:bottom w:w="0" w:type="dxa"/>
            <w:right w:w="108" w:type="dxa"/>
          </w:tblCellMar>
        </w:tblPrEx>
        <w:trPr>
          <w:trHeight w:val="96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水利工程管理和保护范围内新建、扩建、改建的工程建设项目方案审批</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市水务局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96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93</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律师执业、变更执业机构许可（含香港、澳门永久性居民中的中国居民及台湾居民申请律师执业、变更执业机构）</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市司法局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仅限于法律、法规、规章设定或授权由市司法行政机关行使的相关权限。</w:t>
            </w:r>
          </w:p>
        </w:tc>
      </w:tr>
      <w:tr>
        <w:tblPrEx>
          <w:tblCellMar>
            <w:top w:w="0" w:type="dxa"/>
            <w:left w:w="108" w:type="dxa"/>
            <w:bottom w:w="0" w:type="dxa"/>
            <w:right w:w="108" w:type="dxa"/>
          </w:tblCellMar>
        </w:tblPrEx>
        <w:trPr>
          <w:trHeight w:val="96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94</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行政许可</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律师事务所及分所设立、变更、注销许可</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市司法局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仅限于法律、法规、规章设定或授权由市司法行政机关行使的相关权限。</w:t>
            </w:r>
          </w:p>
        </w:tc>
      </w:tr>
      <w:tr>
        <w:tblPrEx>
          <w:tblCellMar>
            <w:top w:w="0" w:type="dxa"/>
            <w:left w:w="108" w:type="dxa"/>
            <w:bottom w:w="0" w:type="dxa"/>
            <w:right w:w="108" w:type="dxa"/>
          </w:tblCellMar>
        </w:tblPrEx>
        <w:trPr>
          <w:trHeight w:val="96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95</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公司律师执业审核</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市司法局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仅限于法律、法规、规章设定或授权由市司法行政机关行使的相关权限。</w:t>
            </w:r>
          </w:p>
        </w:tc>
      </w:tr>
      <w:tr>
        <w:tblPrEx>
          <w:tblCellMar>
            <w:top w:w="0" w:type="dxa"/>
            <w:left w:w="108" w:type="dxa"/>
            <w:bottom w:w="0" w:type="dxa"/>
            <w:right w:w="108" w:type="dxa"/>
          </w:tblCellMar>
        </w:tblPrEx>
        <w:trPr>
          <w:trHeight w:val="96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96</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律师事务所（分所）执业许可证书补证、换证</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市司法局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仅限于法律、法规、规章设定或授权由市司法行政机关行使的相关权限。</w:t>
            </w:r>
          </w:p>
        </w:tc>
      </w:tr>
      <w:tr>
        <w:tblPrEx>
          <w:tblCellMar>
            <w:top w:w="0" w:type="dxa"/>
            <w:left w:w="108" w:type="dxa"/>
            <w:bottom w:w="0" w:type="dxa"/>
            <w:right w:w="108" w:type="dxa"/>
          </w:tblCellMar>
        </w:tblPrEx>
        <w:trPr>
          <w:trHeight w:val="96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97</w:t>
            </w:r>
          </w:p>
        </w:tc>
        <w:tc>
          <w:tcPr>
            <w:tcW w:w="153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其他行政权力</w:t>
            </w:r>
          </w:p>
        </w:tc>
        <w:tc>
          <w:tcPr>
            <w:tcW w:w="2543"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律师执业证书补证、换证</w:t>
            </w:r>
          </w:p>
        </w:tc>
        <w:tc>
          <w:tcPr>
            <w:tcW w:w="1847"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市司法局</w:t>
            </w:r>
          </w:p>
        </w:tc>
        <w:tc>
          <w:tcPr>
            <w:tcW w:w="2506" w:type="dxa"/>
            <w:tcBorders>
              <w:top w:val="single" w:color="auto" w:sz="4" w:space="0"/>
              <w:left w:val="nil"/>
              <w:bottom w:val="single" w:color="auto" w:sz="4" w:space="0"/>
              <w:right w:val="single" w:color="auto" w:sz="4" w:space="0"/>
            </w:tcBorders>
            <w:noWrap w:val="0"/>
            <w:vAlign w:val="center"/>
          </w:tcPr>
          <w:p>
            <w:pPr>
              <w:widowControl/>
              <w:overflowPunct w:val="0"/>
              <w:spacing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仅限于法律、法规、规章设定或授权由市司法行政机关行使的相关权限。</w:t>
            </w:r>
          </w:p>
        </w:tc>
      </w:tr>
    </w:tbl>
    <w:p>
      <w:pPr>
        <w:overflowPunct w:val="0"/>
        <w:spacing w:line="560" w:lineRule="exact"/>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overflowPunct w:val="0"/>
        <w:spacing w:line="560" w:lineRule="exact"/>
        <w:rPr>
          <w:rFonts w:hint="eastAsia" w:ascii="黑体" w:hAnsi="黑体" w:eastAsia="黑体" w:cs="黑体"/>
          <w:sz w:val="32"/>
          <w:szCs w:val="32"/>
        </w:rPr>
      </w:pPr>
    </w:p>
    <w:p>
      <w:pPr>
        <w:overflowPunct w:val="0"/>
        <w:spacing w:line="560" w:lineRule="exact"/>
        <w:rPr>
          <w:rFonts w:hint="eastAsia" w:ascii="黑体" w:hAnsi="黑体" w:eastAsia="黑体" w:cs="黑体"/>
          <w:sz w:val="32"/>
          <w:szCs w:val="32"/>
        </w:rPr>
      </w:pPr>
    </w:p>
    <w:p>
      <w:pPr>
        <w:overflowPunct w:val="0"/>
        <w:spacing w:line="56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附件2</w:t>
      </w:r>
    </w:p>
    <w:p>
      <w:pPr>
        <w:tabs>
          <w:tab w:val="center" w:pos="6979"/>
        </w:tabs>
        <w:overflowPunct w:val="0"/>
        <w:spacing w:line="560" w:lineRule="exact"/>
        <w:rPr>
          <w:rFonts w:ascii="方正小标宋简体" w:hAnsi="Calibri" w:eastAsia="方正小标宋简体" w:cs="Times New Roman"/>
          <w:sz w:val="44"/>
          <w:szCs w:val="44"/>
        </w:rPr>
      </w:pPr>
    </w:p>
    <w:p>
      <w:pPr>
        <w:pStyle w:val="6"/>
        <w:overflowPunct/>
        <w:spacing w:line="56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调整由前海地方金融</w:t>
      </w:r>
      <w:r>
        <w:rPr>
          <w:rFonts w:ascii="方正小标宋简体" w:hAnsi="Calibri" w:eastAsia="方正小标宋简体" w:cs="Times New Roman"/>
          <w:sz w:val="44"/>
          <w:szCs w:val="44"/>
        </w:rPr>
        <w:t>监督管理</w:t>
      </w:r>
      <w:r>
        <w:rPr>
          <w:rFonts w:hint="eastAsia" w:ascii="方正小标宋简体" w:hAnsi="Calibri" w:eastAsia="方正小标宋简体" w:cs="Times New Roman"/>
          <w:sz w:val="44"/>
          <w:szCs w:val="44"/>
        </w:rPr>
        <w:t>局在前海合作区实施的市级行政职权事项目录</w:t>
      </w:r>
    </w:p>
    <w:p>
      <w:pPr>
        <w:tabs>
          <w:tab w:val="left" w:pos="285"/>
          <w:tab w:val="center" w:pos="6979"/>
        </w:tabs>
        <w:overflowPunct w:val="0"/>
        <w:spacing w:line="560" w:lineRule="exact"/>
        <w:jc w:val="left"/>
        <w:rPr>
          <w:rFonts w:ascii="方正小标宋简体" w:hAnsi="Calibri" w:eastAsia="方正小标宋简体" w:cs="Times New Roman"/>
          <w:sz w:val="32"/>
          <w:szCs w:val="32"/>
        </w:rPr>
      </w:pPr>
    </w:p>
    <w:tbl>
      <w:tblPr>
        <w:tblStyle w:val="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1571"/>
        <w:gridCol w:w="3283"/>
        <w:gridCol w:w="2160"/>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94" w:type="dxa"/>
            <w:noWrap w:val="0"/>
            <w:vAlign w:val="center"/>
          </w:tcPr>
          <w:p>
            <w:pPr>
              <w:widowControl/>
              <w:overflowPunct w:val="0"/>
              <w:spacing w:line="560" w:lineRule="exact"/>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序号</w:t>
            </w:r>
          </w:p>
        </w:tc>
        <w:tc>
          <w:tcPr>
            <w:tcW w:w="1571" w:type="dxa"/>
            <w:noWrap w:val="0"/>
            <w:vAlign w:val="center"/>
          </w:tcPr>
          <w:p>
            <w:pPr>
              <w:widowControl/>
              <w:overflowPunct w:val="0"/>
              <w:spacing w:line="560" w:lineRule="exact"/>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事项类型</w:t>
            </w:r>
          </w:p>
        </w:tc>
        <w:tc>
          <w:tcPr>
            <w:tcW w:w="3283" w:type="dxa"/>
            <w:noWrap w:val="0"/>
            <w:vAlign w:val="center"/>
          </w:tcPr>
          <w:p>
            <w:pPr>
              <w:widowControl/>
              <w:overflowPunct w:val="0"/>
              <w:spacing w:line="560" w:lineRule="exact"/>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事项名称</w:t>
            </w:r>
          </w:p>
        </w:tc>
        <w:tc>
          <w:tcPr>
            <w:tcW w:w="2160" w:type="dxa"/>
            <w:noWrap w:val="0"/>
            <w:vAlign w:val="center"/>
          </w:tcPr>
          <w:p>
            <w:pPr>
              <w:widowControl/>
              <w:overflowPunct w:val="0"/>
              <w:spacing w:line="560" w:lineRule="exact"/>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市主管部门</w:t>
            </w:r>
          </w:p>
        </w:tc>
        <w:tc>
          <w:tcPr>
            <w:tcW w:w="1208" w:type="dxa"/>
            <w:noWrap w:val="0"/>
            <w:vAlign w:val="center"/>
          </w:tcPr>
          <w:p>
            <w:pPr>
              <w:widowControl/>
              <w:overflowPunct w:val="0"/>
              <w:spacing w:line="560" w:lineRule="exact"/>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1</w:t>
            </w:r>
          </w:p>
        </w:tc>
        <w:tc>
          <w:tcPr>
            <w:tcW w:w="1571"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其他行政权力</w:t>
            </w:r>
          </w:p>
        </w:tc>
        <w:tc>
          <w:tcPr>
            <w:tcW w:w="3283"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小额贷款公司试点资格认定</w:t>
            </w:r>
          </w:p>
        </w:tc>
        <w:tc>
          <w:tcPr>
            <w:tcW w:w="2160"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市地方金融监管局</w:t>
            </w:r>
          </w:p>
        </w:tc>
        <w:tc>
          <w:tcPr>
            <w:tcW w:w="1208"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p>
        </w:tc>
        <w:tc>
          <w:tcPr>
            <w:tcW w:w="1571"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其他行政权力</w:t>
            </w:r>
          </w:p>
        </w:tc>
        <w:tc>
          <w:tcPr>
            <w:tcW w:w="3283"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小额贷款公司变更核准</w:t>
            </w:r>
          </w:p>
        </w:tc>
        <w:tc>
          <w:tcPr>
            <w:tcW w:w="2160"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市地方金融监管局</w:t>
            </w:r>
          </w:p>
        </w:tc>
        <w:tc>
          <w:tcPr>
            <w:tcW w:w="1208"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94"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p>
        </w:tc>
        <w:tc>
          <w:tcPr>
            <w:tcW w:w="1571"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其他行政权力</w:t>
            </w:r>
          </w:p>
        </w:tc>
        <w:tc>
          <w:tcPr>
            <w:tcW w:w="3283"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《融资担保业务经营许可证》的颁发、换发、吊销、注销</w:t>
            </w:r>
          </w:p>
        </w:tc>
        <w:tc>
          <w:tcPr>
            <w:tcW w:w="2160"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市地方金融监管局</w:t>
            </w:r>
          </w:p>
        </w:tc>
        <w:tc>
          <w:tcPr>
            <w:tcW w:w="1208"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p>
        </w:tc>
        <w:tc>
          <w:tcPr>
            <w:tcW w:w="1571"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其他行政权力</w:t>
            </w:r>
          </w:p>
        </w:tc>
        <w:tc>
          <w:tcPr>
            <w:tcW w:w="3283"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融资担保公司事项备案</w:t>
            </w:r>
          </w:p>
        </w:tc>
        <w:tc>
          <w:tcPr>
            <w:tcW w:w="2160"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市地方金融监管局</w:t>
            </w:r>
          </w:p>
        </w:tc>
        <w:tc>
          <w:tcPr>
            <w:tcW w:w="1208"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5</w:t>
            </w:r>
          </w:p>
        </w:tc>
        <w:tc>
          <w:tcPr>
            <w:tcW w:w="1571"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行政检查</w:t>
            </w:r>
          </w:p>
        </w:tc>
        <w:tc>
          <w:tcPr>
            <w:tcW w:w="3283"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依法对融资担保公司进行现场检查</w:t>
            </w:r>
          </w:p>
        </w:tc>
        <w:tc>
          <w:tcPr>
            <w:tcW w:w="2160"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市地方金融监管局</w:t>
            </w:r>
          </w:p>
        </w:tc>
        <w:tc>
          <w:tcPr>
            <w:tcW w:w="1208"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6</w:t>
            </w:r>
          </w:p>
        </w:tc>
        <w:tc>
          <w:tcPr>
            <w:tcW w:w="1571"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行政处罚</w:t>
            </w:r>
          </w:p>
        </w:tc>
        <w:tc>
          <w:tcPr>
            <w:tcW w:w="3283"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依法对融资担保公司违法行为实施行政处罚</w:t>
            </w:r>
          </w:p>
        </w:tc>
        <w:tc>
          <w:tcPr>
            <w:tcW w:w="2160"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市地方金融监管局</w:t>
            </w:r>
          </w:p>
        </w:tc>
        <w:tc>
          <w:tcPr>
            <w:tcW w:w="1208"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7</w:t>
            </w:r>
          </w:p>
        </w:tc>
        <w:tc>
          <w:tcPr>
            <w:tcW w:w="1571"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行政许可</w:t>
            </w:r>
          </w:p>
        </w:tc>
        <w:tc>
          <w:tcPr>
            <w:tcW w:w="3283"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设立典当行及分支机构审批</w:t>
            </w:r>
          </w:p>
        </w:tc>
        <w:tc>
          <w:tcPr>
            <w:tcW w:w="2160"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市地方金融监管局</w:t>
            </w:r>
          </w:p>
        </w:tc>
        <w:tc>
          <w:tcPr>
            <w:tcW w:w="1208"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4"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8</w:t>
            </w:r>
          </w:p>
        </w:tc>
        <w:tc>
          <w:tcPr>
            <w:tcW w:w="1571"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行政处罚</w:t>
            </w:r>
          </w:p>
        </w:tc>
        <w:tc>
          <w:tcPr>
            <w:tcW w:w="3283"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典当行从商业银行以外的单位和个人借款、与其他典当行拆借或者变相拆借资金、超过规定限额从商业银行贷款、或者典当行从商业银行的贷款余额、对同一法人或者自然人的典当余额、财产权利质押以及房地产抵押典当余额未按《典当管理办法》有关规定比例进行管理等行为的行政处罚</w:t>
            </w:r>
          </w:p>
        </w:tc>
        <w:tc>
          <w:tcPr>
            <w:tcW w:w="2160"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市地方金融监管局</w:t>
            </w:r>
          </w:p>
        </w:tc>
        <w:tc>
          <w:tcPr>
            <w:tcW w:w="1208"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994"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9</w:t>
            </w:r>
          </w:p>
        </w:tc>
        <w:tc>
          <w:tcPr>
            <w:tcW w:w="1571"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行政处罚</w:t>
            </w:r>
          </w:p>
        </w:tc>
        <w:tc>
          <w:tcPr>
            <w:tcW w:w="3283"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对典当行未按中国人民银行公布的银行机构6个月期法定贷款利率及典当期限折算后执行典当当金利率、典当综合费用超过规定费率等行为的行政处罚</w:t>
            </w:r>
          </w:p>
        </w:tc>
        <w:tc>
          <w:tcPr>
            <w:tcW w:w="2160"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市地方金融监管局</w:t>
            </w:r>
          </w:p>
        </w:tc>
        <w:tc>
          <w:tcPr>
            <w:tcW w:w="1208"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10</w:t>
            </w:r>
          </w:p>
        </w:tc>
        <w:tc>
          <w:tcPr>
            <w:tcW w:w="1571"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其他行政权力</w:t>
            </w:r>
          </w:p>
        </w:tc>
        <w:tc>
          <w:tcPr>
            <w:tcW w:w="3283"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交易场所资格认定</w:t>
            </w:r>
          </w:p>
        </w:tc>
        <w:tc>
          <w:tcPr>
            <w:tcW w:w="2160"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市地方金融监管局</w:t>
            </w:r>
          </w:p>
        </w:tc>
        <w:tc>
          <w:tcPr>
            <w:tcW w:w="1208"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11</w:t>
            </w:r>
          </w:p>
        </w:tc>
        <w:tc>
          <w:tcPr>
            <w:tcW w:w="1571"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其他行政权力</w:t>
            </w:r>
          </w:p>
        </w:tc>
        <w:tc>
          <w:tcPr>
            <w:tcW w:w="3283"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交易场所变更核准</w:t>
            </w:r>
          </w:p>
        </w:tc>
        <w:tc>
          <w:tcPr>
            <w:tcW w:w="2160"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市地方金融监管局</w:t>
            </w:r>
          </w:p>
        </w:tc>
        <w:tc>
          <w:tcPr>
            <w:tcW w:w="1208" w:type="dxa"/>
            <w:noWrap w:val="0"/>
            <w:vAlign w:val="center"/>
          </w:tcPr>
          <w:p>
            <w:pPr>
              <w:widowControl/>
              <w:overflowPunct w:val="0"/>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bl>
    <w:p>
      <w:pPr>
        <w:tabs>
          <w:tab w:val="left" w:pos="125"/>
          <w:tab w:val="center" w:pos="6979"/>
        </w:tabs>
        <w:overflowPunct w:val="0"/>
        <w:spacing w:line="560" w:lineRule="exact"/>
        <w:jc w:val="left"/>
        <w:rPr>
          <w:rFonts w:ascii="仿宋_GB2312" w:hAnsi="Calibri" w:eastAsia="仿宋_GB2312" w:cs="Times New Roman"/>
          <w:sz w:val="24"/>
          <w:szCs w:val="24"/>
        </w:rPr>
      </w:pPr>
      <w:r>
        <w:rPr>
          <w:rFonts w:ascii="方正小标宋简体" w:hAnsi="Calibri" w:eastAsia="方正小标宋简体" w:cs="Times New Roman"/>
          <w:sz w:val="32"/>
          <w:szCs w:val="32"/>
        </w:rPr>
        <w:tab/>
      </w:r>
    </w:p>
    <w:p>
      <w:pPr>
        <w:pStyle w:val="2"/>
        <w:rPr>
          <w:rFonts w:hint="eastAsia"/>
        </w:rPr>
        <w:sectPr>
          <w:footerReference r:id="rId4" w:type="default"/>
          <w:pgSz w:w="11906" w:h="16838"/>
          <w:pgMar w:top="1440" w:right="1800" w:bottom="1440" w:left="1800" w:header="851" w:footer="992" w:gutter="0"/>
          <w:pgNumType w:fmt="numberInDash"/>
          <w:cols w:space="720" w:num="1"/>
          <w:docGrid w:type="lines" w:linePitch="312" w:charSpace="0"/>
        </w:sectPr>
      </w:pPr>
      <w:r>
        <w:rPr>
          <w:rFonts w:hint="eastAsia"/>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6155BE-1CBE-4A5D-958A-1793EF59D0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4AA3270-F25E-49FD-A9DC-5F30F9AA1711}"/>
  </w:font>
  <w:font w:name="方正小标宋简体">
    <w:panose1 w:val="02000000000000000000"/>
    <w:charset w:val="86"/>
    <w:family w:val="script"/>
    <w:pitch w:val="default"/>
    <w:sig w:usb0="00000001" w:usb1="08000000" w:usb2="00000000" w:usb3="00000000" w:csb0="00040000" w:csb1="00000000"/>
    <w:embedRegular r:id="rId3" w:fontKey="{51D625A1-49A2-401D-AC3B-E93843D9CB02}"/>
  </w:font>
  <w:font w:name="仿宋_GB2312">
    <w:altName w:val="仿宋"/>
    <w:panose1 w:val="02010609030101010101"/>
    <w:charset w:val="86"/>
    <w:family w:val="modern"/>
    <w:pitch w:val="default"/>
    <w:sig w:usb0="00000000" w:usb1="00000000" w:usb2="00000000" w:usb3="00000000" w:csb0="00040000" w:csb1="00000000"/>
    <w:embedRegular r:id="rId4" w:fontKey="{355D9F62-F9D7-4FF9-848E-8F3106E0A56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Calibri" w:hAnsi="Calibri" w:eastAsia="宋体" w:cs="Times New Roman"/>
      </w:rPr>
    </w:pPr>
    <w:r>
      <w:rPr>
        <w:rFonts w:ascii="Calibri" w:hAnsi="Calibri" w:eastAsia="宋体" w:cs="Times New Roma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38055FFF"/>
    <w:rsid w:val="38055FFF"/>
    <w:rsid w:val="4699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ind w:left="2100" w:leftChars="100" w:right="100" w:rightChars="100"/>
      <w:jc w:val="left"/>
      <w:outlineLvl w:val="0"/>
    </w:pPr>
    <w:rPr>
      <w:rFonts w:eastAsia="黑体"/>
      <w:bCs/>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customStyle="1" w:styleId="6">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3866</Words>
  <Characters>3970</Characters>
  <Lines>0</Lines>
  <Paragraphs>0</Paragraphs>
  <TotalTime>0</TotalTime>
  <ScaleCrop>false</ScaleCrop>
  <LinksUpToDate>false</LinksUpToDate>
  <CharactersWithSpaces>3971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2022-12-30T09:43:00Z</dcterms:created>
  <dc:creator>阿营</dc:creator>
  <cp:lastModifiedBy>阿营</cp:lastModifiedBy>
  <dcterms:modified xsi:type="dcterms:W3CDTF">2022-12-30T09:45:12Z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CA100A72CD514B47AB8EECB7AF322E95</vt:lpwstr>
  </property>
</Properties>
</file>