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ajorEastAsia" w:hAnsiTheme="majorEastAsia" w:eastAsiaTheme="majorEastAsia"/>
          <w:b/>
          <w:color w:val="000000"/>
          <w:w w:val="95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w w:val="95"/>
          <w:sz w:val="44"/>
          <w:szCs w:val="44"/>
        </w:rPr>
        <w:t>《深圳市前海深港现代服务业合作区管理局土地</w:t>
      </w:r>
      <w:r>
        <w:rPr>
          <w:rFonts w:hint="eastAsia" w:asciiTheme="majorEastAsia" w:hAnsiTheme="majorEastAsia" w:eastAsiaTheme="majorEastAsia"/>
          <w:b/>
          <w:color w:val="000000"/>
          <w:w w:val="95"/>
          <w:sz w:val="44"/>
          <w:szCs w:val="44"/>
          <w:lang w:val="en-US" w:eastAsia="zh-CN"/>
        </w:rPr>
        <w:t>租赁</w:t>
      </w:r>
      <w:r>
        <w:rPr>
          <w:rFonts w:hint="eastAsia" w:asciiTheme="majorEastAsia" w:hAnsiTheme="majorEastAsia" w:eastAsiaTheme="majorEastAsia"/>
          <w:b/>
          <w:color w:val="000000"/>
          <w:w w:val="95"/>
          <w:sz w:val="44"/>
          <w:szCs w:val="44"/>
        </w:rPr>
        <w:t>管理办法（</w:t>
      </w:r>
      <w:r>
        <w:rPr>
          <w:rFonts w:hint="eastAsia" w:asciiTheme="majorEastAsia" w:hAnsiTheme="majorEastAsia" w:eastAsiaTheme="majorEastAsia"/>
          <w:b/>
          <w:color w:val="000000"/>
          <w:w w:val="95"/>
          <w:sz w:val="44"/>
          <w:szCs w:val="44"/>
          <w:lang w:eastAsia="zh-CN"/>
        </w:rPr>
        <w:t>征求意见</w:t>
      </w:r>
      <w:r>
        <w:rPr>
          <w:rFonts w:hint="eastAsia" w:asciiTheme="majorEastAsia" w:hAnsiTheme="majorEastAsia" w:eastAsiaTheme="majorEastAsia"/>
          <w:b/>
          <w:color w:val="000000"/>
          <w:w w:val="95"/>
          <w:sz w:val="44"/>
          <w:szCs w:val="44"/>
        </w:rPr>
        <w:t>稿）》起草说明</w:t>
      </w:r>
    </w:p>
    <w:p>
      <w:pPr>
        <w:spacing w:line="560" w:lineRule="exact"/>
        <w:jc w:val="center"/>
        <w:rPr>
          <w:rFonts w:ascii="楷体_GB2312" w:hAnsi="黑体" w:eastAsia="楷体_GB2312"/>
          <w:color w:val="000000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6"/>
        </w:rPr>
      </w:pPr>
      <w:r>
        <w:rPr>
          <w:rFonts w:hint="eastAsia" w:ascii="仿宋_GB2312" w:hAnsi="黑体" w:eastAsia="仿宋_GB2312"/>
          <w:color w:val="000000"/>
          <w:sz w:val="32"/>
          <w:szCs w:val="36"/>
        </w:rPr>
        <w:t>为进一步规范前海合作区土地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租赁行为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，促进土地灵活、集约、高效利用，</w:t>
      </w:r>
      <w:bookmarkStart w:id="1" w:name="_GoBack"/>
      <w:bookmarkEnd w:id="1"/>
      <w:r>
        <w:rPr>
          <w:rFonts w:hint="eastAsia" w:ascii="仿宋_GB2312" w:hAnsi="黑体" w:eastAsia="仿宋_GB2312"/>
          <w:color w:val="000000"/>
          <w:sz w:val="32"/>
          <w:szCs w:val="36"/>
        </w:rPr>
        <w:t>加快要素集聚，加强深港合作，我局起草了《深圳市前海深港现代服务业合作区管理局土地租赁管理办法（</w:t>
      </w:r>
      <w:r>
        <w:rPr>
          <w:rFonts w:hint="eastAsia" w:ascii="仿宋_GB2312" w:hAnsi="黑体" w:eastAsia="仿宋_GB2312"/>
          <w:color w:val="000000"/>
          <w:sz w:val="32"/>
          <w:szCs w:val="36"/>
          <w:lang w:eastAsia="zh-CN"/>
        </w:rPr>
        <w:t>征求意见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稿）》（以下简称《办法》）。现就主要问题说明如下：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color w:val="000000"/>
          <w:sz w:val="32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一、起草的背景和必要性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6"/>
        </w:rPr>
      </w:pPr>
      <w:r>
        <w:rPr>
          <w:rFonts w:hint="eastAsia" w:ascii="仿宋_GB2312" w:hAnsi="黑体" w:eastAsia="仿宋_GB2312"/>
          <w:color w:val="000000"/>
          <w:sz w:val="32"/>
          <w:szCs w:val="36"/>
        </w:rPr>
        <w:t>自前海合作区成立以来，现状设施和服务供给明显滞后于快速</w:t>
      </w:r>
      <w:r>
        <w:rPr>
          <w:rFonts w:ascii="仿宋_GB2312" w:hAnsi="黑体" w:eastAsia="仿宋_GB2312"/>
          <w:color w:val="000000"/>
          <w:sz w:val="32"/>
          <w:szCs w:val="36"/>
        </w:rPr>
        <w:t>增长的生产生活需求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，缺少商业与生活氛围，片区整体活力不足。为此，</w:t>
      </w:r>
      <w:r>
        <w:rPr>
          <w:rFonts w:ascii="仿宋_GB2312" w:hAnsi="黑体" w:eastAsia="仿宋_GB2312"/>
          <w:color w:val="000000"/>
          <w:sz w:val="32"/>
          <w:szCs w:val="36"/>
        </w:rPr>
        <w:t>我局先后通过土地租赁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等</w:t>
      </w:r>
      <w:r>
        <w:rPr>
          <w:rFonts w:ascii="仿宋_GB2312" w:hAnsi="黑体" w:eastAsia="仿宋_GB2312"/>
          <w:color w:val="000000"/>
          <w:sz w:val="32"/>
          <w:szCs w:val="36"/>
        </w:rPr>
        <w:t>方式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对土地</w:t>
      </w:r>
      <w:r>
        <w:rPr>
          <w:rFonts w:ascii="仿宋_GB2312" w:hAnsi="黑体" w:eastAsia="仿宋_GB2312"/>
          <w:color w:val="000000"/>
          <w:sz w:val="32"/>
          <w:szCs w:val="36"/>
        </w:rPr>
        <w:t>进行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过渡性开发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，</w:t>
      </w:r>
      <w:r>
        <w:rPr>
          <w:rFonts w:ascii="仿宋_GB2312" w:hAnsi="黑体" w:eastAsia="仿宋_GB2312"/>
          <w:color w:val="000000"/>
          <w:sz w:val="32"/>
          <w:szCs w:val="36"/>
        </w:rPr>
        <w:t>探索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灵活利用未建空地建设急需设施，短期内迅速增加了</w:t>
      </w:r>
      <w:r>
        <w:rPr>
          <w:rFonts w:ascii="仿宋_GB2312" w:hAnsi="黑体" w:eastAsia="仿宋_GB2312"/>
          <w:color w:val="000000"/>
          <w:sz w:val="32"/>
          <w:szCs w:val="36"/>
        </w:rPr>
        <w:t>商业办公、产业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和配套设施等</w:t>
      </w:r>
      <w:r>
        <w:rPr>
          <w:rFonts w:ascii="仿宋_GB2312" w:hAnsi="黑体" w:eastAsia="仿宋_GB2312"/>
          <w:color w:val="000000"/>
          <w:sz w:val="32"/>
          <w:szCs w:val="36"/>
        </w:rPr>
        <w:t>空间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，及时服务前海城市发展</w:t>
      </w:r>
      <w:r>
        <w:rPr>
          <w:rFonts w:ascii="仿宋_GB2312" w:hAnsi="黑体" w:eastAsia="仿宋_GB2312"/>
          <w:color w:val="000000"/>
          <w:sz w:val="32"/>
          <w:szCs w:val="36"/>
        </w:rPr>
        <w:t>需求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，</w:t>
      </w:r>
      <w:r>
        <w:rPr>
          <w:rFonts w:ascii="仿宋_GB2312" w:hAnsi="黑体" w:eastAsia="仿宋_GB2312"/>
          <w:color w:val="000000"/>
          <w:sz w:val="32"/>
          <w:szCs w:val="36"/>
        </w:rPr>
        <w:t>取得了良好成效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，但也存在现有政策难以满足多样化需求、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收回处置不清晰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、监管机制不健全等问题，需要对现有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用地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实践经验进行提炼总结，进一步创新</w:t>
      </w:r>
      <w:r>
        <w:rPr>
          <w:rFonts w:ascii="仿宋_GB2312" w:hAnsi="黑体" w:eastAsia="仿宋_GB2312"/>
          <w:color w:val="000000"/>
          <w:sz w:val="32"/>
          <w:szCs w:val="36"/>
        </w:rPr>
        <w:t>和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完善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土地租赁制度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6"/>
        </w:rPr>
      </w:pPr>
      <w:r>
        <w:rPr>
          <w:rFonts w:hint="eastAsia" w:ascii="仿宋_GB2312" w:hAnsi="黑体" w:eastAsia="仿宋_GB2312"/>
          <w:color w:val="000000"/>
          <w:sz w:val="32"/>
          <w:szCs w:val="36"/>
        </w:rPr>
        <w:t>同时，为弹性应对未来城市发展的不确定性，前海合作区有必要通过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缩短用地年期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的方式预留一定的高质量发展空间，充分适应前海未来产业升级、创新转型需要，实现城市可持续发展。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6"/>
        </w:rPr>
      </w:pPr>
      <w:r>
        <w:rPr>
          <w:rFonts w:hint="eastAsia" w:ascii="仿宋_GB2312" w:hAnsi="黑体" w:eastAsia="仿宋_GB2312"/>
          <w:color w:val="000000"/>
          <w:sz w:val="32"/>
          <w:szCs w:val="36"/>
        </w:rPr>
        <w:t>因此，亟需系统完善前海合作区土地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租赁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制度，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优化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明确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不同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利用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方式</w:t>
      </w:r>
      <w:r>
        <w:rPr>
          <w:rFonts w:ascii="仿宋_GB2312" w:hAnsi="黑体" w:eastAsia="仿宋_GB2312"/>
          <w:color w:val="000000"/>
          <w:sz w:val="32"/>
          <w:szCs w:val="36"/>
        </w:rPr>
        <w:t>的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适用范围、使用期限、地价计收、土地权利等内容，加快现状设施建设和服务供给，</w:t>
      </w:r>
      <w:r>
        <w:rPr>
          <w:rFonts w:ascii="仿宋_GB2312" w:hAnsi="黑体" w:eastAsia="仿宋_GB2312"/>
          <w:color w:val="000000"/>
          <w:sz w:val="32"/>
          <w:szCs w:val="36"/>
        </w:rPr>
        <w:t>预控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弹性</w:t>
      </w:r>
      <w:r>
        <w:rPr>
          <w:rFonts w:ascii="仿宋_GB2312" w:hAnsi="黑体" w:eastAsia="仿宋_GB2312"/>
          <w:color w:val="000000"/>
          <w:sz w:val="32"/>
          <w:szCs w:val="36"/>
        </w:rPr>
        <w:t>发展空间，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推动前海合作区土地管理改革持续深化，进一步支撑深港合作。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color w:val="000000"/>
          <w:sz w:val="32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二、《办法》主要内容说明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6"/>
        </w:rPr>
      </w:pPr>
      <w:r>
        <w:rPr>
          <w:rFonts w:hint="eastAsia" w:ascii="仿宋_GB2312" w:hAnsi="黑体" w:eastAsia="仿宋_GB2312"/>
          <w:color w:val="000000"/>
          <w:sz w:val="32"/>
          <w:szCs w:val="36"/>
        </w:rPr>
        <w:t>《办法》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共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章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四十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条，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包括总则、短期租赁、长期租赁、土地收回和到期处置、监督管理和附则。</w:t>
      </w:r>
    </w:p>
    <w:p>
      <w:pPr>
        <w:spacing w:line="560" w:lineRule="exact"/>
        <w:ind w:firstLine="640" w:firstLineChars="200"/>
        <w:outlineLvl w:val="1"/>
        <w:rPr>
          <w:rFonts w:ascii="楷体_GB2312" w:hAnsi="黑体" w:eastAsia="楷体_GB2312"/>
          <w:bCs/>
          <w:color w:val="000000"/>
          <w:sz w:val="32"/>
          <w:szCs w:val="36"/>
        </w:rPr>
      </w:pPr>
      <w:r>
        <w:rPr>
          <w:rFonts w:hint="eastAsia" w:ascii="楷体_GB2312" w:hAnsi="黑体" w:eastAsia="楷体_GB2312"/>
          <w:bCs/>
          <w:color w:val="000000"/>
          <w:sz w:val="32"/>
          <w:szCs w:val="36"/>
        </w:rPr>
        <w:t>（一）关于总体思路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6"/>
        </w:rPr>
      </w:pPr>
      <w:r>
        <w:rPr>
          <w:rFonts w:hint="eastAsia" w:ascii="仿宋_GB2312" w:hAnsi="黑体" w:eastAsia="仿宋_GB2312"/>
          <w:color w:val="000000"/>
          <w:sz w:val="32"/>
          <w:szCs w:val="36"/>
        </w:rPr>
        <w:t>针对现行政策存在的问题</w:t>
      </w:r>
      <w:r>
        <w:rPr>
          <w:rFonts w:ascii="仿宋_GB2312" w:hAnsi="黑体" w:eastAsia="仿宋_GB2312"/>
          <w:color w:val="000000"/>
          <w:sz w:val="32"/>
          <w:szCs w:val="36"/>
        </w:rPr>
        <w:t>和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实际发展需求，《办法》坚持务实管用、符合前海合作区实际需求</w:t>
      </w:r>
      <w:r>
        <w:rPr>
          <w:rFonts w:ascii="仿宋_GB2312" w:hAnsi="黑体" w:eastAsia="仿宋_GB2312"/>
          <w:color w:val="000000"/>
          <w:sz w:val="32"/>
          <w:szCs w:val="36"/>
        </w:rPr>
        <w:t>与发展导向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的原则，首先明确了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土地租赁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的</w:t>
      </w:r>
      <w:r>
        <w:rPr>
          <w:rFonts w:ascii="仿宋_GB2312" w:hAnsi="黑体" w:eastAsia="仿宋_GB2312"/>
          <w:color w:val="000000"/>
          <w:sz w:val="32"/>
          <w:szCs w:val="36"/>
        </w:rPr>
        <w:t>内涵和框架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体系</w:t>
      </w:r>
      <w:r>
        <w:rPr>
          <w:rFonts w:ascii="仿宋_GB2312" w:hAnsi="黑体" w:eastAsia="仿宋_GB2312"/>
          <w:color w:val="000000"/>
          <w:sz w:val="32"/>
          <w:szCs w:val="36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然后结合现行</w:t>
      </w:r>
      <w:r>
        <w:rPr>
          <w:rFonts w:ascii="仿宋_GB2312" w:hAnsi="黑体" w:eastAsia="仿宋_GB2312"/>
          <w:color w:val="000000"/>
          <w:sz w:val="32"/>
          <w:szCs w:val="36"/>
        </w:rPr>
        <w:t>政策基础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，通过修订</w:t>
      </w:r>
      <w:r>
        <w:rPr>
          <w:rFonts w:ascii="仿宋_GB2312" w:hAnsi="黑体" w:eastAsia="仿宋_GB2312"/>
          <w:color w:val="000000"/>
          <w:sz w:val="32"/>
          <w:szCs w:val="36"/>
        </w:rPr>
        <w:t>、衔接和创新的方式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，从</w:t>
      </w:r>
      <w:r>
        <w:rPr>
          <w:rFonts w:ascii="仿宋_GB2312" w:hAnsi="黑体" w:eastAsia="仿宋_GB2312"/>
          <w:color w:val="000000"/>
          <w:sz w:val="32"/>
          <w:szCs w:val="36"/>
        </w:rPr>
        <w:t>适用范围、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供应方式</w:t>
      </w:r>
      <w:r>
        <w:rPr>
          <w:rFonts w:ascii="仿宋_GB2312" w:hAnsi="黑体" w:eastAsia="仿宋_GB2312"/>
          <w:color w:val="000000"/>
          <w:sz w:val="32"/>
          <w:szCs w:val="36"/>
        </w:rPr>
        <w:t>、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办理程序</w:t>
      </w:r>
      <w:r>
        <w:rPr>
          <w:rFonts w:ascii="仿宋_GB2312" w:hAnsi="黑体" w:eastAsia="仿宋_GB2312"/>
          <w:color w:val="000000"/>
          <w:sz w:val="32"/>
          <w:szCs w:val="36"/>
        </w:rPr>
        <w:t>、使用期限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、地价计收</w:t>
      </w:r>
      <w:r>
        <w:rPr>
          <w:rFonts w:ascii="仿宋_GB2312" w:hAnsi="黑体" w:eastAsia="仿宋_GB2312"/>
          <w:color w:val="000000"/>
          <w:sz w:val="32"/>
          <w:szCs w:val="36"/>
        </w:rPr>
        <w:t>、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土地</w:t>
      </w:r>
      <w:r>
        <w:rPr>
          <w:rFonts w:ascii="仿宋_GB2312" w:hAnsi="黑体" w:eastAsia="仿宋_GB2312"/>
          <w:color w:val="000000"/>
          <w:sz w:val="32"/>
          <w:szCs w:val="36"/>
        </w:rPr>
        <w:t>权利、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产权登记</w:t>
      </w:r>
      <w:r>
        <w:rPr>
          <w:rFonts w:ascii="仿宋_GB2312" w:hAnsi="黑体" w:eastAsia="仿宋_GB2312"/>
          <w:color w:val="000000"/>
          <w:sz w:val="32"/>
          <w:szCs w:val="36"/>
        </w:rPr>
        <w:t>、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土地收回和</w:t>
      </w:r>
      <w:r>
        <w:rPr>
          <w:rFonts w:ascii="仿宋_GB2312" w:hAnsi="黑体" w:eastAsia="仿宋_GB2312"/>
          <w:color w:val="000000"/>
          <w:sz w:val="32"/>
          <w:szCs w:val="36"/>
        </w:rPr>
        <w:t>监督管理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等全过程管理出发</w:t>
      </w:r>
      <w:r>
        <w:rPr>
          <w:rFonts w:ascii="仿宋_GB2312" w:hAnsi="黑体" w:eastAsia="仿宋_GB2312"/>
          <w:color w:val="000000"/>
          <w:sz w:val="32"/>
          <w:szCs w:val="36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构建形成系统完善</w:t>
      </w:r>
      <w:r>
        <w:rPr>
          <w:rFonts w:ascii="仿宋_GB2312" w:hAnsi="黑体" w:eastAsia="仿宋_GB2312"/>
          <w:color w:val="000000"/>
          <w:sz w:val="32"/>
          <w:szCs w:val="36"/>
        </w:rPr>
        <w:t>、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统一有序的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土地租赁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政策。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6"/>
        </w:rPr>
      </w:pPr>
      <w:r>
        <w:rPr>
          <w:rFonts w:hint="eastAsia" w:ascii="仿宋_GB2312" w:hAnsi="黑体" w:eastAsia="仿宋_GB2312"/>
          <w:color w:val="000000"/>
          <w:sz w:val="32"/>
          <w:szCs w:val="36"/>
        </w:rPr>
        <w:t>《办法》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明确定义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土地租赁是指前海管理局将国有建设用地出租给承租人使用，由承租人与前海管理局签订一定年期的土地使用权租赁合同，并支付租金的行为，具体形式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分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为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两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类：租赁期限在五年以内的短期租赁</w:t>
      </w:r>
      <w:r>
        <w:rPr>
          <w:rFonts w:hint="eastAsia" w:ascii="仿宋_GB2312" w:hAnsi="黑体" w:eastAsia="仿宋_GB2312"/>
          <w:color w:val="000000"/>
          <w:sz w:val="32"/>
          <w:szCs w:val="36"/>
          <w:lang w:eastAsia="zh-CN"/>
        </w:rPr>
        <w:t>；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租赁期限在五年以上二十年以内的长期租赁。其中，短期租赁在衔接《深圳市国有建设用地短期租赁管理办法》（深规划资源规〔2021〕7号，以下简称《市短期租赁办法》）的基础上，结合前海实际进行了调整</w:t>
      </w:r>
      <w:r>
        <w:rPr>
          <w:rFonts w:hint="eastAsia" w:ascii="仿宋_GB2312" w:hAnsi="黑体" w:eastAsia="仿宋_GB2312"/>
          <w:color w:val="000000"/>
          <w:sz w:val="32"/>
          <w:szCs w:val="36"/>
          <w:lang w:eastAsia="zh-CN"/>
        </w:rPr>
        <w:t>；</w:t>
      </w:r>
      <w:r>
        <w:rPr>
          <w:rFonts w:ascii="仿宋_GB2312" w:hAnsi="黑体" w:eastAsia="仿宋_GB2312"/>
          <w:color w:val="000000"/>
          <w:sz w:val="32"/>
          <w:szCs w:val="36"/>
        </w:rPr>
        <w:t>长期租赁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在《深圳市前海深港现代服务业合作区土地租赁管理办法（试行）》（深前海规〔2019〕6号，以下简称《办法（试行）》）基础上，根据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前海当前</w:t>
      </w:r>
      <w:r>
        <w:rPr>
          <w:rFonts w:ascii="仿宋_GB2312" w:hAnsi="黑体" w:eastAsia="仿宋_GB2312"/>
          <w:color w:val="000000"/>
          <w:sz w:val="32"/>
          <w:szCs w:val="36"/>
        </w:rPr>
        <w:t>实际和发展导向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进行修订</w:t>
      </w:r>
      <w:r>
        <w:rPr>
          <w:rFonts w:ascii="仿宋_GB2312" w:hAnsi="黑体" w:eastAsia="仿宋_GB2312"/>
          <w:color w:val="000000"/>
          <w:sz w:val="32"/>
          <w:szCs w:val="36"/>
        </w:rPr>
        <w:t>完善。</w:t>
      </w:r>
    </w:p>
    <w:p>
      <w:pPr>
        <w:spacing w:line="560" w:lineRule="exact"/>
        <w:ind w:firstLine="640" w:firstLineChars="200"/>
        <w:outlineLvl w:val="1"/>
        <w:rPr>
          <w:rFonts w:ascii="楷体_GB2312" w:hAnsi="黑体" w:eastAsia="楷体_GB2312"/>
          <w:bCs/>
          <w:color w:val="000000"/>
          <w:sz w:val="32"/>
          <w:szCs w:val="36"/>
        </w:rPr>
      </w:pPr>
      <w:r>
        <w:rPr>
          <w:rFonts w:hint="eastAsia" w:ascii="楷体_GB2312" w:hAnsi="黑体" w:eastAsia="楷体_GB2312"/>
          <w:bCs/>
          <w:color w:val="000000"/>
          <w:sz w:val="32"/>
          <w:szCs w:val="36"/>
        </w:rPr>
        <w:t>（二）关于适用范围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6"/>
        </w:rPr>
      </w:pPr>
      <w:r>
        <w:rPr>
          <w:rFonts w:hint="eastAsia" w:ascii="仿宋_GB2312" w:hAnsi="黑体" w:eastAsia="仿宋_GB2312"/>
          <w:color w:val="000000"/>
          <w:sz w:val="32"/>
          <w:szCs w:val="36"/>
        </w:rPr>
        <w:t>为防止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土地租赁利用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无序</w:t>
      </w:r>
      <w:r>
        <w:rPr>
          <w:rFonts w:ascii="仿宋_GB2312" w:hAnsi="黑体" w:eastAsia="仿宋_GB2312"/>
          <w:color w:val="000000"/>
          <w:sz w:val="32"/>
          <w:szCs w:val="36"/>
        </w:rPr>
        <w:t>、影响后续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土地供应和</w:t>
      </w:r>
      <w:r>
        <w:rPr>
          <w:rFonts w:ascii="仿宋_GB2312" w:hAnsi="黑体" w:eastAsia="仿宋_GB2312"/>
          <w:color w:val="000000"/>
          <w:sz w:val="32"/>
          <w:szCs w:val="36"/>
        </w:rPr>
        <w:t>开发建设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，</w:t>
      </w:r>
      <w:r>
        <w:rPr>
          <w:rFonts w:ascii="仿宋_GB2312" w:hAnsi="黑体" w:eastAsia="仿宋_GB2312"/>
          <w:color w:val="000000"/>
          <w:sz w:val="32"/>
          <w:szCs w:val="36"/>
        </w:rPr>
        <w:t>需要明确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不同方式</w:t>
      </w:r>
      <w:r>
        <w:rPr>
          <w:rFonts w:ascii="仿宋_GB2312" w:hAnsi="黑体" w:eastAsia="仿宋_GB2312"/>
          <w:color w:val="000000"/>
          <w:sz w:val="32"/>
          <w:szCs w:val="36"/>
        </w:rPr>
        <w:t>的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适用范围，特别是使用</w:t>
      </w:r>
      <w:r>
        <w:rPr>
          <w:rFonts w:ascii="仿宋_GB2312" w:hAnsi="黑体" w:eastAsia="仿宋_GB2312"/>
          <w:color w:val="000000"/>
          <w:sz w:val="32"/>
          <w:szCs w:val="36"/>
        </w:rPr>
        <w:t>期限较短的短期租赁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，</w:t>
      </w:r>
      <w:r>
        <w:rPr>
          <w:rFonts w:ascii="仿宋_GB2312" w:hAnsi="黑体" w:eastAsia="仿宋_GB2312"/>
          <w:color w:val="000000"/>
          <w:sz w:val="32"/>
          <w:szCs w:val="36"/>
        </w:rPr>
        <w:t>应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严格控制相应准入范围</w:t>
      </w:r>
      <w:r>
        <w:rPr>
          <w:rFonts w:ascii="仿宋_GB2312" w:hAnsi="黑体" w:eastAsia="仿宋_GB2312"/>
          <w:color w:val="000000"/>
          <w:sz w:val="32"/>
          <w:szCs w:val="36"/>
        </w:rPr>
        <w:t>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color w:val="000000"/>
          <w:sz w:val="32"/>
          <w:szCs w:val="36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6"/>
        </w:rPr>
        <w:t>短期租赁用途以急需的公共服务设施为主。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经调研，前海目前对短期的电动车充电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换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站等交通设施和混凝土搅拌站等公用设施存在急迫需求。因此，参考《市短期租赁办法》，将社会投资主体组织实施的急需公共服务设施纳入短期租赁范围。同时，考虑到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前海管理局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组织实施的急需公共服务设施已不适用临时用地，因此将此类设施也纳入短期租赁范围。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color w:val="000000"/>
          <w:sz w:val="32"/>
          <w:szCs w:val="36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6"/>
          <w:highlight w:val="none"/>
        </w:rPr>
        <w:t>长期租赁用途</w:t>
      </w:r>
      <w:r>
        <w:rPr>
          <w:rFonts w:hint="eastAsia" w:ascii="仿宋_GB2312" w:hAnsi="黑体" w:eastAsia="仿宋_GB2312"/>
          <w:b/>
          <w:color w:val="000000"/>
          <w:sz w:val="32"/>
          <w:szCs w:val="36"/>
          <w:highlight w:val="none"/>
          <w:lang w:val="en-US" w:eastAsia="zh-CN"/>
        </w:rPr>
        <w:t>以基础设施和公共服务设施为主</w:t>
      </w:r>
      <w:r>
        <w:rPr>
          <w:rFonts w:hint="eastAsia" w:ascii="仿宋_GB2312" w:hAnsi="黑体" w:eastAsia="仿宋_GB2312"/>
          <w:b/>
          <w:color w:val="000000"/>
          <w:sz w:val="32"/>
          <w:szCs w:val="36"/>
          <w:highlight w:val="none"/>
        </w:rPr>
        <w:t>。</w:t>
      </w:r>
      <w:r>
        <w:rPr>
          <w:rFonts w:hint="eastAsia" w:ascii="仿宋_GB2312" w:hAnsi="黑体" w:eastAsia="仿宋_GB2312"/>
          <w:color w:val="000000"/>
          <w:sz w:val="32"/>
          <w:szCs w:val="36"/>
          <w:highlight w:val="none"/>
        </w:rPr>
        <w:t>根据前海合作区已开展的长期租赁项目和未来发展需求，</w:t>
      </w:r>
      <w:r>
        <w:rPr>
          <w:rFonts w:hint="eastAsia" w:ascii="仿宋_GB2312" w:hAnsi="黑体" w:eastAsia="仿宋_GB2312"/>
          <w:color w:val="000000"/>
          <w:sz w:val="32"/>
          <w:szCs w:val="36"/>
          <w:highlight w:val="none"/>
          <w:lang w:eastAsia="zh-CN"/>
        </w:rPr>
        <w:t>《</w:t>
      </w:r>
      <w:r>
        <w:rPr>
          <w:rFonts w:hint="eastAsia" w:ascii="仿宋_GB2312" w:hAnsi="黑体" w:eastAsia="仿宋_GB2312"/>
          <w:color w:val="000000"/>
          <w:sz w:val="32"/>
          <w:szCs w:val="36"/>
          <w:highlight w:val="none"/>
          <w:lang w:val="en-US" w:eastAsia="zh-CN"/>
        </w:rPr>
        <w:t>办法</w:t>
      </w:r>
      <w:r>
        <w:rPr>
          <w:rFonts w:hint="eastAsia" w:ascii="仿宋_GB2312" w:hAnsi="黑体" w:eastAsia="仿宋_GB2312"/>
          <w:color w:val="000000"/>
          <w:sz w:val="32"/>
          <w:szCs w:val="36"/>
          <w:highlight w:val="none"/>
          <w:lang w:eastAsia="zh-CN"/>
        </w:rPr>
        <w:t>》</w:t>
      </w:r>
      <w:r>
        <w:rPr>
          <w:rFonts w:hint="eastAsia" w:ascii="仿宋_GB2312" w:hAnsi="黑体" w:eastAsia="仿宋_GB2312"/>
          <w:color w:val="000000"/>
          <w:sz w:val="32"/>
          <w:szCs w:val="36"/>
          <w:highlight w:val="none"/>
          <w:lang w:val="en-US" w:eastAsia="zh-CN"/>
        </w:rPr>
        <w:t>明确长期租赁主要用于</w:t>
      </w:r>
      <w:r>
        <w:rPr>
          <w:rFonts w:hint="eastAsia" w:ascii="仿宋_GB2312" w:hAnsi="黑体" w:eastAsia="仿宋_GB2312"/>
          <w:color w:val="000000"/>
          <w:sz w:val="32"/>
          <w:szCs w:val="36"/>
          <w:highlight w:val="none"/>
        </w:rPr>
        <w:t>保障前海合作区开发建设和配套服务的基础设施、公共服务设施，法律法规规定的其他适用长期租赁情形</w:t>
      </w:r>
      <w:r>
        <w:rPr>
          <w:rFonts w:hint="eastAsia" w:ascii="仿宋_GB2312" w:hAnsi="黑体" w:eastAsia="仿宋_GB2312"/>
          <w:color w:val="000000"/>
          <w:sz w:val="32"/>
          <w:szCs w:val="36"/>
          <w:highlight w:val="none"/>
          <w:lang w:val="en-US" w:eastAsia="zh-CN"/>
        </w:rPr>
        <w:t>也可适用</w:t>
      </w:r>
      <w:r>
        <w:rPr>
          <w:rFonts w:hint="eastAsia" w:ascii="仿宋_GB2312" w:hAnsi="黑体" w:eastAsia="仿宋_GB2312"/>
          <w:color w:val="000000"/>
          <w:sz w:val="32"/>
          <w:szCs w:val="36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6"/>
          <w:highlight w:val="none"/>
          <w:lang w:val="en-US" w:eastAsia="zh-CN"/>
        </w:rPr>
        <w:t>但</w:t>
      </w:r>
      <w:r>
        <w:rPr>
          <w:rFonts w:hint="eastAsia" w:ascii="仿宋_GB2312" w:hAnsi="黑体" w:eastAsia="仿宋_GB2312"/>
          <w:color w:val="000000"/>
          <w:sz w:val="32"/>
          <w:szCs w:val="36"/>
          <w:highlight w:val="none"/>
        </w:rPr>
        <w:t>住宅、商务公寓等居住性质项目</w:t>
      </w:r>
      <w:r>
        <w:rPr>
          <w:rFonts w:hint="eastAsia" w:ascii="仿宋_GB2312" w:hAnsi="黑体" w:eastAsia="仿宋_GB2312"/>
          <w:color w:val="000000"/>
          <w:sz w:val="32"/>
          <w:szCs w:val="36"/>
          <w:highlight w:val="none"/>
          <w:lang w:val="en-US" w:eastAsia="zh-CN"/>
        </w:rPr>
        <w:t>用途除外</w:t>
      </w:r>
      <w:r>
        <w:rPr>
          <w:rFonts w:hint="eastAsia" w:ascii="仿宋_GB2312" w:hAnsi="黑体" w:eastAsia="仿宋_GB2312"/>
          <w:color w:val="000000"/>
          <w:sz w:val="32"/>
          <w:szCs w:val="36"/>
          <w:highlight w:val="none"/>
        </w:rPr>
        <w:t>。</w:t>
      </w:r>
    </w:p>
    <w:p>
      <w:pPr>
        <w:spacing w:line="560" w:lineRule="exact"/>
        <w:ind w:firstLine="640" w:firstLineChars="200"/>
        <w:outlineLvl w:val="1"/>
        <w:rPr>
          <w:rFonts w:ascii="楷体_GB2312" w:hAnsi="黑体" w:eastAsia="楷体_GB2312"/>
          <w:bCs/>
          <w:color w:val="000000"/>
          <w:sz w:val="32"/>
          <w:szCs w:val="36"/>
        </w:rPr>
      </w:pPr>
      <w:r>
        <w:rPr>
          <w:rFonts w:hint="eastAsia" w:ascii="楷体_GB2312" w:hAnsi="黑体" w:eastAsia="楷体_GB2312"/>
          <w:bCs/>
          <w:color w:val="000000"/>
          <w:sz w:val="32"/>
          <w:szCs w:val="36"/>
        </w:rPr>
        <w:t>（三）关于办理程序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6"/>
        </w:rPr>
      </w:pPr>
      <w:r>
        <w:rPr>
          <w:rFonts w:hint="eastAsia" w:ascii="仿宋_GB2312" w:hAnsi="黑体" w:eastAsia="仿宋_GB2312"/>
          <w:color w:val="000000"/>
          <w:sz w:val="32"/>
          <w:szCs w:val="36"/>
        </w:rPr>
        <w:t>短期租赁办理程序参照《市短期租赁办法》，结合前海实际进行了调整，具体按照“项目可行性论证→确定项目实施主体→用地申请→受理审批→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方案公示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→合同签订”的程序办理。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6"/>
        </w:rPr>
      </w:pPr>
      <w:r>
        <w:rPr>
          <w:rFonts w:hint="eastAsia" w:ascii="仿宋_GB2312" w:hAnsi="黑体" w:eastAsia="仿宋_GB2312"/>
          <w:color w:val="000000"/>
          <w:sz w:val="32"/>
          <w:szCs w:val="36"/>
        </w:rPr>
        <w:t>长期租赁办理程序在《办法（试行）》规定基础上增加了编制项目建设方案环节，明确短期规划设计条件，形成“编制项目建设方案→列入年度计划→制定租赁方案→办理有关手续”的程序机制，并进一步完善了土地租赁方案内容，明确将规划设计条件、生态环境保护纳入租赁方案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6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其中，按照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《深圳经济特区前海深港现代服务业合作区条例》（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以下简称《条例》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）第十四条“管理局可以依法设立企业，由其负责前海合作区土地一级开发，基础设施和公共服务设施的建设、运营等”，前海管理局全资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企业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可以在相应业务范围中作为土地租赁使用主体。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因此，对于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前海管理局组织实施的急需公共服务设施实行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短期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租赁的，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以及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前海合作区基础设施和公共服务设施建设实行长期租赁的，使用主体</w:t>
      </w:r>
      <w:r>
        <w:rPr>
          <w:rFonts w:hint="eastAsia" w:ascii="仿宋_GB2312" w:hAnsi="黑体" w:eastAsia="仿宋_GB2312"/>
          <w:color w:val="000000"/>
          <w:sz w:val="32"/>
          <w:szCs w:val="36"/>
          <w:lang w:val="en-US" w:eastAsia="zh-CN"/>
        </w:rPr>
        <w:t>均明确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为前海管理局依据《条例》设立的全资企业。</w:t>
      </w:r>
    </w:p>
    <w:p>
      <w:pPr>
        <w:spacing w:line="560" w:lineRule="exact"/>
        <w:ind w:firstLine="640" w:firstLineChars="200"/>
        <w:outlineLvl w:val="1"/>
        <w:rPr>
          <w:rFonts w:ascii="楷体_GB2312" w:hAnsi="黑体" w:eastAsia="楷体_GB2312"/>
          <w:bCs/>
          <w:color w:val="000000"/>
          <w:sz w:val="32"/>
          <w:szCs w:val="36"/>
        </w:rPr>
      </w:pPr>
      <w:r>
        <w:rPr>
          <w:rFonts w:hint="eastAsia" w:ascii="楷体_GB2312" w:hAnsi="黑体" w:eastAsia="楷体_GB2312"/>
          <w:bCs/>
          <w:color w:val="000000"/>
          <w:sz w:val="32"/>
          <w:szCs w:val="36"/>
        </w:rPr>
        <w:t>（四）关于使用期限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color w:val="000000"/>
          <w:sz w:val="32"/>
          <w:szCs w:val="36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6"/>
        </w:rPr>
        <w:t>短期租赁期限不得超过五年。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考虑到国民经济与社会发展规划、城市近期建设规划等期限为五年，短期租赁不能影响各层次规划和计划的实施，《办法》明确</w:t>
      </w:r>
      <w:r>
        <w:rPr>
          <w:rFonts w:ascii="仿宋_GB2312" w:hAnsi="黑体" w:eastAsia="仿宋_GB2312"/>
          <w:color w:val="000000"/>
          <w:sz w:val="32"/>
          <w:szCs w:val="36"/>
        </w:rPr>
        <w:t>短期租赁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期限不得超过五年，与长期租赁下限相衔接。</w:t>
      </w:r>
      <w:bookmarkStart w:id="0" w:name="_Hlk111218039"/>
      <w:r>
        <w:rPr>
          <w:rFonts w:hint="eastAsia" w:ascii="仿宋_GB2312" w:hAnsi="黑体" w:eastAsia="仿宋_GB2312"/>
          <w:color w:val="000000"/>
          <w:sz w:val="32"/>
          <w:szCs w:val="36"/>
        </w:rPr>
        <w:t>对于首次</w:t>
      </w:r>
      <w:r>
        <w:rPr>
          <w:rFonts w:ascii="仿宋_GB2312" w:hAnsi="黑体" w:eastAsia="仿宋_GB2312"/>
          <w:color w:val="000000"/>
          <w:sz w:val="32"/>
          <w:szCs w:val="36"/>
        </w:rPr>
        <w:t>租赁不足五年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、到期后仍需继续使用的，在不影响近期建设前提下，经前海管理局批准后允许续租，重新签订合同，累计租赁期限</w:t>
      </w:r>
      <w:r>
        <w:rPr>
          <w:rFonts w:ascii="仿宋_GB2312" w:hAnsi="黑体" w:eastAsia="仿宋_GB2312"/>
          <w:color w:val="000000"/>
          <w:sz w:val="32"/>
          <w:szCs w:val="36"/>
        </w:rPr>
        <w:t>不超过五年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。</w:t>
      </w:r>
      <w:bookmarkEnd w:id="0"/>
    </w:p>
    <w:p>
      <w:pPr>
        <w:spacing w:line="560" w:lineRule="exact"/>
        <w:ind w:firstLine="643" w:firstLineChars="200"/>
        <w:rPr>
          <w:rFonts w:ascii="仿宋_GB2312" w:hAnsi="黑体" w:eastAsia="仿宋_GB2312"/>
          <w:color w:val="000000"/>
          <w:sz w:val="32"/>
          <w:szCs w:val="36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6"/>
        </w:rPr>
        <w:t>长期租赁</w:t>
      </w:r>
      <w:r>
        <w:rPr>
          <w:rFonts w:ascii="仿宋_GB2312" w:hAnsi="黑体" w:eastAsia="仿宋_GB2312"/>
          <w:b/>
          <w:color w:val="000000"/>
          <w:sz w:val="32"/>
          <w:szCs w:val="36"/>
        </w:rPr>
        <w:t>上限延长至二十年，</w:t>
      </w:r>
      <w:r>
        <w:rPr>
          <w:rFonts w:hint="eastAsia" w:ascii="仿宋_GB2312" w:hAnsi="黑体" w:eastAsia="仿宋_GB2312"/>
          <w:b/>
          <w:color w:val="000000"/>
          <w:sz w:val="32"/>
          <w:szCs w:val="36"/>
        </w:rPr>
        <w:t>允许首次租赁不足二十年的</w:t>
      </w:r>
      <w:r>
        <w:rPr>
          <w:rFonts w:ascii="仿宋_GB2312" w:hAnsi="黑体" w:eastAsia="仿宋_GB2312"/>
          <w:b/>
          <w:color w:val="000000"/>
          <w:sz w:val="32"/>
          <w:szCs w:val="36"/>
        </w:rPr>
        <w:t>用地</w:t>
      </w:r>
      <w:r>
        <w:rPr>
          <w:rFonts w:hint="eastAsia" w:ascii="仿宋_GB2312" w:hAnsi="黑体" w:eastAsia="仿宋_GB2312"/>
          <w:b/>
          <w:color w:val="000000"/>
          <w:sz w:val="32"/>
          <w:szCs w:val="36"/>
        </w:rPr>
        <w:t>进行续租。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根据前海近年来土地租赁市场情况，结合企业成本、建筑使用情况、片区预热程度等，最长期限15年已不能满足前海长期租赁项目的实际需要，需进一步延长最长使用期限。同时，《条例》规定可以签订租期五年以上二十年以下土地租赁合同。因此《办法》明确长期租赁期限“最短不少于五年，最长不超过二十年”。据调研，目前已有部分即将到期的长期租赁项目提出了续租申请或意愿，考虑项目运营实际情况，可以允许“首次租赁不足二十年”的长期租赁项目申请续租。由前海管理局根据</w:t>
      </w:r>
      <w:r>
        <w:rPr>
          <w:rFonts w:ascii="仿宋_GB2312" w:hAnsi="黑体" w:eastAsia="仿宋_GB2312"/>
          <w:color w:val="000000"/>
          <w:sz w:val="32"/>
          <w:szCs w:val="36"/>
        </w:rPr>
        <w:t>开发建设需要和项目实际等综合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评估后</w:t>
      </w:r>
      <w:r>
        <w:rPr>
          <w:rFonts w:ascii="仿宋_GB2312" w:hAnsi="黑体" w:eastAsia="仿宋_GB2312"/>
          <w:color w:val="000000"/>
          <w:sz w:val="32"/>
          <w:szCs w:val="36"/>
        </w:rPr>
        <w:t>进行审核批准，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但累计期限不得超过二十年。</w:t>
      </w:r>
    </w:p>
    <w:p>
      <w:pPr>
        <w:spacing w:line="560" w:lineRule="exact"/>
        <w:ind w:firstLine="640" w:firstLineChars="200"/>
        <w:outlineLvl w:val="1"/>
        <w:rPr>
          <w:rFonts w:ascii="楷体_GB2312" w:hAnsi="黑体" w:eastAsia="楷体_GB2312"/>
          <w:bCs/>
          <w:color w:val="000000"/>
          <w:sz w:val="32"/>
          <w:szCs w:val="36"/>
        </w:rPr>
      </w:pPr>
      <w:r>
        <w:rPr>
          <w:rFonts w:hint="eastAsia" w:ascii="楷体_GB2312" w:hAnsi="黑体" w:eastAsia="楷体_GB2312"/>
          <w:bCs/>
          <w:color w:val="000000"/>
          <w:sz w:val="32"/>
          <w:szCs w:val="36"/>
        </w:rPr>
        <w:t>（五）关于地价计收规则</w:t>
      </w:r>
    </w:p>
    <w:p>
      <w:pPr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6"/>
        </w:rPr>
      </w:pPr>
      <w:r>
        <w:rPr>
          <w:rFonts w:hint="eastAsia" w:ascii="Times New Roman" w:hAnsi="Times New Roman" w:eastAsia="仿宋_GB2312"/>
          <w:color w:val="000000"/>
          <w:sz w:val="32"/>
          <w:szCs w:val="36"/>
          <w:lang w:val="en-US" w:eastAsia="zh-CN"/>
        </w:rPr>
        <w:t>土地租赁</w:t>
      </w:r>
      <w:r>
        <w:rPr>
          <w:rFonts w:hint="eastAsia" w:ascii="Times New Roman" w:hAnsi="Times New Roman" w:eastAsia="仿宋_GB2312"/>
          <w:color w:val="000000"/>
          <w:sz w:val="32"/>
          <w:szCs w:val="36"/>
        </w:rPr>
        <w:t>总体上按照《深圳市地价测算规则》进行</w:t>
      </w:r>
      <w:r>
        <w:rPr>
          <w:rFonts w:ascii="Times New Roman" w:hAnsi="Times New Roman" w:eastAsia="仿宋_GB2312"/>
          <w:color w:val="000000"/>
          <w:sz w:val="32"/>
          <w:szCs w:val="36"/>
        </w:rPr>
        <w:t>计收地价</w:t>
      </w:r>
      <w:r>
        <w:rPr>
          <w:rFonts w:hint="eastAsia" w:ascii="Times New Roman" w:hAnsi="Times New Roman" w:eastAsia="仿宋_GB2312"/>
          <w:color w:val="000000"/>
          <w:sz w:val="32"/>
          <w:szCs w:val="36"/>
        </w:rPr>
        <w:t>。同时，</w:t>
      </w:r>
      <w:r>
        <w:rPr>
          <w:rFonts w:ascii="Times New Roman" w:hAnsi="Times New Roman" w:eastAsia="仿宋_GB2312"/>
          <w:color w:val="000000"/>
          <w:sz w:val="32"/>
          <w:szCs w:val="36"/>
        </w:rPr>
        <w:t>结合前海合作区土地</w:t>
      </w:r>
      <w:r>
        <w:rPr>
          <w:rFonts w:hint="eastAsia" w:ascii="Times New Roman" w:hAnsi="Times New Roman" w:eastAsia="仿宋_GB2312"/>
          <w:color w:val="000000"/>
          <w:sz w:val="32"/>
          <w:szCs w:val="36"/>
        </w:rPr>
        <w:t>调控</w:t>
      </w:r>
      <w:r>
        <w:rPr>
          <w:rFonts w:ascii="Times New Roman" w:hAnsi="Times New Roman" w:eastAsia="仿宋_GB2312"/>
          <w:color w:val="000000"/>
          <w:sz w:val="32"/>
          <w:szCs w:val="36"/>
        </w:rPr>
        <w:t>实际</w:t>
      </w:r>
      <w:r>
        <w:rPr>
          <w:rFonts w:hint="eastAsia" w:ascii="Times New Roman" w:hAnsi="Times New Roman" w:eastAsia="仿宋_GB2312"/>
          <w:color w:val="000000"/>
          <w:sz w:val="32"/>
          <w:szCs w:val="36"/>
        </w:rPr>
        <w:t>需求，《办法》</w:t>
      </w:r>
      <w:r>
        <w:rPr>
          <w:rFonts w:ascii="Times New Roman" w:hAnsi="Times New Roman" w:eastAsia="仿宋_GB2312"/>
          <w:color w:val="000000"/>
          <w:sz w:val="32"/>
          <w:szCs w:val="36"/>
        </w:rPr>
        <w:t>增加</w:t>
      </w:r>
      <w:r>
        <w:rPr>
          <w:rFonts w:hint="eastAsia" w:ascii="Times New Roman" w:hAnsi="Times New Roman" w:eastAsia="仿宋_GB2312"/>
          <w:color w:val="000000"/>
          <w:sz w:val="32"/>
          <w:szCs w:val="36"/>
        </w:rPr>
        <w:t>部分适应性规定。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6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6"/>
        </w:rPr>
        <w:t>短期租赁租金依据《深圳市地价测算规则》进行测算。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6"/>
          <w:lang w:val="en-US" w:eastAsia="zh-CN"/>
        </w:rPr>
        <w:t>按照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6"/>
          <w:lang w:eastAsia="zh-CN"/>
        </w:rPr>
        <w:t>《深圳市地价测算规则》“以出让、租赁方式供应或划拨方式转为有偿使用的土地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6"/>
          <w:lang w:val="en-US" w:eastAsia="zh-CN"/>
        </w:rPr>
        <w:t>......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6"/>
          <w:lang w:eastAsia="zh-CN"/>
        </w:rPr>
        <w:t>产权归政府的建筑面积部分不计收地价”，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6"/>
        </w:rPr>
        <w:t>《市短期租赁办法》第二十六条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6"/>
          <w:lang w:val="en-US" w:eastAsia="zh-CN"/>
        </w:rPr>
        <w:t>规定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6"/>
          <w:lang w:eastAsia="zh-CN"/>
        </w:rPr>
        <w:t>“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6"/>
        </w:rPr>
        <w:t>政府或其职能部门作为短期租赁用地使用主体的，不计收短期租赁租金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6"/>
          <w:lang w:eastAsia="zh-CN"/>
        </w:rPr>
        <w:t>”，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6"/>
          <w:lang w:val="en-US" w:eastAsia="zh-CN"/>
        </w:rPr>
        <w:t>考虑到前海管理局未设立建筑工务部门，大量政府投资项目作为全额财政投资项目由</w:t>
      </w:r>
      <w:r>
        <w:rPr>
          <w:rFonts w:hint="eastAsia" w:ascii="Times New Roman" w:hAnsi="Times New Roman" w:eastAsia="仿宋_GB2312"/>
          <w:bCs/>
          <w:color w:val="000000"/>
          <w:sz w:val="32"/>
          <w:szCs w:val="36"/>
        </w:rPr>
        <w:t>前海管理局依法设立的企业</w:t>
      </w:r>
      <w:r>
        <w:rPr>
          <w:rFonts w:hint="eastAsia" w:ascii="Times New Roman" w:hAnsi="Times New Roman" w:eastAsia="仿宋_GB2312"/>
          <w:bCs/>
          <w:color w:val="000000"/>
          <w:sz w:val="32"/>
          <w:szCs w:val="36"/>
          <w:lang w:val="en-US" w:eastAsia="zh-CN"/>
        </w:rPr>
        <w:t>承担</w:t>
      </w:r>
      <w:r>
        <w:rPr>
          <w:rFonts w:hint="eastAsia" w:ascii="Times New Roman" w:hAnsi="Times New Roman" w:eastAsia="仿宋_GB2312"/>
          <w:bCs/>
          <w:color w:val="000000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000000"/>
          <w:sz w:val="32"/>
          <w:szCs w:val="36"/>
          <w:lang w:val="en-US" w:eastAsia="zh-CN"/>
        </w:rPr>
        <w:t>因此在市级规定的基础上，进一步</w:t>
      </w:r>
      <w:r>
        <w:rPr>
          <w:rFonts w:hint="eastAsia" w:ascii="Times New Roman" w:hAnsi="Times New Roman" w:eastAsia="仿宋_GB2312"/>
          <w:bCs/>
          <w:color w:val="000000"/>
          <w:sz w:val="32"/>
          <w:szCs w:val="36"/>
        </w:rPr>
        <w:t>明确全额财政投资项目</w:t>
      </w:r>
      <w:r>
        <w:rPr>
          <w:rFonts w:hint="eastAsia" w:ascii="Times New Roman" w:hAnsi="Times New Roman" w:eastAsia="仿宋_GB2312"/>
          <w:color w:val="000000"/>
          <w:sz w:val="32"/>
          <w:szCs w:val="36"/>
        </w:rPr>
        <w:t>不计收</w:t>
      </w:r>
      <w:r>
        <w:rPr>
          <w:rFonts w:hint="eastAsia" w:ascii="Times New Roman" w:hAnsi="Times New Roman" w:eastAsia="仿宋_GB2312"/>
          <w:bCs/>
          <w:color w:val="000000"/>
          <w:sz w:val="32"/>
          <w:szCs w:val="36"/>
        </w:rPr>
        <w:t>短期租赁</w:t>
      </w:r>
      <w:r>
        <w:rPr>
          <w:rFonts w:hint="eastAsia" w:ascii="Times New Roman" w:hAnsi="Times New Roman" w:eastAsia="仿宋_GB2312"/>
          <w:color w:val="000000"/>
          <w:sz w:val="32"/>
          <w:szCs w:val="36"/>
        </w:rPr>
        <w:t>租金。</w:t>
      </w:r>
    </w:p>
    <w:p>
      <w:pPr>
        <w:pStyle w:val="3"/>
        <w:spacing w:line="560" w:lineRule="exact"/>
        <w:ind w:firstLine="643"/>
        <w:rPr>
          <w:rFonts w:hint="eastAsia" w:ascii="Times New Roman" w:hAnsi="Times New Roman"/>
          <w:color w:val="000000"/>
          <w:szCs w:val="36"/>
        </w:rPr>
      </w:pPr>
      <w:r>
        <w:rPr>
          <w:rFonts w:hint="eastAsia" w:ascii="Times New Roman" w:hAnsi="Times New Roman"/>
          <w:b/>
          <w:color w:val="000000"/>
          <w:szCs w:val="36"/>
        </w:rPr>
        <w:t>长期租赁可以分期缴纳租金。</w:t>
      </w:r>
      <w:r>
        <w:rPr>
          <w:rFonts w:hint="eastAsia" w:ascii="Times New Roman" w:hAnsi="Times New Roman"/>
          <w:color w:val="000000"/>
          <w:szCs w:val="36"/>
        </w:rPr>
        <w:t>在一次性缴纳地价之外，《办法》补充分期缴纳方式，进一步降低企业用地的资金门槛，有利于吸引发展前景好、资金实力暂时不足的新兴产业企业，促使企业将更多资金投入业务经营，更好服务前海合作区产业发展。</w:t>
      </w:r>
    </w:p>
    <w:p>
      <w:pPr>
        <w:spacing w:line="560" w:lineRule="exact"/>
        <w:ind w:firstLine="640" w:firstLineChars="200"/>
        <w:outlineLvl w:val="1"/>
        <w:rPr>
          <w:rFonts w:ascii="楷体_GB2312" w:hAnsi="黑体" w:eastAsia="楷体_GB2312"/>
          <w:bCs/>
          <w:color w:val="000000"/>
          <w:sz w:val="32"/>
          <w:szCs w:val="36"/>
        </w:rPr>
      </w:pPr>
      <w:r>
        <w:rPr>
          <w:rFonts w:hint="eastAsia" w:ascii="楷体_GB2312" w:hAnsi="黑体" w:eastAsia="楷体_GB2312"/>
          <w:bCs/>
          <w:color w:val="000000"/>
          <w:sz w:val="32"/>
          <w:szCs w:val="36"/>
        </w:rPr>
        <w:t>（六）关于土地权利和</w:t>
      </w:r>
      <w:r>
        <w:rPr>
          <w:rFonts w:ascii="楷体_GB2312" w:hAnsi="黑体" w:eastAsia="楷体_GB2312"/>
          <w:bCs/>
          <w:color w:val="000000"/>
          <w:sz w:val="32"/>
          <w:szCs w:val="36"/>
        </w:rPr>
        <w:t>产权登记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b/>
          <w:bCs/>
          <w:sz w:val="32"/>
          <w:szCs w:val="36"/>
        </w:rPr>
        <w:t>短期租赁</w:t>
      </w:r>
      <w:r>
        <w:rPr>
          <w:rFonts w:ascii="仿宋_GB2312" w:hAnsi="黑体" w:eastAsia="仿宋_GB2312"/>
          <w:b/>
          <w:bCs/>
          <w:sz w:val="32"/>
          <w:szCs w:val="36"/>
        </w:rPr>
        <w:t>不允许</w:t>
      </w:r>
      <w:r>
        <w:rPr>
          <w:rFonts w:hint="eastAsia" w:ascii="仿宋_GB2312" w:hAnsi="黑体" w:eastAsia="仿宋_GB2312"/>
          <w:b/>
          <w:bCs/>
          <w:sz w:val="32"/>
          <w:szCs w:val="36"/>
        </w:rPr>
        <w:t>转让、转租或抵押，土地及地上建（构）筑物不予办理不动产登记。</w:t>
      </w:r>
      <w:r>
        <w:rPr>
          <w:rFonts w:hint="eastAsia" w:ascii="仿宋_GB2312" w:hAnsi="黑体" w:eastAsia="仿宋_GB2312"/>
          <w:sz w:val="32"/>
          <w:szCs w:val="36"/>
        </w:rPr>
        <w:t>考虑到短期租赁主要是提供急需的公共服务，期限短、用途管控严且以自用</w:t>
      </w:r>
      <w:r>
        <w:rPr>
          <w:rFonts w:ascii="仿宋_GB2312" w:hAnsi="黑体" w:eastAsia="仿宋_GB2312"/>
          <w:sz w:val="32"/>
          <w:szCs w:val="36"/>
        </w:rPr>
        <w:t>为主</w:t>
      </w:r>
      <w:r>
        <w:rPr>
          <w:rFonts w:hint="eastAsia" w:ascii="仿宋_GB2312" w:hAnsi="黑体" w:eastAsia="仿宋_GB2312"/>
          <w:sz w:val="32"/>
          <w:szCs w:val="36"/>
        </w:rPr>
        <w:t>，须明确不得流转和办理产权登记。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b/>
          <w:bCs/>
          <w:sz w:val="32"/>
          <w:szCs w:val="36"/>
        </w:rPr>
        <w:t>长期租赁土地及地上建（构）筑物允许办理不动产登记</w:t>
      </w:r>
      <w:r>
        <w:rPr>
          <w:rFonts w:hint="eastAsia" w:ascii="仿宋_GB2312" w:hAnsi="黑体" w:eastAsia="仿宋_GB2312"/>
          <w:b/>
          <w:bCs/>
          <w:sz w:val="32"/>
          <w:szCs w:val="36"/>
          <w:lang w:eastAsia="zh-CN"/>
        </w:rPr>
        <w:t>，</w:t>
      </w:r>
      <w:r>
        <w:rPr>
          <w:rFonts w:hint="eastAsia" w:ascii="仿宋_GB2312" w:hAnsi="黑体" w:eastAsia="仿宋_GB2312"/>
          <w:b/>
          <w:bCs/>
          <w:sz w:val="32"/>
          <w:szCs w:val="36"/>
        </w:rPr>
        <w:t>原则上不得转让、转租或抵押</w:t>
      </w:r>
      <w:r>
        <w:rPr>
          <w:rFonts w:hint="eastAsia" w:ascii="仿宋_GB2312" w:hAnsi="黑体" w:eastAsia="仿宋_GB2312"/>
          <w:b/>
          <w:bCs/>
          <w:sz w:val="32"/>
          <w:szCs w:val="36"/>
          <w:lang w:eastAsia="zh-CN"/>
        </w:rPr>
        <w:t>，</w:t>
      </w:r>
      <w:r>
        <w:rPr>
          <w:rFonts w:hint="eastAsia" w:ascii="仿宋_GB2312" w:hAnsi="黑体" w:eastAsia="仿宋_GB2312"/>
          <w:b/>
          <w:bCs/>
          <w:sz w:val="32"/>
          <w:szCs w:val="36"/>
          <w:lang w:val="en-US" w:eastAsia="zh-CN"/>
        </w:rPr>
        <w:t>仅对经前海管理局审批同意的情形进行许可</w:t>
      </w:r>
      <w:r>
        <w:rPr>
          <w:rFonts w:hint="eastAsia" w:ascii="仿宋_GB2312" w:hAnsi="黑体" w:eastAsia="仿宋_GB2312"/>
          <w:b/>
          <w:bCs/>
          <w:sz w:val="32"/>
          <w:szCs w:val="36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6"/>
        </w:rPr>
        <w:t>《办法》明确了</w:t>
      </w: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可以</w:t>
      </w:r>
      <w:r>
        <w:rPr>
          <w:rFonts w:hint="eastAsia" w:ascii="仿宋_GB2312" w:hAnsi="黑体" w:eastAsia="仿宋_GB2312"/>
          <w:sz w:val="32"/>
          <w:szCs w:val="36"/>
        </w:rPr>
        <w:t>转让、转租和抵押的具体规则，</w:t>
      </w: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进一步</w:t>
      </w:r>
      <w:r>
        <w:rPr>
          <w:rFonts w:hint="eastAsia" w:ascii="仿宋_GB2312" w:hAnsi="黑体" w:eastAsia="仿宋_GB2312"/>
          <w:sz w:val="32"/>
          <w:szCs w:val="36"/>
        </w:rPr>
        <w:t>精细化管控风险。同时，租赁土地流转市场放开后，需要采取有效措施保障权利人权益，《办法》允许土地及地上房屋办理不动产登记，将</w:t>
      </w:r>
      <w:r>
        <w:rPr>
          <w:rFonts w:ascii="仿宋_GB2312" w:hAnsi="黑体" w:eastAsia="仿宋_GB2312"/>
          <w:sz w:val="32"/>
          <w:szCs w:val="36"/>
        </w:rPr>
        <w:t>长期租赁土地</w:t>
      </w:r>
      <w:r>
        <w:rPr>
          <w:rFonts w:hint="eastAsia" w:ascii="仿宋_GB2312" w:hAnsi="黑体" w:eastAsia="仿宋_GB2312"/>
          <w:sz w:val="32"/>
          <w:szCs w:val="36"/>
        </w:rPr>
        <w:t>纳入不动产登记</w:t>
      </w:r>
      <w:r>
        <w:rPr>
          <w:rFonts w:ascii="仿宋_GB2312" w:hAnsi="黑体" w:eastAsia="仿宋_GB2312"/>
          <w:sz w:val="32"/>
          <w:szCs w:val="36"/>
        </w:rPr>
        <w:t>的规范体系中，</w:t>
      </w:r>
      <w:r>
        <w:rPr>
          <w:rFonts w:hint="eastAsia" w:ascii="仿宋_GB2312" w:hAnsi="黑体" w:eastAsia="仿宋_GB2312"/>
          <w:sz w:val="32"/>
          <w:szCs w:val="36"/>
        </w:rPr>
        <w:t>逐步引导长期租赁二级市场规范化和制度化。</w:t>
      </w:r>
    </w:p>
    <w:p>
      <w:pPr>
        <w:spacing w:line="560" w:lineRule="exact"/>
        <w:ind w:firstLine="640" w:firstLineChars="200"/>
        <w:outlineLvl w:val="1"/>
        <w:rPr>
          <w:rFonts w:ascii="楷体_GB2312" w:hAnsi="黑体" w:eastAsia="楷体_GB2312"/>
          <w:bCs/>
          <w:color w:val="000000"/>
          <w:sz w:val="32"/>
          <w:szCs w:val="36"/>
        </w:rPr>
      </w:pPr>
      <w:r>
        <w:rPr>
          <w:rFonts w:hint="eastAsia" w:ascii="楷体_GB2312" w:hAnsi="黑体" w:eastAsia="楷体_GB2312"/>
          <w:bCs/>
          <w:color w:val="000000"/>
          <w:sz w:val="32"/>
          <w:szCs w:val="36"/>
        </w:rPr>
        <w:t>（七）关于土地收回和到期处置</w:t>
      </w: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sz w:val="32"/>
          <w:szCs w:val="36"/>
          <w:lang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6"/>
          <w:lang w:val="en-US" w:eastAsia="zh-CN"/>
        </w:rPr>
        <w:t>土地租赁</w:t>
      </w:r>
      <w:r>
        <w:rPr>
          <w:rFonts w:hint="eastAsia" w:ascii="仿宋_GB2312" w:hAnsi="黑体" w:eastAsia="仿宋_GB2312"/>
          <w:b/>
          <w:bCs/>
          <w:sz w:val="32"/>
          <w:szCs w:val="36"/>
        </w:rPr>
        <w:t>到期土地和建（构）筑物的处置。</w:t>
      </w:r>
      <w:r>
        <w:rPr>
          <w:rFonts w:hint="eastAsia" w:ascii="仿宋_GB2312" w:hAnsi="黑体" w:eastAsia="仿宋_GB2312"/>
          <w:sz w:val="32"/>
          <w:szCs w:val="36"/>
        </w:rPr>
        <w:t>到期后原则上土地应由前海管理局无偿收回，纳入储备土地管理。对于个别长期租赁项目可能存在超过</w:t>
      </w:r>
      <w:r>
        <w:rPr>
          <w:rFonts w:ascii="仿宋_GB2312" w:hAnsi="黑体" w:eastAsia="仿宋_GB2312"/>
          <w:sz w:val="32"/>
          <w:szCs w:val="36"/>
        </w:rPr>
        <w:t>20</w:t>
      </w:r>
      <w:r>
        <w:rPr>
          <w:rFonts w:hint="eastAsia" w:ascii="仿宋_GB2312" w:hAnsi="黑体" w:eastAsia="仿宋_GB2312"/>
          <w:sz w:val="32"/>
          <w:szCs w:val="36"/>
        </w:rPr>
        <w:t>年期限的需求，《办法》明确只有符合远期城市规划</w:t>
      </w:r>
      <w:r>
        <w:rPr>
          <w:rFonts w:ascii="仿宋_GB2312" w:hAnsi="黑体" w:eastAsia="仿宋_GB2312"/>
          <w:sz w:val="32"/>
          <w:szCs w:val="36"/>
        </w:rPr>
        <w:t>的</w:t>
      </w:r>
      <w:r>
        <w:rPr>
          <w:rFonts w:hint="eastAsia" w:ascii="仿宋_GB2312" w:hAnsi="黑体" w:eastAsia="仿宋_GB2312"/>
          <w:sz w:val="32"/>
          <w:szCs w:val="36"/>
        </w:rPr>
        <w:t>长期租赁用地，可以申请转为出让。对于</w:t>
      </w: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到期的</w:t>
      </w:r>
      <w:r>
        <w:rPr>
          <w:rFonts w:hint="eastAsia" w:ascii="仿宋_GB2312" w:hAnsi="黑体" w:eastAsia="仿宋_GB2312"/>
          <w:sz w:val="32"/>
          <w:szCs w:val="36"/>
        </w:rPr>
        <w:t>地上建（构）筑物，</w:t>
      </w: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原则上</w:t>
      </w:r>
      <w:r>
        <w:rPr>
          <w:rFonts w:hint="eastAsia" w:ascii="仿宋_GB2312" w:hAnsi="黑体" w:eastAsia="仿宋_GB2312"/>
          <w:sz w:val="32"/>
          <w:szCs w:val="36"/>
        </w:rPr>
        <w:t>应由使用权人自行拆除</w:t>
      </w:r>
      <w:r>
        <w:rPr>
          <w:rFonts w:hint="eastAsia" w:ascii="仿宋_GB2312" w:hAnsi="黑体" w:eastAsia="仿宋_GB2312"/>
          <w:sz w:val="32"/>
          <w:szCs w:val="36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b/>
          <w:bCs/>
          <w:sz w:val="32"/>
          <w:szCs w:val="36"/>
          <w:lang w:val="en-US" w:eastAsia="zh-CN"/>
        </w:rPr>
        <w:t>长期租赁续期的处置。</w:t>
      </w:r>
      <w:r>
        <w:rPr>
          <w:rFonts w:hint="eastAsia" w:ascii="仿宋_GB2312" w:hAnsi="黑体" w:eastAsia="仿宋_GB2312"/>
          <w:b w:val="0"/>
          <w:bCs w:val="0"/>
          <w:sz w:val="32"/>
          <w:szCs w:val="36"/>
          <w:lang w:val="en-US" w:eastAsia="zh-CN"/>
        </w:rPr>
        <w:t>对</w:t>
      </w: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长期租赁用地经前海管理局审批同意的，双方签订长期租赁补充协议，因前海合作区产业空间发展需要的，在补充协议中明确建（构）筑物要无偿移交前海管理局，同时承租人可以继续使用建（构）筑物。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b/>
          <w:bCs/>
          <w:sz w:val="32"/>
          <w:szCs w:val="36"/>
        </w:rPr>
        <w:t>提前或被</w:t>
      </w:r>
      <w:r>
        <w:rPr>
          <w:rFonts w:ascii="仿宋_GB2312" w:hAnsi="黑体" w:eastAsia="仿宋_GB2312"/>
          <w:b/>
          <w:bCs/>
          <w:sz w:val="32"/>
          <w:szCs w:val="36"/>
        </w:rPr>
        <w:t>强制收回</w:t>
      </w:r>
      <w:r>
        <w:rPr>
          <w:rFonts w:hint="eastAsia" w:ascii="仿宋_GB2312" w:hAnsi="黑体" w:eastAsia="仿宋_GB2312"/>
          <w:b/>
          <w:bCs/>
          <w:sz w:val="32"/>
          <w:szCs w:val="36"/>
        </w:rPr>
        <w:t>土地的处置。</w:t>
      </w:r>
      <w:r>
        <w:rPr>
          <w:rFonts w:hint="eastAsia" w:ascii="仿宋_GB2312" w:hAnsi="黑体" w:eastAsia="仿宋_GB2312"/>
          <w:sz w:val="32"/>
          <w:szCs w:val="36"/>
        </w:rPr>
        <w:t>由于城市规划、抢险救灾或公共利益等情形需要提前收回土地的，明确了土地和建（构）筑物的补偿标准；由于使用权人违反合同约定且拒不改正，或逾期不交回土地等原因的，明确由辖区规划土地监察机构按规定予以查处，土地交前海管理局无偿收回。</w:t>
      </w: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bCs/>
          <w:sz w:val="32"/>
          <w:szCs w:val="36"/>
        </w:rPr>
      </w:pPr>
      <w:r>
        <w:rPr>
          <w:rFonts w:hint="eastAsia" w:ascii="仿宋_GB2312" w:hAnsi="黑体" w:eastAsia="仿宋_GB2312"/>
          <w:b/>
          <w:bCs/>
          <w:sz w:val="32"/>
          <w:szCs w:val="36"/>
        </w:rPr>
        <w:t>主动退出</w:t>
      </w:r>
      <w:r>
        <w:rPr>
          <w:rFonts w:hint="eastAsia" w:ascii="仿宋_GB2312" w:hAnsi="黑体" w:eastAsia="仿宋_GB2312"/>
          <w:b/>
          <w:bCs/>
          <w:sz w:val="32"/>
          <w:szCs w:val="36"/>
          <w:lang w:val="en-US" w:eastAsia="zh-CN"/>
        </w:rPr>
        <w:t>土地租赁</w:t>
      </w:r>
      <w:r>
        <w:rPr>
          <w:rFonts w:hint="eastAsia" w:ascii="仿宋_GB2312" w:hAnsi="黑体" w:eastAsia="仿宋_GB2312"/>
          <w:b/>
          <w:bCs/>
          <w:sz w:val="32"/>
          <w:szCs w:val="36"/>
        </w:rPr>
        <w:t>的</w:t>
      </w:r>
      <w:r>
        <w:rPr>
          <w:rFonts w:ascii="仿宋_GB2312" w:hAnsi="黑体" w:eastAsia="仿宋_GB2312"/>
          <w:b/>
          <w:bCs/>
          <w:sz w:val="32"/>
          <w:szCs w:val="36"/>
        </w:rPr>
        <w:t>处置</w:t>
      </w:r>
      <w:r>
        <w:rPr>
          <w:rFonts w:hint="eastAsia" w:ascii="仿宋_GB2312" w:hAnsi="黑体" w:eastAsia="仿宋_GB2312"/>
          <w:b/>
          <w:bCs/>
          <w:sz w:val="32"/>
          <w:szCs w:val="36"/>
        </w:rPr>
        <w:t>。</w:t>
      </w:r>
      <w:r>
        <w:rPr>
          <w:rFonts w:hint="eastAsia" w:ascii="仿宋_GB2312" w:hAnsi="黑体" w:eastAsia="仿宋_GB2312"/>
          <w:sz w:val="32"/>
          <w:szCs w:val="36"/>
        </w:rPr>
        <w:t>考虑到使用权人会有期满前主动退出土地租赁的情形，明确了退出时土地和建筑物的处置方式和地价退还规定</w:t>
      </w:r>
      <w:r>
        <w:rPr>
          <w:rFonts w:hint="eastAsia" w:ascii="仿宋_GB2312" w:hAnsi="黑体" w:eastAsia="仿宋_GB2312"/>
          <w:b/>
          <w:bCs/>
          <w:sz w:val="32"/>
          <w:szCs w:val="36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b w:val="0"/>
          <w:bCs w:val="0"/>
          <w:sz w:val="32"/>
          <w:szCs w:val="36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6"/>
          <w:lang w:val="en-US" w:eastAsia="zh-CN"/>
        </w:rPr>
        <w:t>同时，对于</w:t>
      </w:r>
      <w:r>
        <w:rPr>
          <w:rFonts w:hint="eastAsia" w:ascii="仿宋_GB2312" w:hAnsi="黑体" w:eastAsia="仿宋_GB2312"/>
          <w:b w:val="0"/>
          <w:bCs w:val="0"/>
          <w:sz w:val="32"/>
          <w:szCs w:val="36"/>
        </w:rPr>
        <w:t>已登记的租赁土地提前收回、强制收回或租赁期满不续期的，</w:t>
      </w:r>
      <w:r>
        <w:rPr>
          <w:rFonts w:hint="eastAsia" w:ascii="仿宋_GB2312" w:hAnsi="黑体" w:eastAsia="仿宋_GB2312"/>
          <w:sz w:val="32"/>
          <w:szCs w:val="36"/>
        </w:rPr>
        <w:t>实务中权利人易怠于注销登记，</w:t>
      </w: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按照</w:t>
      </w:r>
      <w:r>
        <w:rPr>
          <w:rFonts w:hint="eastAsia" w:ascii="仿宋_GB2312" w:hAnsi="黑体" w:eastAsia="仿宋_GB2312"/>
          <w:sz w:val="32"/>
          <w:szCs w:val="36"/>
        </w:rPr>
        <w:t>《民法典》第三百六十条规定“建设用地使用权消灭的，出让人应当及时办理注销登记。登记机构应当收回权属证书”</w:t>
      </w:r>
      <w:r>
        <w:rPr>
          <w:rFonts w:hint="eastAsia" w:ascii="仿宋_GB2312" w:hAnsi="黑体" w:eastAsia="仿宋_GB2312"/>
          <w:sz w:val="32"/>
          <w:szCs w:val="36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6"/>
        </w:rPr>
        <w:t>明确出租人及时</w:t>
      </w:r>
      <w:r>
        <w:rPr>
          <w:rFonts w:hint="eastAsia" w:ascii="仿宋_GB2312" w:hAnsi="黑体" w:eastAsia="仿宋_GB2312"/>
          <w:b w:val="0"/>
          <w:bCs w:val="0"/>
          <w:sz w:val="32"/>
          <w:szCs w:val="36"/>
        </w:rPr>
        <w:t>向不动产登记机构出具嘱托文件</w:t>
      </w:r>
      <w:r>
        <w:rPr>
          <w:rFonts w:hint="eastAsia" w:ascii="仿宋_GB2312" w:hAnsi="黑体" w:eastAsia="仿宋_GB2312"/>
          <w:sz w:val="32"/>
          <w:szCs w:val="36"/>
        </w:rPr>
        <w:t>办理注销登记，确保登记公示内容与实际情况相符。</w:t>
      </w:r>
    </w:p>
    <w:p>
      <w:pPr>
        <w:spacing w:line="560" w:lineRule="exact"/>
        <w:ind w:firstLine="640" w:firstLineChars="200"/>
        <w:outlineLvl w:val="1"/>
        <w:rPr>
          <w:rFonts w:ascii="楷体_GB2312" w:hAnsi="黑体" w:eastAsia="楷体_GB2312"/>
          <w:bCs/>
          <w:color w:val="000000"/>
          <w:sz w:val="32"/>
          <w:szCs w:val="36"/>
        </w:rPr>
      </w:pPr>
      <w:r>
        <w:rPr>
          <w:rFonts w:hint="eastAsia" w:ascii="楷体_GB2312" w:hAnsi="黑体" w:eastAsia="楷体_GB2312"/>
          <w:bCs/>
          <w:color w:val="000000"/>
          <w:sz w:val="32"/>
          <w:szCs w:val="36"/>
        </w:rPr>
        <w:t>（八）关于监督管理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Times New Roman" w:hAnsi="Times New Roman" w:eastAsia="仿宋_GB2312"/>
          <w:b/>
          <w:bCs/>
          <w:sz w:val="32"/>
          <w:szCs w:val="36"/>
        </w:rPr>
        <w:t>以“信用管理</w:t>
      </w:r>
      <w:r>
        <w:rPr>
          <w:rFonts w:ascii="Times New Roman" w:hAnsi="Times New Roman" w:eastAsia="仿宋_GB2312"/>
          <w:b/>
          <w:bCs/>
          <w:sz w:val="32"/>
          <w:szCs w:val="36"/>
        </w:rPr>
        <w:t>+</w:t>
      </w:r>
      <w:r>
        <w:rPr>
          <w:rFonts w:hint="eastAsia" w:ascii="Times New Roman" w:hAnsi="Times New Roman" w:eastAsia="仿宋_GB2312"/>
          <w:b/>
          <w:bCs/>
          <w:sz w:val="32"/>
          <w:szCs w:val="36"/>
        </w:rPr>
        <w:t>履约担保”方式强化土地监管</w:t>
      </w:r>
      <w:r>
        <w:rPr>
          <w:rFonts w:hint="eastAsia" w:ascii="Times New Roman" w:hAnsi="Times New Roman" w:eastAsia="仿宋_GB2312"/>
          <w:sz w:val="32"/>
          <w:szCs w:val="36"/>
        </w:rPr>
        <w:t>，形成奖优罚劣、针对性强的精细化监管激励机制，有效防范用地违规违约、土地收回困难等风险。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b w:val="0"/>
          <w:bCs/>
          <w:sz w:val="32"/>
          <w:szCs w:val="36"/>
        </w:rPr>
        <w:t>通过公共信用管理的方式，建立土地监管与企业信用的联动机制。</w:t>
      </w:r>
      <w:r>
        <w:rPr>
          <w:rFonts w:hint="eastAsia" w:ascii="仿宋_GB2312" w:hAnsi="黑体" w:eastAsia="仿宋_GB2312"/>
          <w:sz w:val="32"/>
          <w:szCs w:val="36"/>
        </w:rPr>
        <w:t>以</w:t>
      </w: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用地</w:t>
      </w:r>
      <w:r>
        <w:rPr>
          <w:rFonts w:hint="eastAsia" w:ascii="仿宋_GB2312" w:hAnsi="黑体" w:eastAsia="仿宋_GB2312"/>
          <w:sz w:val="32"/>
          <w:szCs w:val="36"/>
        </w:rPr>
        <w:t>合同内容为监管核心确定用地违规违约行为，相关信息将纳入前海公共信用平台，并与市公共信用信息管理系统关联，通过平台公示等方式约束用地主体违规违约行为，依法依规对严重失信责任主体实施信用惩戒，解决过去对此类行为监管乏力的问题。同时，按照信用全过程管理的要求，允许符合条件的使用权人进行信用修复，保障市场秩序良好运行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b w:val="0"/>
          <w:bCs/>
          <w:sz w:val="32"/>
          <w:szCs w:val="36"/>
        </w:rPr>
        <w:t>通过履约担保方式，以经济手段保障</w:t>
      </w:r>
      <w:r>
        <w:rPr>
          <w:rFonts w:hint="eastAsia" w:ascii="仿宋_GB2312" w:hAnsi="黑体" w:eastAsia="仿宋_GB2312"/>
          <w:b w:val="0"/>
          <w:bCs/>
          <w:sz w:val="32"/>
          <w:szCs w:val="36"/>
          <w:lang w:val="en-US" w:eastAsia="zh-CN"/>
        </w:rPr>
        <w:t>用地</w:t>
      </w:r>
      <w:r>
        <w:rPr>
          <w:rFonts w:hint="eastAsia" w:ascii="仿宋_GB2312" w:hAnsi="黑体" w:eastAsia="仿宋_GB2312"/>
          <w:b w:val="0"/>
          <w:bCs/>
          <w:sz w:val="32"/>
          <w:szCs w:val="36"/>
        </w:rPr>
        <w:t>合同约定的各项条款履行，有效加强土地批后监管。</w:t>
      </w:r>
      <w:r>
        <w:rPr>
          <w:rFonts w:hint="eastAsia" w:ascii="仿宋_GB2312" w:hAnsi="黑体" w:eastAsia="仿宋_GB2312"/>
          <w:sz w:val="32"/>
          <w:szCs w:val="36"/>
        </w:rPr>
        <w:t>担保金额可以按地价一定比例计算，参考招投标相关规定，最高不超过</w:t>
      </w: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使用年期</w:t>
      </w:r>
      <w:r>
        <w:rPr>
          <w:rFonts w:hint="eastAsia" w:ascii="仿宋_GB2312" w:hAnsi="黑体" w:eastAsia="仿宋_GB2312"/>
          <w:sz w:val="32"/>
          <w:szCs w:val="36"/>
        </w:rPr>
        <w:t>地价总额的</w:t>
      </w:r>
      <w:r>
        <w:rPr>
          <w:rFonts w:ascii="仿宋_GB2312" w:hAnsi="黑体" w:eastAsia="仿宋_GB2312"/>
          <w:sz w:val="32"/>
          <w:szCs w:val="36"/>
        </w:rPr>
        <w:t>10%，</w:t>
      </w:r>
      <w:r>
        <w:rPr>
          <w:rFonts w:hint="eastAsia" w:ascii="仿宋_GB2312" w:hAnsi="黑体" w:eastAsia="仿宋_GB2312"/>
          <w:sz w:val="32"/>
          <w:szCs w:val="36"/>
        </w:rPr>
        <w:t>对</w:t>
      </w:r>
      <w:r>
        <w:rPr>
          <w:rFonts w:ascii="仿宋_GB2312" w:hAnsi="黑体" w:eastAsia="仿宋_GB2312"/>
          <w:sz w:val="32"/>
          <w:szCs w:val="36"/>
        </w:rPr>
        <w:t>信用评价为A级的企业担保金额可以降低</w:t>
      </w:r>
      <w:r>
        <w:rPr>
          <w:rFonts w:hint="eastAsia" w:ascii="仿宋_GB2312" w:hAnsi="黑体" w:eastAsia="仿宋_GB2312"/>
          <w:sz w:val="32"/>
          <w:szCs w:val="36"/>
        </w:rPr>
        <w:t>为5</w:t>
      </w:r>
      <w:r>
        <w:rPr>
          <w:rFonts w:ascii="仿宋_GB2312" w:hAnsi="黑体" w:eastAsia="仿宋_GB2312"/>
          <w:sz w:val="32"/>
          <w:szCs w:val="36"/>
        </w:rPr>
        <w:t>0</w:t>
      </w:r>
      <w:r>
        <w:rPr>
          <w:rFonts w:hint="eastAsia" w:ascii="仿宋_GB2312" w:hAnsi="黑体" w:eastAsia="仿宋_GB2312"/>
          <w:sz w:val="32"/>
          <w:szCs w:val="36"/>
        </w:rPr>
        <w:t>%，激励用地主题严格履约、恪守信用。</w:t>
      </w:r>
    </w:p>
    <w:p>
      <w:pPr>
        <w:spacing w:line="560" w:lineRule="exact"/>
        <w:ind w:firstLine="640" w:firstLineChars="200"/>
        <w:outlineLvl w:val="1"/>
        <w:rPr>
          <w:rFonts w:ascii="楷体_GB2312" w:hAnsi="黑体" w:eastAsia="楷体_GB2312"/>
          <w:bCs/>
          <w:color w:val="000000"/>
          <w:sz w:val="32"/>
          <w:szCs w:val="36"/>
        </w:rPr>
      </w:pPr>
      <w:r>
        <w:rPr>
          <w:rFonts w:hint="eastAsia" w:ascii="楷体_GB2312" w:hAnsi="黑体" w:eastAsia="楷体_GB2312"/>
          <w:bCs/>
          <w:color w:val="000000"/>
          <w:sz w:val="32"/>
          <w:szCs w:val="36"/>
        </w:rPr>
        <w:t>（九）关于政策衔接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6"/>
          <w:lang w:eastAsia="zh-CN"/>
        </w:rPr>
      </w:pPr>
      <w:r>
        <w:rPr>
          <w:rFonts w:hint="eastAsia" w:ascii="仿宋_GB2312" w:hAnsi="黑体" w:eastAsia="仿宋_GB2312"/>
          <w:sz w:val="32"/>
          <w:szCs w:val="36"/>
        </w:rPr>
        <w:t>《办法</w:t>
      </w:r>
      <w:r>
        <w:rPr>
          <w:rFonts w:hint="eastAsia" w:ascii="仿宋_GB2312" w:hAnsi="黑体" w:eastAsia="仿宋_GB2312"/>
          <w:color w:val="000000"/>
          <w:sz w:val="32"/>
          <w:szCs w:val="36"/>
        </w:rPr>
        <w:t>（试行）</w:t>
      </w:r>
      <w:r>
        <w:rPr>
          <w:rFonts w:hint="eastAsia" w:ascii="仿宋_GB2312" w:hAnsi="黑体" w:eastAsia="仿宋_GB2312"/>
          <w:sz w:val="32"/>
          <w:szCs w:val="36"/>
        </w:rPr>
        <w:t>》已于2</w:t>
      </w:r>
      <w:r>
        <w:rPr>
          <w:rFonts w:ascii="仿宋_GB2312" w:hAnsi="黑体" w:eastAsia="仿宋_GB2312"/>
          <w:sz w:val="32"/>
          <w:szCs w:val="36"/>
        </w:rPr>
        <w:t>022</w:t>
      </w:r>
      <w:r>
        <w:rPr>
          <w:rFonts w:hint="eastAsia" w:ascii="仿宋_GB2312" w:hAnsi="黑体" w:eastAsia="仿宋_GB2312"/>
          <w:sz w:val="32"/>
          <w:szCs w:val="36"/>
        </w:rPr>
        <w:t>年4月25日到期失效，为确保《办法》出台后新旧政策顺利过渡和已开展</w:t>
      </w: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土地租赁</w:t>
      </w:r>
      <w:r>
        <w:rPr>
          <w:rFonts w:hint="eastAsia" w:ascii="仿宋_GB2312" w:hAnsi="黑体" w:eastAsia="仿宋_GB2312"/>
          <w:sz w:val="32"/>
          <w:szCs w:val="36"/>
        </w:rPr>
        <w:t>项目有序实施，明确了《办法》实施前已签订土地使用权租赁合同同的，从其约定，无约定或约定不明的，按照《办法》执行。此外，考虑到土地</w:t>
      </w: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租赁</w:t>
      </w:r>
      <w:r>
        <w:rPr>
          <w:rFonts w:hint="eastAsia" w:ascii="仿宋_GB2312" w:hAnsi="黑体" w:eastAsia="仿宋_GB2312"/>
          <w:sz w:val="32"/>
          <w:szCs w:val="36"/>
        </w:rPr>
        <w:t>与城市更新</w:t>
      </w: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等存量开发</w:t>
      </w:r>
      <w:r>
        <w:rPr>
          <w:rFonts w:hint="eastAsia" w:ascii="仿宋_GB2312" w:hAnsi="黑体" w:eastAsia="仿宋_GB2312"/>
          <w:sz w:val="32"/>
          <w:szCs w:val="36"/>
        </w:rPr>
        <w:t>政策存在较大差异，《办法》明确土地在</w:t>
      </w: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租赁</w:t>
      </w:r>
      <w:r>
        <w:rPr>
          <w:rFonts w:hint="eastAsia" w:ascii="仿宋_GB2312" w:hAnsi="黑体" w:eastAsia="仿宋_GB2312"/>
          <w:sz w:val="32"/>
          <w:szCs w:val="36"/>
        </w:rPr>
        <w:t>期间不得纳入城市更新单元计划</w:t>
      </w:r>
      <w:r>
        <w:rPr>
          <w:rFonts w:hint="eastAsia" w:ascii="仿宋_GB2312" w:hAnsi="黑体" w:eastAsia="仿宋_GB2312"/>
          <w:sz w:val="32"/>
          <w:szCs w:val="36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专此说明。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 w:rightChars="75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</w:rPr>
      <w:t>10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bordersDoNotSurroundHeader w:val="1"/>
  <w:bordersDoNotSurroundFooter w:val="1"/>
  <w:trackRevisions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C7"/>
    <w:rsid w:val="0000217C"/>
    <w:rsid w:val="00004192"/>
    <w:rsid w:val="00004D46"/>
    <w:rsid w:val="0000619C"/>
    <w:rsid w:val="00006B22"/>
    <w:rsid w:val="0001734D"/>
    <w:rsid w:val="00027C5B"/>
    <w:rsid w:val="00033FF3"/>
    <w:rsid w:val="000557F5"/>
    <w:rsid w:val="0005617C"/>
    <w:rsid w:val="0005654B"/>
    <w:rsid w:val="000606CE"/>
    <w:rsid w:val="00061E4D"/>
    <w:rsid w:val="0006254F"/>
    <w:rsid w:val="00081FA8"/>
    <w:rsid w:val="00083601"/>
    <w:rsid w:val="00085E6A"/>
    <w:rsid w:val="0009105E"/>
    <w:rsid w:val="00093533"/>
    <w:rsid w:val="00096B7C"/>
    <w:rsid w:val="000A0352"/>
    <w:rsid w:val="000A3D45"/>
    <w:rsid w:val="000A3E69"/>
    <w:rsid w:val="000B655B"/>
    <w:rsid w:val="000D17FF"/>
    <w:rsid w:val="000D7194"/>
    <w:rsid w:val="001076CD"/>
    <w:rsid w:val="001400B3"/>
    <w:rsid w:val="001648E2"/>
    <w:rsid w:val="001657C0"/>
    <w:rsid w:val="0016632E"/>
    <w:rsid w:val="0016698D"/>
    <w:rsid w:val="00167DAF"/>
    <w:rsid w:val="00167EDB"/>
    <w:rsid w:val="001759B9"/>
    <w:rsid w:val="00187D09"/>
    <w:rsid w:val="001947B9"/>
    <w:rsid w:val="001A6D6E"/>
    <w:rsid w:val="001B3F0D"/>
    <w:rsid w:val="001C40F9"/>
    <w:rsid w:val="001E2240"/>
    <w:rsid w:val="001F2881"/>
    <w:rsid w:val="001F2C07"/>
    <w:rsid w:val="001F5AF4"/>
    <w:rsid w:val="001F7B75"/>
    <w:rsid w:val="002123D1"/>
    <w:rsid w:val="00215FCD"/>
    <w:rsid w:val="0021772F"/>
    <w:rsid w:val="002263A3"/>
    <w:rsid w:val="002263FB"/>
    <w:rsid w:val="00227375"/>
    <w:rsid w:val="002321DA"/>
    <w:rsid w:val="00233239"/>
    <w:rsid w:val="00257BFB"/>
    <w:rsid w:val="00263B0C"/>
    <w:rsid w:val="00266E48"/>
    <w:rsid w:val="0027421F"/>
    <w:rsid w:val="00285C13"/>
    <w:rsid w:val="00291D1E"/>
    <w:rsid w:val="002A00C0"/>
    <w:rsid w:val="002A1AB9"/>
    <w:rsid w:val="002B4846"/>
    <w:rsid w:val="002C235B"/>
    <w:rsid w:val="002C2DAE"/>
    <w:rsid w:val="002D2291"/>
    <w:rsid w:val="002F265F"/>
    <w:rsid w:val="002F51F4"/>
    <w:rsid w:val="003012F3"/>
    <w:rsid w:val="0030607E"/>
    <w:rsid w:val="0031218F"/>
    <w:rsid w:val="0031266D"/>
    <w:rsid w:val="00320007"/>
    <w:rsid w:val="00320D38"/>
    <w:rsid w:val="00347508"/>
    <w:rsid w:val="00352787"/>
    <w:rsid w:val="00357DF9"/>
    <w:rsid w:val="00357E26"/>
    <w:rsid w:val="00366E42"/>
    <w:rsid w:val="00384A15"/>
    <w:rsid w:val="00393D44"/>
    <w:rsid w:val="00395C96"/>
    <w:rsid w:val="003A3769"/>
    <w:rsid w:val="003A4A17"/>
    <w:rsid w:val="003B67C5"/>
    <w:rsid w:val="003C4985"/>
    <w:rsid w:val="003C56F5"/>
    <w:rsid w:val="003C6B59"/>
    <w:rsid w:val="003D1EF8"/>
    <w:rsid w:val="003D3EFA"/>
    <w:rsid w:val="003D4DAC"/>
    <w:rsid w:val="003D5EA5"/>
    <w:rsid w:val="003F7458"/>
    <w:rsid w:val="00401D25"/>
    <w:rsid w:val="00402453"/>
    <w:rsid w:val="00403BCA"/>
    <w:rsid w:val="00406DDE"/>
    <w:rsid w:val="0040727D"/>
    <w:rsid w:val="004105BD"/>
    <w:rsid w:val="00411818"/>
    <w:rsid w:val="00426081"/>
    <w:rsid w:val="00432FC1"/>
    <w:rsid w:val="00434F36"/>
    <w:rsid w:val="00443652"/>
    <w:rsid w:val="004461EB"/>
    <w:rsid w:val="00475381"/>
    <w:rsid w:val="004D60D4"/>
    <w:rsid w:val="004F2537"/>
    <w:rsid w:val="004F443B"/>
    <w:rsid w:val="004F739E"/>
    <w:rsid w:val="00526E9D"/>
    <w:rsid w:val="005350EF"/>
    <w:rsid w:val="005460C4"/>
    <w:rsid w:val="005512A0"/>
    <w:rsid w:val="00566FCF"/>
    <w:rsid w:val="005704FD"/>
    <w:rsid w:val="00571C12"/>
    <w:rsid w:val="005723F1"/>
    <w:rsid w:val="00573E7F"/>
    <w:rsid w:val="00583093"/>
    <w:rsid w:val="00587862"/>
    <w:rsid w:val="00597C1D"/>
    <w:rsid w:val="005A271B"/>
    <w:rsid w:val="005B0A01"/>
    <w:rsid w:val="005B13C0"/>
    <w:rsid w:val="005B61E2"/>
    <w:rsid w:val="005C13FE"/>
    <w:rsid w:val="005D1B16"/>
    <w:rsid w:val="005D5D9B"/>
    <w:rsid w:val="005D72F1"/>
    <w:rsid w:val="005D7FFB"/>
    <w:rsid w:val="005E36D5"/>
    <w:rsid w:val="005E3D1D"/>
    <w:rsid w:val="00604897"/>
    <w:rsid w:val="00611DA2"/>
    <w:rsid w:val="006162AF"/>
    <w:rsid w:val="006326F2"/>
    <w:rsid w:val="00642BD3"/>
    <w:rsid w:val="006814E9"/>
    <w:rsid w:val="00681CC3"/>
    <w:rsid w:val="006825A2"/>
    <w:rsid w:val="0069325D"/>
    <w:rsid w:val="006B1354"/>
    <w:rsid w:val="006E2C92"/>
    <w:rsid w:val="006E2D89"/>
    <w:rsid w:val="006E5AB7"/>
    <w:rsid w:val="006E5E82"/>
    <w:rsid w:val="00700B87"/>
    <w:rsid w:val="0071058D"/>
    <w:rsid w:val="0071450E"/>
    <w:rsid w:val="00716965"/>
    <w:rsid w:val="00720167"/>
    <w:rsid w:val="00721145"/>
    <w:rsid w:val="007308E6"/>
    <w:rsid w:val="00733CE3"/>
    <w:rsid w:val="00763C3F"/>
    <w:rsid w:val="007754F2"/>
    <w:rsid w:val="0079499D"/>
    <w:rsid w:val="007A1CC6"/>
    <w:rsid w:val="007B4A25"/>
    <w:rsid w:val="007C027B"/>
    <w:rsid w:val="007D03F8"/>
    <w:rsid w:val="007D3F51"/>
    <w:rsid w:val="007D71B7"/>
    <w:rsid w:val="007E2277"/>
    <w:rsid w:val="007E57E4"/>
    <w:rsid w:val="007E5A9A"/>
    <w:rsid w:val="007E67F6"/>
    <w:rsid w:val="007E782A"/>
    <w:rsid w:val="007F236F"/>
    <w:rsid w:val="007F3537"/>
    <w:rsid w:val="00805EEA"/>
    <w:rsid w:val="00807043"/>
    <w:rsid w:val="008133B8"/>
    <w:rsid w:val="0081348D"/>
    <w:rsid w:val="00814BA3"/>
    <w:rsid w:val="00835ED1"/>
    <w:rsid w:val="00855CA7"/>
    <w:rsid w:val="00860883"/>
    <w:rsid w:val="00861551"/>
    <w:rsid w:val="0086467F"/>
    <w:rsid w:val="00864E4B"/>
    <w:rsid w:val="008670FD"/>
    <w:rsid w:val="00870FE9"/>
    <w:rsid w:val="008736A9"/>
    <w:rsid w:val="00873F04"/>
    <w:rsid w:val="008765FA"/>
    <w:rsid w:val="0087799F"/>
    <w:rsid w:val="008976AE"/>
    <w:rsid w:val="008A0BFD"/>
    <w:rsid w:val="008A2A22"/>
    <w:rsid w:val="008B2037"/>
    <w:rsid w:val="008B2F94"/>
    <w:rsid w:val="008B5789"/>
    <w:rsid w:val="008B5C89"/>
    <w:rsid w:val="008C5AFF"/>
    <w:rsid w:val="008C6387"/>
    <w:rsid w:val="008D13B6"/>
    <w:rsid w:val="008E5583"/>
    <w:rsid w:val="008F4D1C"/>
    <w:rsid w:val="008F5841"/>
    <w:rsid w:val="00900284"/>
    <w:rsid w:val="009035C7"/>
    <w:rsid w:val="009059D0"/>
    <w:rsid w:val="009066B7"/>
    <w:rsid w:val="00912F14"/>
    <w:rsid w:val="0091305D"/>
    <w:rsid w:val="0092261C"/>
    <w:rsid w:val="009240F4"/>
    <w:rsid w:val="00926FE7"/>
    <w:rsid w:val="009435C2"/>
    <w:rsid w:val="0095779F"/>
    <w:rsid w:val="0098023B"/>
    <w:rsid w:val="009809FD"/>
    <w:rsid w:val="009973E4"/>
    <w:rsid w:val="009A0AEE"/>
    <w:rsid w:val="009A0DE6"/>
    <w:rsid w:val="009A578C"/>
    <w:rsid w:val="009A6EB5"/>
    <w:rsid w:val="009B3BE4"/>
    <w:rsid w:val="009E6CF7"/>
    <w:rsid w:val="009F7E7C"/>
    <w:rsid w:val="00A13C45"/>
    <w:rsid w:val="00A44246"/>
    <w:rsid w:val="00A54CBE"/>
    <w:rsid w:val="00A63B0C"/>
    <w:rsid w:val="00A648A5"/>
    <w:rsid w:val="00A80C64"/>
    <w:rsid w:val="00A82E2D"/>
    <w:rsid w:val="00A96D9C"/>
    <w:rsid w:val="00AA2B2D"/>
    <w:rsid w:val="00AB20E1"/>
    <w:rsid w:val="00AC3312"/>
    <w:rsid w:val="00AD6679"/>
    <w:rsid w:val="00AE08AD"/>
    <w:rsid w:val="00AE194F"/>
    <w:rsid w:val="00AE63CB"/>
    <w:rsid w:val="00AF0D37"/>
    <w:rsid w:val="00AF23F7"/>
    <w:rsid w:val="00AF4B97"/>
    <w:rsid w:val="00B06D98"/>
    <w:rsid w:val="00B14193"/>
    <w:rsid w:val="00B22F17"/>
    <w:rsid w:val="00B3144B"/>
    <w:rsid w:val="00B32798"/>
    <w:rsid w:val="00B5025E"/>
    <w:rsid w:val="00B518F4"/>
    <w:rsid w:val="00B62E06"/>
    <w:rsid w:val="00B6695B"/>
    <w:rsid w:val="00B672D1"/>
    <w:rsid w:val="00B70BD2"/>
    <w:rsid w:val="00B90500"/>
    <w:rsid w:val="00B91109"/>
    <w:rsid w:val="00BA0684"/>
    <w:rsid w:val="00BA4CAB"/>
    <w:rsid w:val="00BB4DB5"/>
    <w:rsid w:val="00BC17E2"/>
    <w:rsid w:val="00BC4799"/>
    <w:rsid w:val="00BC5AA4"/>
    <w:rsid w:val="00BF174D"/>
    <w:rsid w:val="00BF1EC5"/>
    <w:rsid w:val="00BF4569"/>
    <w:rsid w:val="00C10BC7"/>
    <w:rsid w:val="00C13CFE"/>
    <w:rsid w:val="00C16AA8"/>
    <w:rsid w:val="00C24B75"/>
    <w:rsid w:val="00C310BD"/>
    <w:rsid w:val="00C5451A"/>
    <w:rsid w:val="00C5508F"/>
    <w:rsid w:val="00C567D2"/>
    <w:rsid w:val="00C56C43"/>
    <w:rsid w:val="00C61A8E"/>
    <w:rsid w:val="00C70548"/>
    <w:rsid w:val="00C72D7A"/>
    <w:rsid w:val="00C77D0C"/>
    <w:rsid w:val="00C839B0"/>
    <w:rsid w:val="00C8768C"/>
    <w:rsid w:val="00C93B5B"/>
    <w:rsid w:val="00C94190"/>
    <w:rsid w:val="00CB0081"/>
    <w:rsid w:val="00CB3B94"/>
    <w:rsid w:val="00CD67AC"/>
    <w:rsid w:val="00CD788B"/>
    <w:rsid w:val="00CE0BC5"/>
    <w:rsid w:val="00CE2A77"/>
    <w:rsid w:val="00CE4D6F"/>
    <w:rsid w:val="00CE6D40"/>
    <w:rsid w:val="00CF150D"/>
    <w:rsid w:val="00CF2461"/>
    <w:rsid w:val="00D129D6"/>
    <w:rsid w:val="00D22DD2"/>
    <w:rsid w:val="00D30634"/>
    <w:rsid w:val="00D30685"/>
    <w:rsid w:val="00D527E6"/>
    <w:rsid w:val="00D55261"/>
    <w:rsid w:val="00D55352"/>
    <w:rsid w:val="00D6169C"/>
    <w:rsid w:val="00D64DF5"/>
    <w:rsid w:val="00D86FFD"/>
    <w:rsid w:val="00DA3B07"/>
    <w:rsid w:val="00DB3941"/>
    <w:rsid w:val="00DB6446"/>
    <w:rsid w:val="00DC021D"/>
    <w:rsid w:val="00DC4BF9"/>
    <w:rsid w:val="00DC5FDD"/>
    <w:rsid w:val="00DD5F95"/>
    <w:rsid w:val="00DD718C"/>
    <w:rsid w:val="00DE6DB2"/>
    <w:rsid w:val="00DE7768"/>
    <w:rsid w:val="00DF4659"/>
    <w:rsid w:val="00E20506"/>
    <w:rsid w:val="00E56C89"/>
    <w:rsid w:val="00E57810"/>
    <w:rsid w:val="00E74475"/>
    <w:rsid w:val="00E76027"/>
    <w:rsid w:val="00E77786"/>
    <w:rsid w:val="00EA72E9"/>
    <w:rsid w:val="00EB2AFB"/>
    <w:rsid w:val="00EB47CE"/>
    <w:rsid w:val="00EC0CBB"/>
    <w:rsid w:val="00EC3621"/>
    <w:rsid w:val="00EC5B1F"/>
    <w:rsid w:val="00EC60DF"/>
    <w:rsid w:val="00ED012C"/>
    <w:rsid w:val="00ED0BC9"/>
    <w:rsid w:val="00ED0EB6"/>
    <w:rsid w:val="00ED3FBE"/>
    <w:rsid w:val="00ED6AFE"/>
    <w:rsid w:val="00EE0662"/>
    <w:rsid w:val="00EE486E"/>
    <w:rsid w:val="00F062A3"/>
    <w:rsid w:val="00F06AA2"/>
    <w:rsid w:val="00F06C4E"/>
    <w:rsid w:val="00F10B51"/>
    <w:rsid w:val="00F1108E"/>
    <w:rsid w:val="00F13AAA"/>
    <w:rsid w:val="00F213E8"/>
    <w:rsid w:val="00F2325D"/>
    <w:rsid w:val="00F25EC1"/>
    <w:rsid w:val="00F30D47"/>
    <w:rsid w:val="00F349C7"/>
    <w:rsid w:val="00F402DF"/>
    <w:rsid w:val="00F4295C"/>
    <w:rsid w:val="00F60A29"/>
    <w:rsid w:val="00F60BED"/>
    <w:rsid w:val="00F64593"/>
    <w:rsid w:val="00F706CC"/>
    <w:rsid w:val="00F761F3"/>
    <w:rsid w:val="00F833F4"/>
    <w:rsid w:val="00F83F16"/>
    <w:rsid w:val="00F86E72"/>
    <w:rsid w:val="00F9074B"/>
    <w:rsid w:val="00F9173A"/>
    <w:rsid w:val="00F97541"/>
    <w:rsid w:val="00FA444C"/>
    <w:rsid w:val="00FA7C23"/>
    <w:rsid w:val="00FB3BBA"/>
    <w:rsid w:val="00FC3BFB"/>
    <w:rsid w:val="00FD44B5"/>
    <w:rsid w:val="00FD76FF"/>
    <w:rsid w:val="00FE3E93"/>
    <w:rsid w:val="00FE5EE3"/>
    <w:rsid w:val="00FE6CD1"/>
    <w:rsid w:val="0C4C22D3"/>
    <w:rsid w:val="10EB7442"/>
    <w:rsid w:val="20FE1E68"/>
    <w:rsid w:val="254D2652"/>
    <w:rsid w:val="27350359"/>
    <w:rsid w:val="2C241588"/>
    <w:rsid w:val="35914CFD"/>
    <w:rsid w:val="375537B5"/>
    <w:rsid w:val="470B19BA"/>
    <w:rsid w:val="4AB21CCA"/>
    <w:rsid w:val="5200713A"/>
    <w:rsid w:val="55545189"/>
    <w:rsid w:val="5B85514F"/>
    <w:rsid w:val="5D5029C2"/>
    <w:rsid w:val="609B25D9"/>
    <w:rsid w:val="62646DD6"/>
    <w:rsid w:val="628E13E4"/>
    <w:rsid w:val="63B02441"/>
    <w:rsid w:val="71D526CC"/>
    <w:rsid w:val="7B574EB9"/>
    <w:rsid w:val="7C4614D6"/>
    <w:rsid w:val="7C81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ahoma" w:hAnsi="Tahoma" w:eastAsia="宋体" w:cs="Times New Roman"/>
      <w:color w:val="auto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4"/>
    <w:qFormat/>
    <w:uiPriority w:val="0"/>
    <w:pPr>
      <w:ind w:firstLine="881" w:firstLineChars="200"/>
    </w:pPr>
    <w:rPr>
      <w:rFonts w:ascii="宋体" w:hAnsi="Courier New" w:eastAsia="仿宋_GB2312" w:cstheme="minorBidi"/>
      <w:sz w:val="32"/>
      <w:szCs w:val="2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rFonts w:ascii="Tahoma" w:hAnsi="Tahoma" w:cs="Times New Roman"/>
      <w:color w:val="auto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ahoma" w:hAnsi="Tahoma" w:cs="Times New Roman"/>
      <w:color w:val="auto"/>
      <w:kern w:val="2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ahoma" w:hAnsi="Tahoma" w:cs="Times New Roman"/>
      <w:color w:val="auto"/>
      <w:kern w:val="2"/>
      <w:sz w:val="18"/>
      <w:szCs w:val="18"/>
    </w:rPr>
  </w:style>
  <w:style w:type="character" w:customStyle="1" w:styleId="14">
    <w:name w:val="纯文本 字符"/>
    <w:basedOn w:val="9"/>
    <w:link w:val="3"/>
    <w:qFormat/>
    <w:uiPriority w:val="0"/>
    <w:rPr>
      <w:rFonts w:ascii="宋体" w:hAnsi="Courier New" w:eastAsia="仿宋_GB2312" w:cstheme="minorBidi"/>
      <w:color w:val="auto"/>
      <w:kern w:val="2"/>
      <w:sz w:val="32"/>
      <w:szCs w:val="22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="Tahoma" w:hAnsi="Tahoma" w:cs="Times New Roman"/>
      <w:color w:val="auto"/>
      <w:kern w:val="2"/>
      <w:sz w:val="24"/>
      <w:szCs w:val="24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Tahoma" w:hAnsi="Tahoma" w:cs="Times New Roman"/>
      <w:b/>
      <w:bCs/>
      <w:color w:val="auto"/>
      <w:kern w:val="2"/>
      <w:sz w:val="24"/>
      <w:szCs w:val="24"/>
    </w:rPr>
  </w:style>
  <w:style w:type="paragraph" w:customStyle="1" w:styleId="17">
    <w:name w:val="Revision"/>
    <w:hidden/>
    <w:semiHidden/>
    <w:qFormat/>
    <w:uiPriority w:val="99"/>
    <w:rPr>
      <w:rFonts w:ascii="Tahoma" w:hAnsi="Tahoma" w:eastAsia="宋体" w:cs="Times New Roman"/>
      <w:color w:val="auto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799</Words>
  <Characters>4557</Characters>
  <Lines>37</Lines>
  <Paragraphs>10</Paragraphs>
  <TotalTime>1</TotalTime>
  <ScaleCrop>false</ScaleCrop>
  <LinksUpToDate>false</LinksUpToDate>
  <CharactersWithSpaces>5346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2022-08-30T07:14:00Z</dcterms:created>
  <dcterms:modified xsi:type="dcterms:W3CDTF">2023-01-05T02:58:01Z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68192890370042338067401C92388FD3</vt:lpwstr>
  </property>
</Properties>
</file>