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540" w:lineRule="exact"/>
        <w:jc w:val="center"/>
        <w:rPr>
          <w:rFonts w:ascii="小标宋" w:hAnsi="小标宋" w:eastAsia="小标宋" w:cs="小标宋"/>
          <w:sz w:val="44"/>
        </w:rPr>
      </w:pPr>
      <w:r>
        <w:rPr>
          <w:rFonts w:hint="eastAsia" w:ascii="小标宋" w:hAnsi="小标宋" w:eastAsia="小标宋" w:cs="小标宋"/>
          <w:sz w:val="44"/>
        </w:rPr>
        <w:t>深  圳  市  人  民  政  府</w:t>
      </w:r>
    </w:p>
    <w:p>
      <w:pPr>
        <w:wordWrap w:val="0"/>
        <w:adjustRightInd w:val="0"/>
        <w:snapToGrid w:val="0"/>
        <w:spacing w:line="540" w:lineRule="exact"/>
        <w:jc w:val="center"/>
        <w:rPr>
          <w:rFonts w:ascii="小标宋" w:hAnsi="小标宋" w:eastAsia="小标宋" w:cs="小标宋"/>
          <w:sz w:val="44"/>
        </w:rPr>
      </w:pPr>
      <w:r>
        <w:rPr>
          <w:rFonts w:hint="eastAsia" w:ascii="小标宋" w:hAnsi="小标宋" w:eastAsia="小标宋" w:cs="小标宋"/>
          <w:sz w:val="44"/>
        </w:rPr>
        <w:t>行政复议决定书</w:t>
      </w:r>
    </w:p>
    <w:p>
      <w:pPr>
        <w:wordWrap w:val="0"/>
        <w:adjustRightInd w:val="0"/>
        <w:snapToGrid w:val="0"/>
        <w:spacing w:line="540" w:lineRule="exact"/>
        <w:ind w:firstLine="640" w:firstLineChars="200"/>
        <w:rPr>
          <w:rFonts w:ascii="仿宋_GB2312" w:eastAsia="仿宋_GB2312"/>
          <w:sz w:val="32"/>
          <w:szCs w:val="32"/>
        </w:rPr>
      </w:pPr>
    </w:p>
    <w:p>
      <w:pPr>
        <w:wordWrap w:val="0"/>
        <w:adjustRightInd w:val="0"/>
        <w:snapToGrid w:val="0"/>
        <w:spacing w:line="540" w:lineRule="exact"/>
        <w:ind w:firstLine="5280" w:firstLineChars="1650"/>
        <w:rPr>
          <w:rFonts w:ascii="仿宋" w:hAnsi="仿宋" w:eastAsia="仿宋" w:cs="仿宋"/>
          <w:sz w:val="32"/>
          <w:szCs w:val="32"/>
        </w:rPr>
      </w:pPr>
      <w:r>
        <w:rPr>
          <w:rFonts w:hint="eastAsia" w:ascii="仿宋" w:hAnsi="仿宋" w:eastAsia="仿宋" w:cs="仿宋"/>
          <w:sz w:val="32"/>
          <w:szCs w:val="32"/>
        </w:rPr>
        <w:t>深府行复〔2022〕2478号</w:t>
      </w:r>
    </w:p>
    <w:p>
      <w:pPr>
        <w:wordWrap w:val="0"/>
        <w:adjustRightInd w:val="0"/>
        <w:snapToGrid w:val="0"/>
        <w:spacing w:line="540" w:lineRule="exact"/>
        <w:ind w:firstLine="640" w:firstLineChars="200"/>
        <w:rPr>
          <w:rFonts w:ascii="仿宋" w:hAnsi="仿宋" w:eastAsia="仿宋" w:cs="仿宋"/>
          <w:sz w:val="32"/>
          <w:szCs w:val="32"/>
        </w:rPr>
      </w:pPr>
    </w:p>
    <w:p>
      <w:pPr>
        <w:wordWrap w:val="0"/>
        <w:adjustRightInd w:val="0"/>
        <w:snapToGrid w:val="0"/>
        <w:spacing w:line="540" w:lineRule="exact"/>
        <w:ind w:firstLine="640" w:firstLineChars="200"/>
        <w:rPr>
          <w:rFonts w:hint="eastAsia" w:ascii="仿宋" w:hAnsi="仿宋" w:eastAsia="仿宋" w:cs="仿宋"/>
          <w:sz w:val="32"/>
          <w:szCs w:val="32"/>
          <w:lang w:eastAsia="zh-CN"/>
        </w:rPr>
      </w:pPr>
      <w:r>
        <w:rPr>
          <w:rFonts w:hint="eastAsia" w:ascii="黑体" w:hAnsi="黑体" w:eastAsia="黑体" w:cs="黑体"/>
          <w:bCs/>
          <w:sz w:val="32"/>
          <w:szCs w:val="32"/>
        </w:rPr>
        <w:t>申请人：</w:t>
      </w:r>
      <w:r>
        <w:rPr>
          <w:rFonts w:hint="eastAsia" w:ascii="仿宋" w:hAnsi="仿宋" w:eastAsia="仿宋" w:cs="仿宋"/>
          <w:sz w:val="32"/>
        </w:rPr>
        <w:t>周</w:t>
      </w:r>
      <w:r>
        <w:rPr>
          <w:rFonts w:hint="eastAsia" w:ascii="仿宋" w:hAnsi="仿宋" w:eastAsia="仿宋" w:cs="仿宋"/>
          <w:sz w:val="32"/>
          <w:lang w:eastAsia="zh-CN"/>
        </w:rPr>
        <w:t>某</w:t>
      </w:r>
    </w:p>
    <w:p>
      <w:pPr>
        <w:adjustRightInd w:val="0"/>
        <w:snapToGrid w:val="0"/>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被申请人：</w:t>
      </w:r>
      <w:r>
        <w:rPr>
          <w:rFonts w:hint="eastAsia" w:ascii="仿宋" w:hAnsi="仿宋" w:eastAsia="仿宋" w:cs="仿宋"/>
          <w:sz w:val="32"/>
          <w:szCs w:val="32"/>
        </w:rPr>
        <w:t>深圳市市场监督管理局龙岗</w:t>
      </w:r>
      <w:r>
        <w:rPr>
          <w:rFonts w:hint="eastAsia" w:ascii="仿宋" w:hAnsi="仿宋" w:eastAsia="仿宋" w:cs="仿宋"/>
          <w:color w:val="000000"/>
          <w:sz w:val="32"/>
          <w:szCs w:val="32"/>
        </w:rPr>
        <w:t>监管局</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地址：深圳市龙岗区中心城行政路8号</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法定代表人：黄建洪，局长</w:t>
      </w:r>
    </w:p>
    <w:p>
      <w:pPr>
        <w:wordWrap w:val="0"/>
        <w:adjustRightInd w:val="0"/>
        <w:snapToGrid w:val="0"/>
        <w:spacing w:line="540" w:lineRule="exact"/>
        <w:ind w:firstLine="640" w:firstLineChars="200"/>
        <w:rPr>
          <w:rFonts w:ascii="仿宋" w:hAnsi="仿宋" w:eastAsia="仿宋" w:cs="仿宋"/>
          <w:sz w:val="32"/>
          <w:szCs w:val="32"/>
        </w:rPr>
      </w:pPr>
    </w:p>
    <w:p>
      <w:pPr>
        <w:wordWrap w:val="0"/>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rPr>
        <w:t>申请人周</w:t>
      </w:r>
      <w:r>
        <w:rPr>
          <w:rFonts w:hint="eastAsia" w:ascii="仿宋" w:hAnsi="仿宋" w:eastAsia="仿宋" w:cs="仿宋"/>
          <w:sz w:val="32"/>
          <w:lang w:eastAsia="zh-CN"/>
        </w:rPr>
        <w:t>某</w:t>
      </w:r>
      <w:r>
        <w:rPr>
          <w:rFonts w:hint="eastAsia" w:ascii="仿宋" w:hAnsi="仿宋" w:eastAsia="仿宋" w:cs="仿宋"/>
          <w:sz w:val="32"/>
        </w:rPr>
        <w:t>认为被申请人</w:t>
      </w:r>
      <w:r>
        <w:rPr>
          <w:rFonts w:hint="eastAsia" w:ascii="仿宋" w:hAnsi="仿宋" w:eastAsia="仿宋" w:cs="仿宋"/>
          <w:sz w:val="32"/>
          <w:szCs w:val="32"/>
        </w:rPr>
        <w:t>对其关于商家“</w:t>
      </w:r>
      <w:r>
        <w:rPr>
          <w:rFonts w:hint="default" w:ascii="仿宋" w:hAnsi="仿宋" w:eastAsia="仿宋" w:cs="仿宋"/>
          <w:bCs/>
          <w:sz w:val="32"/>
          <w:szCs w:val="32"/>
          <w:lang w:eastAsia="zh-CN"/>
        </w:rPr>
        <w:t>××</w:t>
      </w:r>
      <w:r>
        <w:rPr>
          <w:rFonts w:hint="eastAsia" w:ascii="仿宋" w:hAnsi="仿宋" w:eastAsia="仿宋" w:cs="仿宋"/>
          <w:bCs/>
          <w:sz w:val="32"/>
          <w:szCs w:val="32"/>
        </w:rPr>
        <w:t>美妆</w:t>
      </w:r>
      <w:r>
        <w:rPr>
          <w:rFonts w:hint="eastAsia" w:ascii="仿宋" w:hAnsi="仿宋" w:eastAsia="仿宋" w:cs="仿宋"/>
          <w:sz w:val="32"/>
          <w:szCs w:val="32"/>
        </w:rPr>
        <w:t>”的举报未在法定期限内告知是否立案违法，向本机关申请行政复议，本机关依法受理。被申请人向本机关提交了书面答复及有关证据和依据。本案现已审理终结。</w:t>
      </w:r>
    </w:p>
    <w:p>
      <w:pPr>
        <w:suppressAutoHyphens w:val="0"/>
        <w:autoSpaceDE w:val="0"/>
        <w:autoSpaceDN w:val="0"/>
        <w:adjustRightInd w:val="0"/>
        <w:snapToGrid w:val="0"/>
        <w:spacing w:line="540" w:lineRule="exact"/>
        <w:ind w:firstLine="640" w:firstLineChars="200"/>
        <w:rPr>
          <w:rFonts w:ascii="仿宋" w:hAnsi="仿宋" w:eastAsia="仿宋" w:cs="仿宋"/>
          <w:bCs/>
          <w:color w:val="000000" w:themeColor="text1"/>
          <w:sz w:val="32"/>
          <w:szCs w:val="32"/>
        </w:rPr>
      </w:pPr>
      <w:r>
        <w:rPr>
          <w:rFonts w:hint="eastAsia" w:ascii="黑体" w:hAnsi="黑体" w:eastAsia="黑体" w:cs="黑体"/>
          <w:bCs/>
          <w:sz w:val="32"/>
          <w:szCs w:val="32"/>
        </w:rPr>
        <w:t>经查：</w:t>
      </w:r>
      <w:r>
        <w:rPr>
          <w:rFonts w:hint="eastAsia" w:ascii="仿宋" w:hAnsi="仿宋" w:eastAsia="仿宋" w:cs="仿宋"/>
          <w:bCs/>
          <w:sz w:val="32"/>
          <w:szCs w:val="32"/>
        </w:rPr>
        <w:t>申请人向杭州市余杭区市场监督管理局举报淘宝商家“</w:t>
      </w:r>
      <w:r>
        <w:rPr>
          <w:rFonts w:hint="default" w:ascii="仿宋" w:hAnsi="仿宋" w:eastAsia="仿宋" w:cs="仿宋"/>
          <w:bCs/>
          <w:sz w:val="32"/>
          <w:szCs w:val="32"/>
          <w:lang w:eastAsia="zh-CN"/>
        </w:rPr>
        <w:t>××</w:t>
      </w:r>
      <w:r>
        <w:rPr>
          <w:rFonts w:hint="eastAsia" w:ascii="仿宋" w:hAnsi="仿宋" w:eastAsia="仿宋" w:cs="仿宋"/>
          <w:bCs/>
          <w:sz w:val="32"/>
          <w:szCs w:val="32"/>
        </w:rPr>
        <w:t>美妆”销售进口化妆品存在无中文且未经备案的问题。杭州市余杭区市场监督管理局</w:t>
      </w:r>
      <w:r>
        <w:rPr>
          <w:rFonts w:hint="eastAsia" w:ascii="仿宋" w:hAnsi="仿宋" w:eastAsia="仿宋" w:cs="仿宋"/>
          <w:bCs/>
          <w:color w:val="000000" w:themeColor="text1"/>
          <w:sz w:val="32"/>
          <w:szCs w:val="32"/>
        </w:rPr>
        <w:t>认为被举报人实际经营地在深圳市龙岗区，遂于2022年5月13日制作《网络交易行为情况移送函》(以下简称移送函)，将上述举报移送被申请人处理。移送函载明“如贵局经实地检查查无下落的，烦请提供现场检查笔录及现场照片等证据材料，以便我局开展进一步核查工作。”移送函所附被举报人信息显示被举报人为自然人，参考地址为“广东省深圳市龙岗区</w:t>
      </w:r>
      <w:r>
        <w:rPr>
          <w:rFonts w:hint="default" w:ascii="仿宋" w:hAnsi="仿宋" w:eastAsia="仿宋" w:cs="仿宋"/>
          <w:bCs/>
          <w:sz w:val="32"/>
          <w:szCs w:val="32"/>
          <w:lang w:eastAsia="zh-CN"/>
        </w:rPr>
        <w:t>××</w:t>
      </w:r>
      <w:bookmarkStart w:id="0" w:name="_GoBack"/>
      <w:bookmarkEnd w:id="0"/>
      <w:r>
        <w:rPr>
          <w:rFonts w:hint="eastAsia" w:ascii="仿宋" w:hAnsi="仿宋" w:eastAsia="仿宋" w:cs="仿宋"/>
          <w:bCs/>
          <w:color w:val="000000" w:themeColor="text1"/>
          <w:sz w:val="32"/>
          <w:szCs w:val="32"/>
        </w:rPr>
        <w:t>街道</w:t>
      </w:r>
      <w:r>
        <w:rPr>
          <w:rFonts w:hint="default"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rPr>
        <w:t>期</w:t>
      </w:r>
      <w:r>
        <w:rPr>
          <w:rFonts w:hint="default" w:ascii="仿宋" w:hAnsi="仿宋" w:eastAsia="仿宋" w:cs="仿宋"/>
          <w:bCs/>
          <w:sz w:val="32"/>
          <w:szCs w:val="32"/>
          <w:lang w:eastAsia="zh-CN"/>
        </w:rPr>
        <w:t>××</w:t>
      </w:r>
      <w:r>
        <w:rPr>
          <w:rFonts w:hint="eastAsia" w:ascii="仿宋" w:hAnsi="仿宋" w:eastAsia="仿宋" w:cs="仿宋"/>
          <w:bCs/>
          <w:color w:val="000000" w:themeColor="text1"/>
          <w:sz w:val="32"/>
          <w:szCs w:val="32"/>
        </w:rPr>
        <w:t>栋”。该移送函显示，被举报人系自然人，无营业执照信息。2022年6月22日，被申请人对上述参考地址进行现场核查，发现该“</w:t>
      </w:r>
      <w:r>
        <w:rPr>
          <w:rFonts w:hint="default"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rPr>
        <w:t>小区”并不存在2期，被申请人对该小区</w:t>
      </w:r>
      <w:r>
        <w:rPr>
          <w:rFonts w:hint="default" w:ascii="仿宋" w:hAnsi="仿宋" w:eastAsia="仿宋" w:cs="仿宋"/>
          <w:bCs/>
          <w:sz w:val="32"/>
          <w:szCs w:val="32"/>
          <w:lang w:eastAsia="zh-CN"/>
        </w:rPr>
        <w:t>××</w:t>
      </w:r>
      <w:r>
        <w:rPr>
          <w:rFonts w:hint="eastAsia" w:ascii="仿宋" w:hAnsi="仿宋" w:eastAsia="仿宋" w:cs="仿宋"/>
          <w:bCs/>
          <w:color w:val="000000" w:themeColor="text1"/>
          <w:sz w:val="32"/>
          <w:szCs w:val="32"/>
        </w:rPr>
        <w:t>栋</w:t>
      </w:r>
      <w:r>
        <w:rPr>
          <w:rFonts w:hint="default"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rPr>
        <w:t>室进行现场核查，发现该地址属住宅区，未在该地址发现有经营行为。经与小区物业核实，该房屋业主与来函所述经营者姓名不一致。经与业主沟通，该房屋属业主自住，其与来函所述经营者并不相识。因被举报人未在移送函载明的地址经营，其实际经营地无法确定在被申请人辖区，被申请人认为对申请人上述举报无管辖权。2022年6月23日，被申请人复函杭州市余杭区市场监督管理局，将现场核查情况告知该局。</w:t>
      </w:r>
    </w:p>
    <w:p>
      <w:pPr>
        <w:suppressAutoHyphens w:val="0"/>
        <w:autoSpaceDE w:val="0"/>
        <w:autoSpaceDN w:val="0"/>
        <w:adjustRightInd w:val="0"/>
        <w:snapToGrid w:val="0"/>
        <w:spacing w:line="540" w:lineRule="exact"/>
        <w:ind w:firstLine="640" w:firstLineChars="200"/>
        <w:rPr>
          <w:rFonts w:ascii="仿宋" w:hAnsi="仿宋" w:eastAsia="仿宋" w:cs="仿宋"/>
          <w:bCs/>
          <w:sz w:val="32"/>
          <w:szCs w:val="32"/>
        </w:rPr>
      </w:pPr>
      <w:r>
        <w:rPr>
          <w:rFonts w:hint="eastAsia" w:ascii="仿宋" w:hAnsi="仿宋" w:eastAsia="仿宋" w:cs="仿宋"/>
          <w:bCs/>
          <w:color w:val="000000" w:themeColor="text1"/>
          <w:sz w:val="32"/>
          <w:szCs w:val="32"/>
        </w:rPr>
        <w:t>申</w:t>
      </w:r>
      <w:r>
        <w:rPr>
          <w:rFonts w:hint="eastAsia" w:ascii="仿宋" w:hAnsi="仿宋" w:eastAsia="仿宋" w:cs="仿宋"/>
          <w:color w:val="000000" w:themeColor="text1"/>
          <w:sz w:val="32"/>
          <w:szCs w:val="32"/>
        </w:rPr>
        <w:t>请人认为被申请人对其上述举报未在法定期限内告知是否立案违法，以邮寄方式向本机关申请行政复议，本机关于2022年8月15日收到申请材料。</w:t>
      </w:r>
      <w:r>
        <w:fldChar w:fldCharType="begin"/>
      </w:r>
      <w:r>
        <w:instrText xml:space="preserve"> HYPERLINK "javascript:;" \o "表情" </w:instrText>
      </w:r>
      <w:r>
        <w:fldChar w:fldCharType="separate"/>
      </w:r>
      <w:r>
        <w:fldChar w:fldCharType="end"/>
      </w:r>
    </w:p>
    <w:p>
      <w:pPr>
        <w:wordWrap w:val="0"/>
        <w:adjustRightInd w:val="0"/>
        <w:snapToGrid w:val="0"/>
        <w:spacing w:line="540" w:lineRule="exact"/>
        <w:ind w:firstLine="640" w:firstLineChars="200"/>
        <w:rPr>
          <w:rFonts w:ascii="仿宋" w:hAnsi="仿宋" w:eastAsia="仿宋" w:cs="仿宋"/>
          <w:bCs/>
          <w:sz w:val="32"/>
          <w:szCs w:val="32"/>
        </w:rPr>
      </w:pPr>
      <w:r>
        <w:rPr>
          <w:rFonts w:hint="eastAsia" w:ascii="黑体" w:hAnsi="黑体" w:eastAsia="黑体" w:cs="黑体"/>
          <w:sz w:val="32"/>
          <w:szCs w:val="32"/>
        </w:rPr>
        <w:t>本机关认为：</w:t>
      </w:r>
      <w:r>
        <w:rPr>
          <w:rFonts w:hint="eastAsia" w:ascii="仿宋" w:hAnsi="仿宋" w:eastAsia="仿宋" w:cs="仿宋"/>
          <w:sz w:val="32"/>
          <w:szCs w:val="32"/>
        </w:rPr>
        <w:t>《市场监督管理行政处罚程序规定》第十条第二款规定:“平台内经营者的违法行为由其实际经营地县级以上市场监督管理部门管辖。网络交易平台经营者住所地县级以上市场监督管理部门先行发现违法线索或者收到投诉、举报的，也可以进行管辖。”《市场监督管理投诉举报处理暂行办法》第二十七条第二款规定:“对平台内经营者的举报，由其实际经营地县级以上市场监督管理部门处理。电子商务平台经营者住所地县级以上市场监督管理部门先行收到举报的，也可以予以处理。”第三十一条第二款规定:“举报人实名举报的，有处理权限的市场监督管理部门还应当自作出是否立案决定之日起五个工作日内告知举报人。”本案中，经被申请人现场检查，被举报人未在</w:t>
      </w:r>
      <w:r>
        <w:rPr>
          <w:rFonts w:hint="eastAsia" w:ascii="仿宋" w:hAnsi="仿宋" w:eastAsia="仿宋" w:cs="仿宋"/>
          <w:bCs/>
          <w:sz w:val="32"/>
          <w:szCs w:val="32"/>
        </w:rPr>
        <w:t>移送函提供的地址经营。因</w:t>
      </w:r>
      <w:r>
        <w:rPr>
          <w:rFonts w:hint="eastAsia" w:ascii="仿宋" w:hAnsi="仿宋" w:eastAsia="仿宋" w:cs="仿宋"/>
          <w:sz w:val="32"/>
          <w:szCs w:val="32"/>
        </w:rPr>
        <w:t>被举报人系淘宝平台内经营者，</w:t>
      </w:r>
      <w:r>
        <w:rPr>
          <w:rFonts w:hint="eastAsia" w:ascii="仿宋" w:hAnsi="仿宋" w:eastAsia="仿宋" w:cs="仿宋"/>
          <w:bCs/>
          <w:sz w:val="32"/>
          <w:szCs w:val="32"/>
        </w:rPr>
        <w:t>经被申请人核查并无证据证明其实际经营地在被申请人辖区。根据上述规定，被申请人对申请人上述举报不具有处理权限，被申请人没有告知申请人是否立案的法定职责。</w:t>
      </w:r>
      <w:r>
        <w:rPr>
          <w:rFonts w:hint="eastAsia" w:ascii="仿宋" w:hAnsi="仿宋" w:eastAsia="仿宋" w:cs="仿宋"/>
          <w:sz w:val="32"/>
          <w:szCs w:val="32"/>
        </w:rPr>
        <w:t>《中华人民共和国行政复议法实施条例》第四十八条第一款第（一）项规定“有下列情形之一的，行政复议机关应当决定驳回行政复议申请：（一）申请人认为行政机关不履行法定职责申请行政复议，行政机关受理后发现该行政机关没有相应法定职责或者在受理前已经履行法定职责的”，因此</w:t>
      </w:r>
      <w:r>
        <w:rPr>
          <w:rFonts w:hint="eastAsia" w:ascii="仿宋" w:hAnsi="仿宋" w:eastAsia="仿宋" w:cs="仿宋"/>
          <w:bCs/>
          <w:sz w:val="32"/>
          <w:szCs w:val="32"/>
        </w:rPr>
        <w:t>对于申请人提出的行政复议申请，依法应予驳回。</w:t>
      </w:r>
    </w:p>
    <w:p>
      <w:pPr>
        <w:wordWrap w:val="0"/>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综上，根据《中华人民共和国行政复议法实施条例》第四十八条第一款第（一）项的规定，本机关作出复议决定如下：</w:t>
      </w:r>
    </w:p>
    <w:p>
      <w:pPr>
        <w:suppressAutoHyphens w:val="0"/>
        <w:wordWrap w:val="0"/>
        <w:adjustRightInd w:val="0"/>
        <w:snapToGrid w:val="0"/>
        <w:spacing w:line="540" w:lineRule="exact"/>
        <w:ind w:firstLine="640" w:firstLineChars="200"/>
        <w:rPr>
          <w:rFonts w:ascii="仿宋" w:hAnsi="仿宋" w:eastAsia="仿宋" w:cs="仿宋"/>
          <w:kern w:val="2"/>
          <w:sz w:val="32"/>
          <w:szCs w:val="32"/>
        </w:rPr>
      </w:pPr>
      <w:r>
        <w:rPr>
          <w:rFonts w:hint="eastAsia" w:ascii="仿宋" w:hAnsi="仿宋" w:eastAsia="仿宋" w:cs="仿宋"/>
          <w:sz w:val="32"/>
          <w:szCs w:val="32"/>
        </w:rPr>
        <w:t>驳回申请人</w:t>
      </w:r>
      <w:r>
        <w:rPr>
          <w:rFonts w:hint="eastAsia" w:ascii="仿宋" w:hAnsi="仿宋" w:eastAsia="仿宋" w:cs="仿宋"/>
          <w:sz w:val="32"/>
        </w:rPr>
        <w:t>周</w:t>
      </w:r>
      <w:r>
        <w:rPr>
          <w:rFonts w:hint="eastAsia" w:ascii="仿宋" w:hAnsi="仿宋" w:eastAsia="仿宋" w:cs="仿宋"/>
          <w:sz w:val="32"/>
          <w:lang w:eastAsia="zh-CN"/>
        </w:rPr>
        <w:t>某</w:t>
      </w:r>
      <w:r>
        <w:rPr>
          <w:rFonts w:hint="eastAsia" w:ascii="仿宋" w:hAnsi="仿宋" w:eastAsia="仿宋" w:cs="仿宋"/>
          <w:sz w:val="32"/>
          <w:szCs w:val="32"/>
        </w:rPr>
        <w:t>提出的上述行政复议申请。</w:t>
      </w:r>
    </w:p>
    <w:p>
      <w:pPr>
        <w:wordWrap w:val="0"/>
        <w:adjustRightInd w:val="0"/>
        <w:snapToGrid w:val="0"/>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本复议决定书一经送达，即发生法律效力。申请人如对本复议决定不服，可自收到复议决定书之日起十五日内向有管辖权的法院提起诉讼。</w:t>
      </w:r>
    </w:p>
    <w:p>
      <w:pPr>
        <w:wordWrap w:val="0"/>
        <w:adjustRightInd w:val="0"/>
        <w:snapToGrid w:val="0"/>
        <w:spacing w:line="540" w:lineRule="exact"/>
        <w:ind w:firstLine="640" w:firstLineChars="200"/>
        <w:rPr>
          <w:rFonts w:ascii="仿宋" w:hAnsi="仿宋" w:eastAsia="仿宋" w:cs="仿宋"/>
          <w:bCs/>
          <w:sz w:val="32"/>
          <w:szCs w:val="32"/>
        </w:rPr>
      </w:pPr>
    </w:p>
    <w:p>
      <w:pPr>
        <w:wordWrap w:val="0"/>
        <w:adjustRightInd w:val="0"/>
        <w:snapToGrid w:val="0"/>
        <w:spacing w:line="540" w:lineRule="exact"/>
        <w:ind w:firstLine="640" w:firstLineChars="200"/>
        <w:rPr>
          <w:rFonts w:ascii="仿宋" w:hAnsi="仿宋" w:eastAsia="仿宋" w:cs="仿宋"/>
          <w:sz w:val="32"/>
          <w:szCs w:val="32"/>
        </w:rPr>
      </w:pPr>
    </w:p>
    <w:p>
      <w:pPr>
        <w:wordWrap w:val="0"/>
        <w:adjustRightInd w:val="0"/>
        <w:snapToGrid w:val="0"/>
        <w:spacing w:line="540" w:lineRule="exact"/>
        <w:ind w:firstLine="5440" w:firstLineChars="1700"/>
        <w:rPr>
          <w:rFonts w:ascii="仿宋" w:hAnsi="仿宋" w:eastAsia="仿宋" w:cs="仿宋"/>
          <w:sz w:val="32"/>
          <w:szCs w:val="32"/>
        </w:rPr>
      </w:pPr>
      <w:r>
        <w:rPr>
          <w:rFonts w:hint="eastAsia" w:ascii="仿宋" w:hAnsi="仿宋" w:eastAsia="仿宋" w:cs="仿宋"/>
          <w:sz w:val="32"/>
          <w:szCs w:val="32"/>
        </w:rPr>
        <w:t>深圳市人民政府</w:t>
      </w:r>
    </w:p>
    <w:p>
      <w:pPr>
        <w:wordWrap w:val="0"/>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2022年9月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小标宋">
    <w:altName w:val="汉仪书宋二KW"/>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7127"/>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dkOTBmNTU3MGUyYmU0OGQ5YzI3YTQ4NDcyZWJlODgifQ=="/>
  </w:docVars>
  <w:rsids>
    <w:rsidRoot w:val="002053F9"/>
    <w:rsid w:val="00001342"/>
    <w:rsid w:val="00042A8C"/>
    <w:rsid w:val="00076F74"/>
    <w:rsid w:val="00084145"/>
    <w:rsid w:val="000A01F7"/>
    <w:rsid w:val="00101359"/>
    <w:rsid w:val="00161477"/>
    <w:rsid w:val="001B7853"/>
    <w:rsid w:val="001D6AA1"/>
    <w:rsid w:val="001D7712"/>
    <w:rsid w:val="001F3A87"/>
    <w:rsid w:val="002053F9"/>
    <w:rsid w:val="00250E17"/>
    <w:rsid w:val="002A3891"/>
    <w:rsid w:val="002B5C1F"/>
    <w:rsid w:val="00303EAB"/>
    <w:rsid w:val="00312965"/>
    <w:rsid w:val="003F6D8F"/>
    <w:rsid w:val="004021B4"/>
    <w:rsid w:val="00457030"/>
    <w:rsid w:val="00470107"/>
    <w:rsid w:val="005016F9"/>
    <w:rsid w:val="00571D4E"/>
    <w:rsid w:val="005840F1"/>
    <w:rsid w:val="00604EF0"/>
    <w:rsid w:val="00655A73"/>
    <w:rsid w:val="006C2355"/>
    <w:rsid w:val="006D0A74"/>
    <w:rsid w:val="006E3520"/>
    <w:rsid w:val="007663C7"/>
    <w:rsid w:val="0078740F"/>
    <w:rsid w:val="007C73FB"/>
    <w:rsid w:val="007C76DA"/>
    <w:rsid w:val="007D37FD"/>
    <w:rsid w:val="008134E6"/>
    <w:rsid w:val="00816FB3"/>
    <w:rsid w:val="00820691"/>
    <w:rsid w:val="00865743"/>
    <w:rsid w:val="009274FC"/>
    <w:rsid w:val="00960644"/>
    <w:rsid w:val="009A7EB1"/>
    <w:rsid w:val="009B04DD"/>
    <w:rsid w:val="009C084F"/>
    <w:rsid w:val="009C7CFF"/>
    <w:rsid w:val="009F14F6"/>
    <w:rsid w:val="009F15AA"/>
    <w:rsid w:val="00AB611A"/>
    <w:rsid w:val="00AC0F22"/>
    <w:rsid w:val="00AC7FB2"/>
    <w:rsid w:val="00AD275A"/>
    <w:rsid w:val="00AE2CC4"/>
    <w:rsid w:val="00B15DEB"/>
    <w:rsid w:val="00B264A1"/>
    <w:rsid w:val="00B32240"/>
    <w:rsid w:val="00BB5D07"/>
    <w:rsid w:val="00BD349B"/>
    <w:rsid w:val="00BE1867"/>
    <w:rsid w:val="00C2103A"/>
    <w:rsid w:val="00C54C93"/>
    <w:rsid w:val="00C56DE8"/>
    <w:rsid w:val="00C725EB"/>
    <w:rsid w:val="00CA54BD"/>
    <w:rsid w:val="00CC4862"/>
    <w:rsid w:val="00CE647C"/>
    <w:rsid w:val="00D74A7E"/>
    <w:rsid w:val="00DA4910"/>
    <w:rsid w:val="00DB250C"/>
    <w:rsid w:val="00E410F2"/>
    <w:rsid w:val="00E45C5B"/>
    <w:rsid w:val="00E530FD"/>
    <w:rsid w:val="00F12ED3"/>
    <w:rsid w:val="00F15E67"/>
    <w:rsid w:val="00F51DF7"/>
    <w:rsid w:val="00FA445D"/>
    <w:rsid w:val="00FB153F"/>
    <w:rsid w:val="10305338"/>
    <w:rsid w:val="28633119"/>
    <w:rsid w:val="33FD98BC"/>
    <w:rsid w:val="3EFE1FCC"/>
    <w:rsid w:val="3F4F1E2B"/>
    <w:rsid w:val="3FA94452"/>
    <w:rsid w:val="5A8E36CC"/>
    <w:rsid w:val="5ADB581B"/>
    <w:rsid w:val="5B7FC46C"/>
    <w:rsid w:val="5C4F1CA5"/>
    <w:rsid w:val="6DF78C10"/>
    <w:rsid w:val="6E77E728"/>
    <w:rsid w:val="6FFA06DA"/>
    <w:rsid w:val="76FF1CE6"/>
    <w:rsid w:val="77DB8063"/>
    <w:rsid w:val="77E717B5"/>
    <w:rsid w:val="7BBE23BF"/>
    <w:rsid w:val="7C351A4F"/>
    <w:rsid w:val="7E7E6B93"/>
    <w:rsid w:val="7EFC212E"/>
    <w:rsid w:val="7F640B3F"/>
    <w:rsid w:val="7FBEACA3"/>
    <w:rsid w:val="7FDFFB31"/>
    <w:rsid w:val="7FF55E54"/>
    <w:rsid w:val="9C9E7A8B"/>
    <w:rsid w:val="BFEBA860"/>
    <w:rsid w:val="CBE688B2"/>
    <w:rsid w:val="D7BECA97"/>
    <w:rsid w:val="DBFEF449"/>
    <w:rsid w:val="DD472D5F"/>
    <w:rsid w:val="DEEE3624"/>
    <w:rsid w:val="ED6BA521"/>
    <w:rsid w:val="F77EAAD6"/>
    <w:rsid w:val="F7E89088"/>
    <w:rsid w:val="FAFF6D30"/>
    <w:rsid w:val="FBFB5756"/>
    <w:rsid w:val="FFD92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3</Pages>
  <Words>242</Words>
  <Characters>1385</Characters>
  <Lines>11</Lines>
  <Paragraphs>3</Paragraphs>
  <TotalTime>0</TotalTime>
  <ScaleCrop>false</ScaleCrop>
  <LinksUpToDate>false</LinksUpToDate>
  <CharactersWithSpaces>1624</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2022-07-19T01:34:00Z</dcterms:created>
  <dc:creator>楚向月</dc:creator>
  <cp:lastModifiedBy>肖湘晗</cp:lastModifiedBy>
  <dcterms:modified xsi:type="dcterms:W3CDTF">2022-12-14T19:19:55Z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7B60B8400EFB40138A0D904910EEDAA4</vt:lpwstr>
  </property>
</Properties>
</file>