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w:t>
      </w:r>
    </w:p>
    <w:p>
      <w:pPr>
        <w:jc w:val="center"/>
        <w:rPr>
          <w:rFonts w:ascii="黑体" w:hAnsi="黑体" w:eastAsia="黑体"/>
          <w:sz w:val="32"/>
          <w:szCs w:val="32"/>
        </w:rPr>
      </w:pPr>
      <w:r>
        <w:rPr>
          <w:rFonts w:hint="eastAsia" w:ascii="黑体" w:hAnsi="黑体" w:eastAsia="黑体"/>
          <w:sz w:val="32"/>
          <w:szCs w:val="32"/>
        </w:rPr>
        <w:t>《深圳市城市更新单元规划容积率审查规定》</w:t>
      </w:r>
    </w:p>
    <w:p>
      <w:pPr>
        <w:jc w:val="center"/>
        <w:rPr>
          <w:rFonts w:ascii="黑体" w:hAnsi="黑体" w:eastAsia="黑体"/>
          <w:sz w:val="32"/>
          <w:szCs w:val="32"/>
        </w:rPr>
      </w:pPr>
      <w:r>
        <w:rPr>
          <w:rFonts w:hint="eastAsia" w:ascii="黑体" w:hAnsi="黑体" w:eastAsia="黑体"/>
          <w:sz w:val="32"/>
          <w:szCs w:val="32"/>
        </w:rPr>
        <w:t>（征求意见稿）起草说明</w:t>
      </w:r>
    </w:p>
    <w:p>
      <w:pPr>
        <w:jc w:val="center"/>
        <w:rPr>
          <w:rFonts w:ascii="黑体" w:hAnsi="黑体" w:eastAsia="黑体"/>
          <w:sz w:val="32"/>
          <w:szCs w:val="32"/>
        </w:rPr>
      </w:pPr>
    </w:p>
    <w:p>
      <w:pPr>
        <w:ind w:firstLine="560" w:firstLineChars="200"/>
        <w:rPr>
          <w:rFonts w:ascii="黑体" w:hAnsi="黑体" w:eastAsia="黑体"/>
          <w:sz w:val="32"/>
          <w:szCs w:val="32"/>
        </w:rPr>
      </w:pPr>
      <w:r>
        <w:rPr>
          <w:rFonts w:hint="eastAsia" w:ascii="仿宋" w:hAnsi="仿宋" w:eastAsia="仿宋"/>
          <w:sz w:val="28"/>
        </w:rPr>
        <w:t>为深入落实习近平新时代中国特色社会主义思想和党的十九大精神</w:t>
      </w:r>
      <w:bookmarkStart w:id="0" w:name="_GoBack"/>
      <w:bookmarkEnd w:id="0"/>
      <w:r>
        <w:rPr>
          <w:rFonts w:hint="eastAsia" w:ascii="仿宋" w:hAnsi="仿宋" w:eastAsia="仿宋"/>
          <w:sz w:val="28"/>
        </w:rPr>
        <w:t>，坚定不移地贯彻创新、协调、绿色、开放、共享的发展理念，完善城市功能结构，提升城市发展质量，促进公共服务设施与基础设施供给，提高文化设施国际化水平，加强生态修复与城市历史文化保护，建设宜居宜业城市环境，有序推进我市城市更新工作，进一步规范城市更新单元规划容积率审查管理，我委起草形成了《深圳市城市更新单元规划容积率审查规定》（征求意见稿，以下简称《审查规定》）。</w:t>
      </w:r>
    </w:p>
    <w:p>
      <w:pPr>
        <w:pStyle w:val="2"/>
        <w:ind w:firstLine="562" w:firstLineChars="200"/>
      </w:pPr>
      <w:r>
        <w:rPr>
          <w:rFonts w:hint="eastAsia"/>
        </w:rPr>
        <w:t>一、修订背景</w:t>
      </w:r>
    </w:p>
    <w:p>
      <w:pPr>
        <w:ind w:left="105" w:leftChars="50" w:firstLine="560" w:firstLineChars="200"/>
        <w:rPr>
          <w:rFonts w:ascii="仿宋" w:hAnsi="仿宋" w:eastAsia="仿宋"/>
          <w:sz w:val="28"/>
        </w:rPr>
      </w:pPr>
      <w:r>
        <w:rPr>
          <w:rFonts w:hint="eastAsia" w:ascii="仿宋" w:hAnsi="仿宋" w:eastAsia="仿宋"/>
          <w:sz w:val="28"/>
        </w:rPr>
        <w:t>2015年8月我委发布了《深圳市城市更新单元规划容积率审查技术指引（试行）》（以下简称《试行指引》）。《试行指引》颁布以来，成为指导我市城市更新容积率审查管理工作的直接依据，对规范容积率确定、推动城市更新有序开展发挥了积极作用。随着城市更新工作的不断深入推进，工作背景发生了变化：</w:t>
      </w:r>
    </w:p>
    <w:p>
      <w:pPr>
        <w:ind w:left="105" w:leftChars="50" w:firstLine="560" w:firstLineChars="200"/>
        <w:rPr>
          <w:rFonts w:ascii="仿宋" w:hAnsi="仿宋" w:eastAsia="仿宋"/>
          <w:sz w:val="28"/>
        </w:rPr>
      </w:pPr>
      <w:r>
        <w:rPr>
          <w:rFonts w:hint="eastAsia" w:ascii="仿宋" w:hAnsi="仿宋" w:eastAsia="仿宋"/>
          <w:sz w:val="28"/>
        </w:rPr>
        <w:t>一是新一轮《深圳市城市总体规划2035》、《深圳市城市规划标准与准则》（以下简称《深标》）等相关规划、标准正在编制或修订，《深圳市城市更新“十三五”规划》、《关于加强和改进城市更新实施工作的暂行措施》已颁布实施，《关于城市更新促进公共利益用地供给的暂行规定》等相关政策正在起草。城市战略地位提升，城市发展对存量土地二次开发提出了更高要求，需及时建立上位规划及相关政策对城市更新单元规划的传导，在容积率审查管理规定方面进行整合梳理、适时对接；</w:t>
      </w:r>
    </w:p>
    <w:p>
      <w:pPr>
        <w:ind w:left="105" w:leftChars="50" w:firstLine="560" w:firstLineChars="200"/>
        <w:rPr>
          <w:rFonts w:ascii="仿宋" w:hAnsi="仿宋" w:eastAsia="仿宋"/>
          <w:sz w:val="28"/>
        </w:rPr>
      </w:pPr>
      <w:r>
        <w:rPr>
          <w:rFonts w:hint="eastAsia" w:ascii="仿宋" w:hAnsi="仿宋" w:eastAsia="仿宋"/>
          <w:sz w:val="28"/>
        </w:rPr>
        <w:t>二是2016年底以来城市更新管理模式向“市级统筹、区级决策”的“强区放权”模式转变，需加强全市城市更新政策文件的统筹管控作用，确保各区审查尺度、执行标准统一；</w:t>
      </w:r>
    </w:p>
    <w:p>
      <w:pPr>
        <w:ind w:left="105" w:leftChars="50" w:firstLine="560" w:firstLineChars="200"/>
        <w:rPr>
          <w:rFonts w:ascii="仿宋" w:hAnsi="仿宋" w:eastAsia="仿宋"/>
          <w:sz w:val="28"/>
        </w:rPr>
      </w:pPr>
      <w:r>
        <w:rPr>
          <w:rFonts w:hint="eastAsia" w:ascii="仿宋" w:hAnsi="仿宋" w:eastAsia="仿宋"/>
          <w:sz w:val="28"/>
        </w:rPr>
        <w:t>三是为贯彻落实近年国家、省市关于法治政府建设的决策部署，对规范性文件的管理提出了更加严格和细化的要求，需强化城市更新容积率审查文件的规范性，保障城市更新工作依法合规推进。</w:t>
      </w:r>
    </w:p>
    <w:p>
      <w:pPr>
        <w:ind w:left="105" w:leftChars="50" w:firstLine="560" w:firstLineChars="200"/>
        <w:rPr>
          <w:rFonts w:ascii="仿宋" w:hAnsi="仿宋" w:eastAsia="仿宋"/>
          <w:sz w:val="28"/>
        </w:rPr>
      </w:pPr>
      <w:r>
        <w:rPr>
          <w:rFonts w:hint="eastAsia" w:ascii="仿宋" w:hAnsi="仿宋" w:eastAsia="仿宋"/>
          <w:sz w:val="28"/>
        </w:rPr>
        <w:t>四是当前城市更新工作还面临一些问题，如部分占地规模较大的医疗、教育等设施难以落实，文化设施实施率低，历史建筑和历史风貌区的保护缺乏市场动力，存在为提高开发强度而盲目增加商业规模的现象，部分促进公共空间与慢行系统建设的相关规定实施效果不佳等，这些问题的解决，都需要在《审查规定》中创新思路、优化完善。</w:t>
      </w:r>
    </w:p>
    <w:p>
      <w:pPr>
        <w:pStyle w:val="2"/>
        <w:ind w:firstLine="562" w:firstLineChars="200"/>
      </w:pPr>
      <w:r>
        <w:rPr>
          <w:rFonts w:hint="eastAsia"/>
        </w:rPr>
        <w:t>二、修订过程</w:t>
      </w:r>
    </w:p>
    <w:p>
      <w:pPr>
        <w:ind w:firstLine="560" w:firstLineChars="200"/>
        <w:rPr>
          <w:rFonts w:ascii="仿宋" w:hAnsi="仿宋" w:eastAsia="仿宋"/>
          <w:sz w:val="28"/>
        </w:rPr>
      </w:pPr>
      <w:r>
        <w:rPr>
          <w:rFonts w:hint="eastAsia" w:ascii="仿宋" w:hAnsi="仿宋" w:eastAsia="仿宋"/>
          <w:sz w:val="28"/>
        </w:rPr>
        <w:t>按照相关工作部署，我委自2017年2月启动《审查规定》起草工作，对相关规划与政策进行了深入研究，与总体规划修编、基本生态线管理规定、密度分区修订、历史风貌与历史建筑保护及外部移交用地等相关规划与政策进行了充分对接，与相关部门与专家进行了多次研讨交流，积极听取各方意见，进行了大量的实际案例论证分析，经过多轮修改完善，最终形成本《审查规定》（征求意见稿）。</w:t>
      </w:r>
    </w:p>
    <w:p>
      <w:pPr>
        <w:pStyle w:val="2"/>
        <w:numPr>
          <w:ilvl w:val="0"/>
          <w:numId w:val="1"/>
        </w:numPr>
      </w:pPr>
      <w:r>
        <w:rPr>
          <w:rFonts w:hint="eastAsia"/>
        </w:rPr>
        <w:t>起草原则</w:t>
      </w:r>
    </w:p>
    <w:p>
      <w:pPr>
        <w:ind w:firstLine="562" w:firstLineChars="200"/>
        <w:rPr>
          <w:rFonts w:ascii="仿宋" w:hAnsi="仿宋" w:eastAsia="仿宋"/>
          <w:b/>
          <w:sz w:val="28"/>
        </w:rPr>
      </w:pPr>
      <w:r>
        <w:rPr>
          <w:rFonts w:hint="eastAsia" w:ascii="仿宋" w:hAnsi="仿宋" w:eastAsia="仿宋"/>
          <w:b/>
          <w:sz w:val="28"/>
        </w:rPr>
        <w:t>（一）坚持规划引领，引导城市功能结构完善</w:t>
      </w:r>
    </w:p>
    <w:p>
      <w:pPr>
        <w:ind w:firstLine="560" w:firstLineChars="200"/>
        <w:rPr>
          <w:rFonts w:ascii="仿宋" w:hAnsi="仿宋" w:eastAsia="仿宋"/>
          <w:sz w:val="28"/>
        </w:rPr>
      </w:pPr>
      <w:r>
        <w:rPr>
          <w:rFonts w:hint="eastAsia" w:ascii="仿宋" w:hAnsi="仿宋" w:eastAsia="仿宋"/>
          <w:sz w:val="28"/>
        </w:rPr>
        <w:t>城市更新开发强度管控应积极传导城市总体规划、城市更新中长期规划的要求，以“总量调控、优化结构、布局协调”为核心，以“保民生、增居住”为原则，以“盘活存量用地”为手段，优化城市用地、用房功能结构，加大城市公共利益用地供应保障基本民生，增加住宅供应提高宜居水平，坚持商业、工业的集约利用推动产业升级转型。</w:t>
      </w:r>
    </w:p>
    <w:p>
      <w:pPr>
        <w:ind w:firstLine="562" w:firstLineChars="200"/>
        <w:rPr>
          <w:rFonts w:ascii="仿宋" w:hAnsi="仿宋" w:eastAsia="仿宋"/>
          <w:b/>
          <w:sz w:val="28"/>
        </w:rPr>
      </w:pPr>
      <w:r>
        <w:rPr>
          <w:rFonts w:hint="eastAsia" w:ascii="仿宋" w:hAnsi="仿宋" w:eastAsia="仿宋"/>
          <w:b/>
          <w:bCs/>
          <w:sz w:val="28"/>
        </w:rPr>
        <w:t>（二）坚持公共利益优先，创新城市更新管理机制</w:t>
      </w:r>
    </w:p>
    <w:p>
      <w:pPr>
        <w:pStyle w:val="13"/>
        <w:ind w:firstLine="560"/>
        <w:rPr>
          <w:rFonts w:ascii="仿宋" w:hAnsi="仿宋" w:eastAsia="仿宋"/>
          <w:sz w:val="28"/>
        </w:rPr>
      </w:pPr>
      <w:r>
        <w:rPr>
          <w:rFonts w:hint="eastAsia" w:ascii="仿宋" w:hAnsi="仿宋" w:eastAsia="仿宋"/>
          <w:sz w:val="28"/>
        </w:rPr>
        <w:t>进一步明确城市更新宗旨，体现政府的平台作用，倡导公共利益优先，创新城市更新管理机制，体现利益共享精神，发挥与调动市场力量，加强落实城市紧缺的公共设施与基础设施的力度，支持城市加大保障性住房等政策性用房供应的方针，鼓励市场在保护历史文化、生态修复及改善城市公共环境方面发挥积极作用。</w:t>
      </w:r>
    </w:p>
    <w:p>
      <w:pPr>
        <w:ind w:firstLine="562" w:firstLineChars="200"/>
        <w:rPr>
          <w:rFonts w:ascii="仿宋" w:hAnsi="仿宋" w:eastAsia="仿宋"/>
          <w:b/>
          <w:sz w:val="28"/>
        </w:rPr>
      </w:pPr>
      <w:r>
        <w:rPr>
          <w:rFonts w:hint="eastAsia" w:ascii="仿宋" w:hAnsi="仿宋" w:eastAsia="仿宋"/>
          <w:b/>
          <w:sz w:val="28"/>
        </w:rPr>
        <w:t>（三）坚持依法依规管理，推动城市更新有序开展</w:t>
      </w:r>
    </w:p>
    <w:p>
      <w:pPr>
        <w:pStyle w:val="13"/>
        <w:ind w:firstLine="560"/>
        <w:rPr>
          <w:rFonts w:ascii="仿宋" w:hAnsi="仿宋" w:eastAsia="仿宋"/>
          <w:sz w:val="28"/>
        </w:rPr>
      </w:pPr>
      <w:r>
        <w:rPr>
          <w:rFonts w:hint="eastAsia" w:ascii="仿宋" w:hAnsi="仿宋" w:eastAsia="仿宋"/>
          <w:sz w:val="28"/>
        </w:rPr>
        <w:t>加强城市更新单元容积率规范化、精细化管理，完善容积率调整管理规则，厘清管控边界，明晰程序职责，建立规则衔接，消除规则歧义，填补规则空白，体现规范化、精细化的管理要求，推动城市更新工作有序开展。</w:t>
      </w:r>
    </w:p>
    <w:p>
      <w:pPr>
        <w:pStyle w:val="2"/>
        <w:numPr>
          <w:ilvl w:val="0"/>
          <w:numId w:val="1"/>
        </w:numPr>
      </w:pPr>
      <w:r>
        <w:rPr>
          <w:rFonts w:hint="eastAsia"/>
        </w:rPr>
        <w:t>主要内容</w:t>
      </w:r>
    </w:p>
    <w:p>
      <w:pPr>
        <w:ind w:firstLine="555"/>
        <w:rPr>
          <w:rFonts w:ascii="仿宋" w:hAnsi="仿宋" w:eastAsia="仿宋"/>
          <w:sz w:val="28"/>
        </w:rPr>
      </w:pPr>
      <w:r>
        <w:rPr>
          <w:rFonts w:hint="eastAsia" w:ascii="仿宋" w:hAnsi="仿宋" w:eastAsia="仿宋"/>
          <w:sz w:val="28"/>
        </w:rPr>
        <w:t>《审查规定》仍维持原《试行指引》由“基础+转移+奖励”组成的测算规则体系不变，结合上述原则开展修订工作，主要内容包括以下几方面：</w:t>
      </w:r>
    </w:p>
    <w:p>
      <w:pPr>
        <w:spacing w:before="156" w:beforeLines="50"/>
        <w:ind w:firstLine="562" w:firstLineChars="200"/>
        <w:rPr>
          <w:rFonts w:ascii="仿宋" w:hAnsi="仿宋" w:eastAsia="仿宋"/>
          <w:b/>
          <w:bCs/>
          <w:sz w:val="28"/>
        </w:rPr>
      </w:pPr>
      <w:r>
        <w:rPr>
          <w:rFonts w:hint="eastAsia" w:ascii="仿宋" w:hAnsi="仿宋" w:eastAsia="仿宋"/>
          <w:b/>
          <w:bCs/>
          <w:sz w:val="28"/>
        </w:rPr>
        <w:t>（一）对接《深标》局部修订</w:t>
      </w:r>
    </w:p>
    <w:p>
      <w:pPr>
        <w:ind w:firstLine="562" w:firstLineChars="200"/>
        <w:rPr>
          <w:rFonts w:ascii="仿宋" w:hAnsi="仿宋" w:eastAsia="仿宋"/>
          <w:b/>
          <w:bCs/>
          <w:sz w:val="28"/>
        </w:rPr>
      </w:pPr>
      <w:r>
        <w:rPr>
          <w:rFonts w:hint="eastAsia" w:ascii="仿宋" w:hAnsi="仿宋" w:eastAsia="仿宋"/>
          <w:b/>
          <w:bCs/>
          <w:sz w:val="28"/>
        </w:rPr>
        <w:t>1、明确“容积”概念</w:t>
      </w:r>
    </w:p>
    <w:p>
      <w:pPr>
        <w:ind w:firstLine="560" w:firstLineChars="200"/>
        <w:rPr>
          <w:rFonts w:ascii="仿宋" w:hAnsi="仿宋" w:eastAsia="仿宋"/>
          <w:sz w:val="28"/>
        </w:rPr>
      </w:pPr>
      <w:r>
        <w:rPr>
          <w:rFonts w:hint="eastAsia" w:ascii="仿宋" w:hAnsi="仿宋" w:eastAsia="仿宋"/>
          <w:sz w:val="28"/>
        </w:rPr>
        <w:t>现阶段我市规划管理面临由地块管理向地块和单元管理并举的方式转变，《深标》局部修订（密度分区，征求意见稿）提出采用“容积”的表述以适应现阶段规划管理的实际需求，本次起草衔接《深标》，将原《试行指引》中的“规划建筑面积”、“基础建筑面积”、“转移建筑面积”、“奖励建筑面积”分别改为“规划容积”、“基础容积”、“转移容积”、“奖励容积”，明确规划容积是指城市更新单元内开发建设用地各地块规定建筑面积之和，并将地下规定建筑面积纳入规划容积统一管理，即：</w:t>
      </w:r>
    </w:p>
    <w:p>
      <w:pPr>
        <w:ind w:firstLine="562" w:firstLineChars="200"/>
        <w:rPr>
          <w:rFonts w:ascii="仿宋" w:hAnsi="仿宋" w:eastAsia="仿宋"/>
          <w:b/>
          <w:sz w:val="28"/>
        </w:rPr>
      </w:pPr>
      <w:r>
        <w:rPr>
          <w:rFonts w:hint="eastAsia" w:ascii="仿宋" w:hAnsi="仿宋" w:eastAsia="仿宋"/>
          <w:b/>
          <w:sz w:val="28"/>
        </w:rPr>
        <w:t>规划容积=地上规定建筑面积+地下规定建筑面积</w:t>
      </w:r>
    </w:p>
    <w:p>
      <w:pPr>
        <w:ind w:firstLine="560" w:firstLineChars="200"/>
        <w:rPr>
          <w:rFonts w:ascii="仿宋" w:hAnsi="仿宋" w:eastAsia="仿宋"/>
          <w:sz w:val="28"/>
        </w:rPr>
      </w:pPr>
      <w:r>
        <w:rPr>
          <w:rFonts w:hint="eastAsia" w:ascii="仿宋" w:hAnsi="仿宋" w:eastAsia="仿宋"/>
          <w:sz w:val="28"/>
        </w:rPr>
        <w:t>其中地下规定建筑面积主要指地下经营性面积，不含配建地下车库、设备用房、民防设施、公共交通等面积。</w:t>
      </w:r>
    </w:p>
    <w:p>
      <w:pPr>
        <w:ind w:firstLine="562" w:firstLineChars="200"/>
        <w:rPr>
          <w:rFonts w:ascii="仿宋" w:hAnsi="仿宋" w:eastAsia="仿宋"/>
          <w:b/>
          <w:bCs/>
          <w:sz w:val="28"/>
        </w:rPr>
      </w:pPr>
      <w:r>
        <w:rPr>
          <w:rFonts w:hint="eastAsia" w:ascii="仿宋" w:hAnsi="仿宋" w:eastAsia="仿宋"/>
          <w:b/>
          <w:bCs/>
          <w:sz w:val="28"/>
        </w:rPr>
        <w:t>2、关于基础容积的测算</w:t>
      </w:r>
    </w:p>
    <w:p>
      <w:pPr>
        <w:ind w:firstLine="555"/>
        <w:rPr>
          <w:rFonts w:ascii="仿宋" w:hAnsi="仿宋" w:eastAsia="仿宋"/>
          <w:sz w:val="28"/>
        </w:rPr>
      </w:pPr>
      <w:r>
        <w:rPr>
          <w:rFonts w:hint="eastAsia" w:ascii="仿宋" w:hAnsi="仿宋" w:eastAsia="仿宋"/>
          <w:sz w:val="28"/>
        </w:rPr>
        <w:t>目前《深标》“第4章 密度分区与容积率”正在修订，考虑其已将大部分低强度分区提高密度分区等级，本《审查规定》取消原《试行指引》第四条关于修正密度分区的表述，地块基础容积率按经委业务会审议通过的《深标》“第4章 密度分区与容积率”局部修订版进行测算。</w:t>
      </w:r>
    </w:p>
    <w:p>
      <w:pPr>
        <w:spacing w:before="156" w:beforeLines="50"/>
        <w:ind w:firstLine="562" w:firstLineChars="200"/>
        <w:rPr>
          <w:rFonts w:ascii="仿宋" w:hAnsi="仿宋" w:eastAsia="仿宋"/>
          <w:b/>
          <w:bCs/>
          <w:sz w:val="28"/>
        </w:rPr>
      </w:pPr>
      <w:r>
        <w:rPr>
          <w:rFonts w:hint="eastAsia" w:ascii="仿宋" w:hAnsi="仿宋" w:eastAsia="仿宋"/>
          <w:b/>
          <w:bCs/>
          <w:sz w:val="28"/>
        </w:rPr>
        <w:t>（二）明确混合用地、单一功能用地各功能测算比例，避免盲目增加商业规模</w:t>
      </w:r>
    </w:p>
    <w:p>
      <w:pPr>
        <w:pStyle w:val="13"/>
        <w:ind w:firstLine="554" w:firstLineChars="198"/>
        <w:rPr>
          <w:rFonts w:ascii="仿宋" w:hAnsi="仿宋" w:eastAsia="仿宋"/>
          <w:sz w:val="28"/>
        </w:rPr>
      </w:pPr>
      <w:r>
        <w:rPr>
          <w:rFonts w:hint="eastAsia" w:ascii="仿宋" w:hAnsi="仿宋" w:eastAsia="仿宋"/>
          <w:sz w:val="28"/>
        </w:rPr>
        <w:t>从现状及发展趋势看，全市的职住平衡状况有进一步恶化的趋势，住房供应相对不足，规划商业总量偏高。为避免城市更新项目为提高开发强度盲目增加商业规模，本次修订明确了基础容积率测算过程中的混合用地、单一功能用地各功能测算比例，具体见下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pStyle w:val="13"/>
              <w:ind w:firstLine="475" w:firstLineChars="198"/>
              <w:jc w:val="center"/>
              <w:rPr>
                <w:rFonts w:ascii="仿宋" w:hAnsi="仿宋" w:eastAsia="仿宋"/>
                <w:sz w:val="24"/>
              </w:rPr>
            </w:pPr>
          </w:p>
        </w:tc>
        <w:tc>
          <w:tcPr>
            <w:tcW w:w="1250" w:type="pct"/>
            <w:vAlign w:val="center"/>
          </w:tcPr>
          <w:p>
            <w:pPr>
              <w:jc w:val="center"/>
              <w:rPr>
                <w:rFonts w:ascii="仿宋" w:hAnsi="仿宋" w:eastAsia="仿宋"/>
                <w:sz w:val="24"/>
              </w:rPr>
            </w:pPr>
            <w:r>
              <w:rPr>
                <w:rFonts w:hint="eastAsia" w:ascii="仿宋" w:hAnsi="仿宋" w:eastAsia="仿宋"/>
                <w:sz w:val="24"/>
              </w:rPr>
              <w:t>主导功能</w:t>
            </w:r>
          </w:p>
        </w:tc>
        <w:tc>
          <w:tcPr>
            <w:tcW w:w="1250" w:type="pct"/>
            <w:vAlign w:val="center"/>
          </w:tcPr>
          <w:p>
            <w:pPr>
              <w:jc w:val="center"/>
              <w:rPr>
                <w:rFonts w:ascii="仿宋" w:hAnsi="仿宋" w:eastAsia="仿宋"/>
                <w:sz w:val="24"/>
              </w:rPr>
            </w:pPr>
            <w:r>
              <w:rPr>
                <w:rFonts w:hint="eastAsia" w:ascii="仿宋" w:hAnsi="仿宋" w:eastAsia="仿宋"/>
                <w:sz w:val="24"/>
              </w:rPr>
              <w:t>取值比例</w:t>
            </w:r>
          </w:p>
        </w:tc>
        <w:tc>
          <w:tcPr>
            <w:tcW w:w="1250" w:type="pct"/>
            <w:vAlign w:val="center"/>
          </w:tcPr>
          <w:p>
            <w:pPr>
              <w:jc w:val="center"/>
              <w:rPr>
                <w:rFonts w:ascii="仿宋" w:hAnsi="仿宋" w:eastAsia="仿宋"/>
                <w:sz w:val="24"/>
              </w:rPr>
            </w:pPr>
            <w:r>
              <w:rPr>
                <w:rFonts w:hint="eastAsia" w:ascii="仿宋" w:hAnsi="仿宋" w:eastAsia="仿宋"/>
                <w:sz w:val="24"/>
              </w:rPr>
              <w:t>取值原则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Merge w:val="restart"/>
            <w:vAlign w:val="center"/>
          </w:tcPr>
          <w:p>
            <w:pPr>
              <w:pStyle w:val="13"/>
              <w:ind w:firstLine="0" w:firstLineChars="0"/>
              <w:jc w:val="center"/>
              <w:rPr>
                <w:rFonts w:ascii="仿宋" w:hAnsi="仿宋" w:eastAsia="仿宋"/>
                <w:sz w:val="24"/>
              </w:rPr>
            </w:pPr>
            <w:r>
              <w:rPr>
                <w:rFonts w:hint="eastAsia" w:ascii="仿宋" w:hAnsi="仿宋" w:eastAsia="仿宋"/>
                <w:sz w:val="24"/>
              </w:rPr>
              <w:t>含居住功能</w:t>
            </w:r>
          </w:p>
          <w:p>
            <w:pPr>
              <w:pStyle w:val="13"/>
              <w:ind w:firstLine="0" w:firstLineChars="0"/>
              <w:jc w:val="center"/>
              <w:rPr>
                <w:rFonts w:ascii="仿宋" w:hAnsi="仿宋" w:eastAsia="仿宋"/>
                <w:sz w:val="24"/>
              </w:rPr>
            </w:pPr>
            <w:r>
              <w:rPr>
                <w:rFonts w:hint="eastAsia" w:ascii="仿宋" w:hAnsi="仿宋" w:eastAsia="仿宋"/>
                <w:sz w:val="24"/>
              </w:rPr>
              <w:t>的混合用地</w:t>
            </w:r>
          </w:p>
        </w:tc>
        <w:tc>
          <w:tcPr>
            <w:tcW w:w="1250" w:type="pct"/>
            <w:vAlign w:val="center"/>
          </w:tcPr>
          <w:p>
            <w:pPr>
              <w:pStyle w:val="13"/>
              <w:ind w:firstLine="0" w:firstLineChars="0"/>
              <w:jc w:val="center"/>
              <w:rPr>
                <w:rFonts w:ascii="仿宋" w:hAnsi="仿宋" w:eastAsia="仿宋"/>
                <w:sz w:val="24"/>
              </w:rPr>
            </w:pPr>
            <w:r>
              <w:rPr>
                <w:rFonts w:hint="eastAsia" w:ascii="仿宋" w:hAnsi="仿宋" w:eastAsia="仿宋"/>
                <w:sz w:val="24"/>
              </w:rPr>
              <w:t>居住（R+…）</w:t>
            </w:r>
          </w:p>
        </w:tc>
        <w:tc>
          <w:tcPr>
            <w:tcW w:w="1250" w:type="pct"/>
            <w:vAlign w:val="center"/>
          </w:tcPr>
          <w:p>
            <w:pPr>
              <w:jc w:val="center"/>
              <w:rPr>
                <w:rFonts w:ascii="仿宋" w:hAnsi="仿宋" w:eastAsia="仿宋"/>
                <w:sz w:val="24"/>
              </w:rPr>
            </w:pPr>
            <w:r>
              <w:rPr>
                <w:rFonts w:hint="eastAsia" w:ascii="仿宋" w:hAnsi="仿宋" w:eastAsia="仿宋"/>
                <w:sz w:val="24"/>
              </w:rPr>
              <w:t>居住69%</w:t>
            </w:r>
          </w:p>
        </w:tc>
        <w:tc>
          <w:tcPr>
            <w:tcW w:w="1250" w:type="pct"/>
            <w:vMerge w:val="restart"/>
            <w:vAlign w:val="center"/>
          </w:tcPr>
          <w:p>
            <w:pPr>
              <w:pStyle w:val="13"/>
              <w:ind w:firstLine="0" w:firstLineChars="0"/>
              <w:jc w:val="center"/>
              <w:rPr>
                <w:rFonts w:ascii="仿宋" w:hAnsi="仿宋" w:eastAsia="仿宋"/>
                <w:sz w:val="24"/>
              </w:rPr>
            </w:pPr>
            <w:r>
              <w:rPr>
                <w:rFonts w:hint="eastAsia" w:ascii="仿宋" w:hAnsi="仿宋" w:eastAsia="仿宋"/>
                <w:sz w:val="24"/>
              </w:rPr>
              <w:t>按混合比例上限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Merge w:val="continue"/>
            <w:vAlign w:val="center"/>
          </w:tcPr>
          <w:p>
            <w:pPr>
              <w:pStyle w:val="13"/>
              <w:ind w:firstLine="475" w:firstLineChars="198"/>
              <w:jc w:val="center"/>
              <w:rPr>
                <w:rFonts w:ascii="仿宋" w:hAnsi="仿宋" w:eastAsia="仿宋"/>
                <w:sz w:val="24"/>
              </w:rPr>
            </w:pPr>
          </w:p>
        </w:tc>
        <w:tc>
          <w:tcPr>
            <w:tcW w:w="1250" w:type="pct"/>
            <w:vAlign w:val="center"/>
          </w:tcPr>
          <w:p>
            <w:pPr>
              <w:pStyle w:val="13"/>
              <w:ind w:firstLine="0" w:firstLineChars="0"/>
              <w:jc w:val="center"/>
              <w:rPr>
                <w:rFonts w:ascii="仿宋" w:hAnsi="仿宋" w:eastAsia="仿宋"/>
                <w:sz w:val="24"/>
              </w:rPr>
            </w:pPr>
            <w:r>
              <w:rPr>
                <w:rFonts w:hint="eastAsia" w:ascii="仿宋" w:hAnsi="仿宋" w:eastAsia="仿宋"/>
                <w:sz w:val="24"/>
              </w:rPr>
              <w:t>非居住（…+R）</w:t>
            </w:r>
          </w:p>
        </w:tc>
        <w:tc>
          <w:tcPr>
            <w:tcW w:w="1250" w:type="pct"/>
            <w:vAlign w:val="center"/>
          </w:tcPr>
          <w:p>
            <w:pPr>
              <w:jc w:val="center"/>
              <w:rPr>
                <w:rFonts w:ascii="仿宋" w:hAnsi="仿宋" w:eastAsia="仿宋"/>
                <w:sz w:val="24"/>
              </w:rPr>
            </w:pPr>
            <w:r>
              <w:rPr>
                <w:rFonts w:hint="eastAsia" w:ascii="仿宋" w:hAnsi="仿宋" w:eastAsia="仿宋"/>
                <w:sz w:val="24"/>
              </w:rPr>
              <w:t>居住49%</w:t>
            </w:r>
          </w:p>
        </w:tc>
        <w:tc>
          <w:tcPr>
            <w:tcW w:w="1250" w:type="pct"/>
            <w:vMerge w:val="continue"/>
            <w:vAlign w:val="center"/>
          </w:tcPr>
          <w:p>
            <w:pPr>
              <w:pStyle w:val="13"/>
              <w:ind w:firstLine="475" w:firstLineChars="19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Merge w:val="restart"/>
            <w:vAlign w:val="center"/>
          </w:tcPr>
          <w:p>
            <w:pPr>
              <w:pStyle w:val="13"/>
              <w:ind w:firstLine="0" w:firstLineChars="0"/>
              <w:jc w:val="center"/>
              <w:rPr>
                <w:rFonts w:ascii="仿宋" w:hAnsi="仿宋" w:eastAsia="仿宋"/>
                <w:sz w:val="24"/>
              </w:rPr>
            </w:pPr>
            <w:r>
              <w:rPr>
                <w:rFonts w:hint="eastAsia" w:ascii="仿宋" w:hAnsi="仿宋" w:eastAsia="仿宋"/>
                <w:sz w:val="24"/>
              </w:rPr>
              <w:t>含商业功能</w:t>
            </w:r>
          </w:p>
          <w:p>
            <w:pPr>
              <w:pStyle w:val="13"/>
              <w:ind w:firstLine="0" w:firstLineChars="0"/>
              <w:jc w:val="center"/>
              <w:rPr>
                <w:rFonts w:ascii="仿宋" w:hAnsi="仿宋" w:eastAsia="仿宋"/>
                <w:sz w:val="24"/>
              </w:rPr>
            </w:pPr>
            <w:r>
              <w:rPr>
                <w:rFonts w:hint="eastAsia" w:ascii="仿宋" w:hAnsi="仿宋" w:eastAsia="仿宋"/>
                <w:sz w:val="24"/>
              </w:rPr>
              <w:t>的混合用地</w:t>
            </w:r>
          </w:p>
        </w:tc>
        <w:tc>
          <w:tcPr>
            <w:tcW w:w="1250" w:type="pct"/>
            <w:vAlign w:val="center"/>
          </w:tcPr>
          <w:p>
            <w:pPr>
              <w:pStyle w:val="13"/>
              <w:ind w:firstLine="0" w:firstLineChars="0"/>
              <w:jc w:val="center"/>
              <w:rPr>
                <w:rFonts w:ascii="仿宋" w:hAnsi="仿宋" w:eastAsia="仿宋"/>
                <w:sz w:val="24"/>
              </w:rPr>
            </w:pPr>
            <w:r>
              <w:rPr>
                <w:rFonts w:hint="eastAsia" w:ascii="仿宋" w:hAnsi="仿宋" w:eastAsia="仿宋"/>
                <w:sz w:val="24"/>
              </w:rPr>
              <w:t>商业（C+…）</w:t>
            </w:r>
          </w:p>
        </w:tc>
        <w:tc>
          <w:tcPr>
            <w:tcW w:w="1250" w:type="pct"/>
            <w:vAlign w:val="center"/>
          </w:tcPr>
          <w:p>
            <w:pPr>
              <w:jc w:val="center"/>
              <w:rPr>
                <w:rFonts w:ascii="仿宋" w:hAnsi="仿宋" w:eastAsia="仿宋"/>
                <w:sz w:val="24"/>
              </w:rPr>
            </w:pPr>
            <w:r>
              <w:rPr>
                <w:rFonts w:hint="eastAsia" w:ascii="仿宋" w:hAnsi="仿宋" w:eastAsia="仿宋"/>
                <w:sz w:val="24"/>
              </w:rPr>
              <w:t>商业51%</w:t>
            </w:r>
          </w:p>
        </w:tc>
        <w:tc>
          <w:tcPr>
            <w:tcW w:w="1250" w:type="pct"/>
            <w:vMerge w:val="restart"/>
            <w:vAlign w:val="center"/>
          </w:tcPr>
          <w:p>
            <w:pPr>
              <w:pStyle w:val="13"/>
              <w:ind w:firstLine="0" w:firstLineChars="0"/>
              <w:jc w:val="center"/>
              <w:rPr>
                <w:rFonts w:ascii="仿宋" w:hAnsi="仿宋" w:eastAsia="仿宋"/>
                <w:sz w:val="24"/>
              </w:rPr>
            </w:pPr>
            <w:r>
              <w:rPr>
                <w:rFonts w:hint="eastAsia" w:ascii="仿宋" w:hAnsi="仿宋" w:eastAsia="仿宋"/>
                <w:sz w:val="24"/>
              </w:rPr>
              <w:t>按混合比例下限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Merge w:val="continue"/>
            <w:vAlign w:val="center"/>
          </w:tcPr>
          <w:p>
            <w:pPr>
              <w:pStyle w:val="13"/>
              <w:ind w:firstLine="475" w:firstLineChars="198"/>
              <w:jc w:val="center"/>
              <w:rPr>
                <w:rFonts w:ascii="仿宋" w:hAnsi="仿宋" w:eastAsia="仿宋"/>
                <w:sz w:val="24"/>
              </w:rPr>
            </w:pPr>
          </w:p>
        </w:tc>
        <w:tc>
          <w:tcPr>
            <w:tcW w:w="1250" w:type="pct"/>
            <w:vAlign w:val="center"/>
          </w:tcPr>
          <w:p>
            <w:pPr>
              <w:pStyle w:val="13"/>
              <w:ind w:firstLine="0" w:firstLineChars="0"/>
              <w:jc w:val="center"/>
              <w:rPr>
                <w:rFonts w:ascii="仿宋" w:hAnsi="仿宋" w:eastAsia="仿宋"/>
                <w:sz w:val="24"/>
              </w:rPr>
            </w:pPr>
            <w:r>
              <w:rPr>
                <w:rFonts w:hint="eastAsia" w:ascii="仿宋" w:hAnsi="仿宋" w:eastAsia="仿宋"/>
                <w:sz w:val="24"/>
              </w:rPr>
              <w:t>非商业（…+C）</w:t>
            </w:r>
          </w:p>
        </w:tc>
        <w:tc>
          <w:tcPr>
            <w:tcW w:w="1250" w:type="pct"/>
            <w:vAlign w:val="center"/>
          </w:tcPr>
          <w:p>
            <w:pPr>
              <w:jc w:val="center"/>
              <w:rPr>
                <w:rFonts w:ascii="仿宋" w:hAnsi="仿宋" w:eastAsia="仿宋"/>
                <w:sz w:val="24"/>
              </w:rPr>
            </w:pPr>
            <w:r>
              <w:rPr>
                <w:rFonts w:hint="eastAsia" w:ascii="仿宋" w:hAnsi="仿宋" w:eastAsia="仿宋"/>
                <w:sz w:val="24"/>
              </w:rPr>
              <w:t>商业31%</w:t>
            </w:r>
          </w:p>
        </w:tc>
        <w:tc>
          <w:tcPr>
            <w:tcW w:w="1250" w:type="pct"/>
            <w:vMerge w:val="continue"/>
            <w:vAlign w:val="center"/>
          </w:tcPr>
          <w:p>
            <w:pPr>
              <w:pStyle w:val="13"/>
              <w:ind w:firstLine="475" w:firstLineChars="198"/>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0" w:type="pct"/>
            <w:vAlign w:val="center"/>
          </w:tcPr>
          <w:p>
            <w:pPr>
              <w:jc w:val="center"/>
              <w:rPr>
                <w:rFonts w:ascii="仿宋" w:hAnsi="仿宋" w:eastAsia="仿宋"/>
                <w:sz w:val="24"/>
              </w:rPr>
            </w:pPr>
            <w:r>
              <w:rPr>
                <w:rFonts w:hint="eastAsia" w:ascii="仿宋" w:hAnsi="仿宋" w:eastAsia="仿宋"/>
                <w:sz w:val="24"/>
              </w:rPr>
              <w:t>单一功能用地</w:t>
            </w:r>
          </w:p>
        </w:tc>
        <w:tc>
          <w:tcPr>
            <w:tcW w:w="1250" w:type="pct"/>
            <w:vAlign w:val="center"/>
          </w:tcPr>
          <w:p>
            <w:pPr>
              <w:pStyle w:val="13"/>
              <w:ind w:firstLine="0" w:firstLineChars="0"/>
              <w:jc w:val="center"/>
              <w:rPr>
                <w:rFonts w:ascii="仿宋" w:hAnsi="仿宋" w:eastAsia="仿宋"/>
                <w:sz w:val="24"/>
              </w:rPr>
            </w:pPr>
          </w:p>
        </w:tc>
        <w:tc>
          <w:tcPr>
            <w:tcW w:w="1250" w:type="pct"/>
            <w:vAlign w:val="center"/>
          </w:tcPr>
          <w:p>
            <w:pPr>
              <w:jc w:val="center"/>
              <w:rPr>
                <w:rFonts w:ascii="仿宋" w:hAnsi="仿宋" w:eastAsia="仿宋"/>
                <w:sz w:val="24"/>
              </w:rPr>
            </w:pPr>
            <w:r>
              <w:rPr>
                <w:rFonts w:hint="eastAsia" w:ascii="仿宋" w:hAnsi="仿宋" w:eastAsia="仿宋"/>
                <w:sz w:val="24"/>
              </w:rPr>
              <w:t>规划功能100%</w:t>
            </w:r>
          </w:p>
        </w:tc>
        <w:tc>
          <w:tcPr>
            <w:tcW w:w="1250" w:type="pct"/>
            <w:vAlign w:val="center"/>
          </w:tcPr>
          <w:p>
            <w:pPr>
              <w:jc w:val="center"/>
              <w:rPr>
                <w:rFonts w:ascii="仿宋" w:hAnsi="仿宋" w:eastAsia="仿宋"/>
                <w:sz w:val="24"/>
              </w:rPr>
            </w:pPr>
            <w:r>
              <w:rPr>
                <w:rFonts w:hint="eastAsia" w:ascii="仿宋" w:hAnsi="仿宋" w:eastAsia="仿宋"/>
                <w:sz w:val="24"/>
              </w:rPr>
              <w:t>不计算兼容</w:t>
            </w:r>
          </w:p>
        </w:tc>
      </w:tr>
    </w:tbl>
    <w:p>
      <w:pPr>
        <w:spacing w:before="156" w:beforeLines="50"/>
        <w:ind w:firstLine="562" w:firstLineChars="200"/>
        <w:rPr>
          <w:rFonts w:ascii="仿宋" w:hAnsi="仿宋" w:eastAsia="仿宋"/>
          <w:b/>
          <w:bCs/>
          <w:sz w:val="28"/>
        </w:rPr>
      </w:pPr>
      <w:r>
        <w:rPr>
          <w:rFonts w:hint="eastAsia" w:ascii="仿宋" w:hAnsi="仿宋" w:eastAsia="仿宋"/>
          <w:b/>
          <w:bCs/>
          <w:sz w:val="28"/>
        </w:rPr>
        <w:t>（三）拓展转移容积，加大公共利益供给</w:t>
      </w:r>
    </w:p>
    <w:p>
      <w:pPr>
        <w:ind w:firstLine="562" w:firstLineChars="200"/>
        <w:rPr>
          <w:rFonts w:ascii="仿宋" w:hAnsi="仿宋" w:eastAsia="仿宋"/>
          <w:b/>
          <w:bCs/>
          <w:sz w:val="28"/>
        </w:rPr>
      </w:pPr>
      <w:r>
        <w:rPr>
          <w:rFonts w:hint="eastAsia" w:ascii="仿宋" w:hAnsi="仿宋" w:eastAsia="仿宋"/>
          <w:b/>
          <w:bCs/>
          <w:sz w:val="28"/>
        </w:rPr>
        <w:t>1、提高转移容积，推动教育设施、医疗设施落地</w:t>
      </w:r>
    </w:p>
    <w:p>
      <w:pPr>
        <w:pStyle w:val="13"/>
        <w:ind w:firstLine="560"/>
        <w:rPr>
          <w:rFonts w:ascii="仿宋" w:hAnsi="仿宋" w:eastAsia="仿宋"/>
          <w:sz w:val="28"/>
        </w:rPr>
      </w:pPr>
      <w:r>
        <w:rPr>
          <w:rFonts w:hint="eastAsia" w:ascii="仿宋" w:hAnsi="仿宋" w:eastAsia="仿宋"/>
          <w:sz w:val="28"/>
        </w:rPr>
        <w:t>根据我市法定图则评估、公共设施台账分析及相关公共设施专项规划的研究成果，全市初中、高中、医院的缺口大、实施困难，而从已批更新单元规划落实公共设施及基础设施情况来看，更新项目基于自身需求，多落实社区级公共配套设施及幼儿园、小学等，对于落实初中、高中及医院等占地较大的公共设施缺乏动力。为改善这一状况，本次《审查规定》提出，对更新项目落实综合医院、高中、初中、小学（更新单位为无居住功能，在符合国家及我市相关设计标准及规范的前提下，在法定规划基础上额外增配）的，在原有转移容积测算的基础上，按该类型移交用地面积与基础容积率乘积的0.3倍再予以增加转移容积。</w:t>
      </w:r>
    </w:p>
    <w:p>
      <w:pPr>
        <w:ind w:firstLine="562" w:firstLineChars="200"/>
        <w:rPr>
          <w:rFonts w:ascii="仿宋" w:hAnsi="仿宋" w:eastAsia="仿宋"/>
          <w:b/>
          <w:bCs/>
          <w:sz w:val="28"/>
        </w:rPr>
      </w:pPr>
      <w:r>
        <w:rPr>
          <w:rFonts w:hint="eastAsia" w:ascii="仿宋" w:hAnsi="仿宋" w:eastAsia="仿宋"/>
          <w:b/>
          <w:bCs/>
          <w:sz w:val="28"/>
        </w:rPr>
        <w:t>2、增加转移容积，完善规则，强化历史建筑与历史风貌区保护</w:t>
      </w:r>
    </w:p>
    <w:p>
      <w:pPr>
        <w:pStyle w:val="13"/>
        <w:ind w:firstLine="560"/>
        <w:rPr>
          <w:rFonts w:ascii="仿宋" w:hAnsi="仿宋" w:eastAsia="仿宋"/>
          <w:sz w:val="28"/>
        </w:rPr>
      </w:pPr>
      <w:r>
        <w:rPr>
          <w:rFonts w:hint="eastAsia" w:ascii="仿宋" w:hAnsi="仿宋" w:eastAsia="仿宋"/>
          <w:sz w:val="28"/>
        </w:rPr>
        <w:t>为加强历史建筑及历史风貌区保护，调动市场积极性，本次修订提出，对保留经列入市政府公布的《深圳市历史建筑名录》或市主管部分认定有保留价值的历史建筑或历史风貌区的，无偿移交土地及地上建、构筑物产权，并由实施主体承担修缮、整治费用及责任，可在原有转移容积测算的基础上，按该类型移交用地面积与基础容积率乘积的0.3倍再予以增加转移容积，对于不移交用地的历史建筑予以奖励容积。</w:t>
      </w:r>
    </w:p>
    <w:p>
      <w:pPr>
        <w:ind w:firstLine="562" w:firstLineChars="200"/>
        <w:rPr>
          <w:rFonts w:ascii="仿宋" w:hAnsi="仿宋" w:eastAsia="仿宋"/>
          <w:b/>
          <w:bCs/>
          <w:sz w:val="28"/>
        </w:rPr>
      </w:pPr>
      <w:r>
        <w:rPr>
          <w:rFonts w:hint="eastAsia" w:ascii="仿宋" w:hAnsi="仿宋" w:eastAsia="仿宋"/>
          <w:b/>
          <w:bCs/>
          <w:sz w:val="28"/>
        </w:rPr>
        <w:t>3、增加转移容积，促进文化设施建设</w:t>
      </w:r>
    </w:p>
    <w:p>
      <w:pPr>
        <w:pStyle w:val="13"/>
        <w:ind w:firstLine="560"/>
        <w:rPr>
          <w:rFonts w:ascii="仿宋" w:hAnsi="仿宋" w:eastAsia="仿宋"/>
          <w:sz w:val="28"/>
        </w:rPr>
      </w:pPr>
      <w:r>
        <w:rPr>
          <w:rFonts w:hint="eastAsia" w:ascii="仿宋" w:hAnsi="仿宋" w:eastAsia="仿宋"/>
          <w:sz w:val="28"/>
        </w:rPr>
        <w:t>针对我市文化设施布局不均衡、实施率低，专业化、特色化、国际化程度不足等问题，为促进文化设施建设，本次《审查规定》提出，在法定规划基础上额外落实占地面积不小于5000平方米的文化设施用地的，按该类型移交用地面积与基础容积率乘积的0.3倍再予以增加转移容积。</w:t>
      </w:r>
    </w:p>
    <w:p>
      <w:pPr>
        <w:pStyle w:val="13"/>
        <w:ind w:firstLine="562"/>
        <w:rPr>
          <w:rFonts w:ascii="仿宋" w:hAnsi="仿宋" w:eastAsia="仿宋"/>
          <w:b/>
          <w:sz w:val="28"/>
        </w:rPr>
      </w:pPr>
      <w:r>
        <w:rPr>
          <w:rFonts w:hint="eastAsia" w:ascii="仿宋" w:hAnsi="仿宋" w:eastAsia="仿宋"/>
          <w:b/>
          <w:sz w:val="28"/>
        </w:rPr>
        <w:t>4、增加外部转移容积</w:t>
      </w:r>
    </w:p>
    <w:p>
      <w:pPr>
        <w:ind w:firstLine="555"/>
        <w:rPr>
          <w:rFonts w:ascii="仿宋" w:hAnsi="仿宋" w:eastAsia="仿宋"/>
          <w:sz w:val="28"/>
        </w:rPr>
      </w:pPr>
      <w:r>
        <w:rPr>
          <w:rFonts w:hint="eastAsia" w:ascii="仿宋" w:hAnsi="仿宋" w:eastAsia="仿宋"/>
          <w:sz w:val="28"/>
        </w:rPr>
        <w:t xml:space="preserve">衔接《关于城市更新促进公共利益用地供给的暂行规定》（征求意见稿），对于为建成区的外部移交用地可予以建筑面积补偿作为“外部转移容积”。 </w:t>
      </w:r>
    </w:p>
    <w:p>
      <w:pPr>
        <w:ind w:firstLine="555"/>
        <w:rPr>
          <w:rFonts w:ascii="仿宋" w:hAnsi="仿宋" w:eastAsia="仿宋"/>
          <w:b/>
          <w:sz w:val="28"/>
        </w:rPr>
      </w:pPr>
      <w:r>
        <w:rPr>
          <w:rFonts w:hint="eastAsia" w:ascii="仿宋" w:hAnsi="仿宋" w:eastAsia="仿宋"/>
          <w:b/>
          <w:sz w:val="28"/>
        </w:rPr>
        <w:t>5、转移容积的计算方法</w:t>
      </w:r>
    </w:p>
    <w:p>
      <w:pPr>
        <w:pStyle w:val="7"/>
        <w:spacing w:before="0" w:beforeAutospacing="0" w:after="0" w:afterAutospacing="0"/>
        <w:ind w:firstLine="645"/>
        <w:jc w:val="both"/>
        <w:rPr>
          <w:rFonts w:ascii="仿宋" w:hAnsi="仿宋" w:eastAsia="仿宋" w:cstheme="minorBidi"/>
          <w:b/>
          <w:kern w:val="2"/>
          <w:sz w:val="28"/>
          <w:szCs w:val="22"/>
        </w:rPr>
      </w:pPr>
      <w:r>
        <w:rPr>
          <w:rFonts w:hint="eastAsia" w:ascii="仿宋" w:hAnsi="仿宋" w:eastAsia="仿宋" w:cstheme="minorBidi"/>
          <w:b/>
          <w:kern w:val="2"/>
          <w:sz w:val="28"/>
          <w:szCs w:val="22"/>
        </w:rPr>
        <w:t>总转移容积=一般转移容积+增加转移容积+外部转移容积</w:t>
      </w:r>
    </w:p>
    <w:p>
      <w:pPr>
        <w:pStyle w:val="7"/>
        <w:spacing w:before="0" w:beforeAutospacing="0" w:after="0" w:afterAutospacing="0"/>
        <w:ind w:firstLine="645"/>
        <w:jc w:val="both"/>
        <w:rPr>
          <w:rFonts w:ascii="仿宋" w:hAnsi="仿宋" w:eastAsia="仿宋" w:cstheme="minorBidi"/>
          <w:kern w:val="2"/>
          <w:sz w:val="28"/>
          <w:szCs w:val="22"/>
        </w:rPr>
      </w:pPr>
      <w:r>
        <w:rPr>
          <w:rFonts w:hint="eastAsia" w:ascii="仿宋" w:hAnsi="仿宋" w:eastAsia="仿宋" w:cstheme="minorBidi"/>
          <w:kern w:val="2"/>
          <w:sz w:val="28"/>
          <w:szCs w:val="22"/>
        </w:rPr>
        <w:t>（1）一般转移容积：城市更新项目拆除范围用地内经核算的实际土地移交用地面积超出基准土地移交用地面积的，超出的用地面积与基础容积率的乘积作为转移容积。按下式计算：</w:t>
      </w:r>
    </w:p>
    <w:p>
      <w:pPr>
        <w:pStyle w:val="7"/>
        <w:spacing w:before="0" w:beforeAutospacing="0" w:after="0" w:afterAutospacing="0"/>
        <w:ind w:firstLine="645"/>
        <w:jc w:val="both"/>
        <w:rPr>
          <w:rFonts w:ascii="仿宋" w:hAnsi="仿宋" w:eastAsia="仿宋" w:cstheme="minorBidi"/>
          <w:kern w:val="2"/>
          <w:sz w:val="28"/>
          <w:szCs w:val="22"/>
        </w:rPr>
      </w:pPr>
      <w:r>
        <w:rPr>
          <w:rFonts w:hint="eastAsia" w:ascii="仿宋" w:hAnsi="仿宋" w:eastAsia="仿宋" w:cstheme="minorBidi"/>
          <w:kern w:val="2"/>
          <w:sz w:val="28"/>
          <w:szCs w:val="22"/>
        </w:rPr>
        <w:t>一般转移容积=</w:t>
      </w:r>
    </w:p>
    <w:p>
      <w:pPr>
        <w:pStyle w:val="7"/>
        <w:spacing w:before="0" w:beforeAutospacing="0" w:after="0" w:afterAutospacing="0"/>
        <w:ind w:firstLine="645"/>
        <w:jc w:val="both"/>
        <w:rPr>
          <w:rFonts w:ascii="仿宋" w:hAnsi="仿宋" w:eastAsia="仿宋" w:cstheme="minorBidi"/>
          <w:kern w:val="2"/>
          <w:sz w:val="28"/>
          <w:szCs w:val="22"/>
        </w:rPr>
      </w:pPr>
      <w:r>
        <w:rPr>
          <w:rFonts w:hint="eastAsia" w:ascii="仿宋" w:hAnsi="仿宋" w:eastAsia="仿宋" w:cstheme="minorBidi"/>
          <w:kern w:val="2"/>
          <w:sz w:val="28"/>
          <w:szCs w:val="22"/>
        </w:rPr>
        <w:t>[（S1+S2×</w:t>
      </w:r>
      <w:r>
        <w:rPr>
          <w:rFonts w:ascii="仿宋" w:hAnsi="仿宋" w:eastAsia="仿宋" w:cstheme="minorBidi"/>
          <w:kern w:val="2"/>
          <w:sz w:val="28"/>
          <w:szCs w:val="22"/>
        </w:rPr>
        <w:t>80%</w:t>
      </w:r>
      <w:r>
        <w:rPr>
          <w:rFonts w:hint="eastAsia" w:ascii="仿宋" w:hAnsi="仿宋" w:eastAsia="仿宋" w:cstheme="minorBidi"/>
          <w:kern w:val="2"/>
          <w:sz w:val="28"/>
          <w:szCs w:val="22"/>
        </w:rPr>
        <w:t>）×（1-R）-（S3-S4）] ×FAR基础</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式中：</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S1：拆除范围内视为权属清晰用地的面积；</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S2：需要进行历史用地处置用地的面积；</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S3：开发建设用地；</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S4：纳入的零星用地；</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R：基准土地移交率，拆除范围用地面积大于10000平方米的城市更新单元，按照15%或3000平方米与拆除用地面积的比率的高值取值；拆除范围用地面积小于10000平方米的城市更新单元按照30%取值；</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FAR基础：基础容积率</w:t>
      </w:r>
    </w:p>
    <w:p>
      <w:pPr>
        <w:pStyle w:val="7"/>
        <w:spacing w:before="0" w:beforeAutospacing="0" w:after="0" w:afterAutospacing="0" w:line="360" w:lineRule="auto"/>
        <w:ind w:firstLine="645"/>
        <w:jc w:val="both"/>
        <w:rPr>
          <w:rFonts w:ascii="仿宋" w:hAnsi="仿宋" w:eastAsia="仿宋" w:cstheme="minorBidi"/>
          <w:kern w:val="2"/>
          <w:sz w:val="28"/>
          <w:szCs w:val="22"/>
        </w:rPr>
      </w:pPr>
      <w:r>
        <w:rPr>
          <w:rFonts w:hint="eastAsia" w:ascii="仿宋" w:hAnsi="仿宋" w:eastAsia="仿宋" w:cstheme="minorBidi"/>
          <w:kern w:val="2"/>
          <w:sz w:val="28"/>
          <w:szCs w:val="22"/>
        </w:rPr>
        <w:t>（2）增加转移容积 = S5×FAR基础×0.3</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式中：</w:t>
      </w:r>
    </w:p>
    <w:p>
      <w:pPr>
        <w:pStyle w:val="7"/>
        <w:spacing w:before="0" w:beforeAutospacing="0" w:after="0" w:afterAutospacing="0" w:line="360" w:lineRule="auto"/>
        <w:ind w:firstLine="645"/>
        <w:jc w:val="both"/>
        <w:rPr>
          <w:rFonts w:ascii="仿宋" w:hAnsi="仿宋" w:eastAsia="仿宋" w:cstheme="minorBidi"/>
          <w:kern w:val="2"/>
          <w:sz w:val="28"/>
          <w:szCs w:val="22"/>
        </w:rPr>
      </w:pPr>
      <w:r>
        <w:rPr>
          <w:rFonts w:hint="eastAsia" w:ascii="仿宋" w:hAnsi="仿宋" w:eastAsia="仿宋" w:cstheme="minorBidi"/>
          <w:kern w:val="2"/>
          <w:szCs w:val="22"/>
        </w:rPr>
        <w:t>S5：移交特定情形设施用地面积</w:t>
      </w:r>
    </w:p>
    <w:p>
      <w:pPr>
        <w:pStyle w:val="7"/>
        <w:spacing w:before="0" w:beforeAutospacing="0" w:after="0" w:afterAutospacing="0" w:line="360" w:lineRule="auto"/>
        <w:ind w:firstLine="645"/>
        <w:jc w:val="both"/>
        <w:rPr>
          <w:rFonts w:ascii="仿宋" w:hAnsi="仿宋" w:eastAsia="仿宋" w:cstheme="minorBidi"/>
          <w:kern w:val="2"/>
          <w:sz w:val="28"/>
          <w:szCs w:val="22"/>
        </w:rPr>
      </w:pPr>
      <w:r>
        <w:rPr>
          <w:rFonts w:hint="eastAsia" w:ascii="仿宋" w:hAnsi="仿宋" w:eastAsia="仿宋" w:cstheme="minorBidi"/>
          <w:kern w:val="2"/>
          <w:sz w:val="28"/>
          <w:szCs w:val="22"/>
        </w:rPr>
        <w:t>（3）外部转移容积= S6×转移系数</w:t>
      </w:r>
    </w:p>
    <w:p>
      <w:pPr>
        <w:pStyle w:val="7"/>
        <w:spacing w:before="0" w:beforeAutospacing="0" w:after="0" w:afterAutospacing="0" w:line="360" w:lineRule="auto"/>
        <w:ind w:firstLine="645"/>
        <w:jc w:val="both"/>
        <w:rPr>
          <w:rFonts w:ascii="仿宋" w:hAnsi="仿宋" w:eastAsia="仿宋" w:cstheme="minorBidi"/>
          <w:kern w:val="2"/>
          <w:szCs w:val="22"/>
        </w:rPr>
      </w:pPr>
      <w:r>
        <w:rPr>
          <w:rFonts w:hint="eastAsia" w:ascii="仿宋" w:hAnsi="仿宋" w:eastAsia="仿宋" w:cstheme="minorBidi"/>
          <w:kern w:val="2"/>
          <w:szCs w:val="22"/>
        </w:rPr>
        <w:t>式中：</w:t>
      </w:r>
    </w:p>
    <w:p>
      <w:pPr>
        <w:pStyle w:val="7"/>
        <w:spacing w:before="0" w:beforeAutospacing="0" w:after="0" w:afterAutospacing="0" w:line="360" w:lineRule="auto"/>
        <w:ind w:firstLine="645"/>
        <w:jc w:val="both"/>
        <w:rPr>
          <w:rFonts w:ascii="仿宋" w:hAnsi="仿宋" w:eastAsia="仿宋" w:cstheme="minorBidi"/>
          <w:kern w:val="2"/>
          <w:sz w:val="28"/>
          <w:szCs w:val="22"/>
        </w:rPr>
      </w:pPr>
      <w:r>
        <w:rPr>
          <w:rFonts w:hint="eastAsia" w:ascii="仿宋" w:hAnsi="仿宋" w:eastAsia="仿宋" w:cstheme="minorBidi"/>
          <w:kern w:val="2"/>
          <w:szCs w:val="22"/>
        </w:rPr>
        <w:t>S6：外部移交用地面积</w:t>
      </w:r>
    </w:p>
    <w:tbl>
      <w:tblPr>
        <w:tblStyle w:val="9"/>
        <w:tblW w:w="4937"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060"/>
        <w:gridCol w:w="1062"/>
        <w:gridCol w:w="1062"/>
        <w:gridCol w:w="1062"/>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外部移交用地所在密度分区</w:t>
            </w:r>
          </w:p>
        </w:tc>
        <w:tc>
          <w:tcPr>
            <w:tcW w:w="630"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一区</w:t>
            </w:r>
          </w:p>
        </w:tc>
        <w:tc>
          <w:tcPr>
            <w:tcW w:w="631"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二区</w:t>
            </w:r>
          </w:p>
        </w:tc>
        <w:tc>
          <w:tcPr>
            <w:tcW w:w="631"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三区</w:t>
            </w:r>
          </w:p>
        </w:tc>
        <w:tc>
          <w:tcPr>
            <w:tcW w:w="631"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四区</w:t>
            </w:r>
          </w:p>
        </w:tc>
        <w:tc>
          <w:tcPr>
            <w:tcW w:w="629"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8"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转移系数</w:t>
            </w:r>
          </w:p>
        </w:tc>
        <w:tc>
          <w:tcPr>
            <w:tcW w:w="630"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2.2</w:t>
            </w:r>
          </w:p>
        </w:tc>
        <w:tc>
          <w:tcPr>
            <w:tcW w:w="631"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1.8</w:t>
            </w:r>
          </w:p>
        </w:tc>
        <w:tc>
          <w:tcPr>
            <w:tcW w:w="631"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1.5</w:t>
            </w:r>
          </w:p>
        </w:tc>
        <w:tc>
          <w:tcPr>
            <w:tcW w:w="631"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1.2</w:t>
            </w:r>
          </w:p>
        </w:tc>
        <w:tc>
          <w:tcPr>
            <w:tcW w:w="629" w:type="pct"/>
          </w:tcPr>
          <w:p>
            <w:pPr>
              <w:pStyle w:val="7"/>
              <w:spacing w:before="0" w:beforeAutospacing="0" w:after="0" w:afterAutospacing="0" w:line="360" w:lineRule="auto"/>
              <w:jc w:val="both"/>
              <w:rPr>
                <w:rFonts w:ascii="仿宋" w:hAnsi="仿宋" w:eastAsia="仿宋" w:cstheme="minorBidi"/>
                <w:kern w:val="2"/>
              </w:rPr>
            </w:pPr>
            <w:r>
              <w:rPr>
                <w:rFonts w:hint="eastAsia" w:ascii="仿宋" w:hAnsi="仿宋" w:eastAsia="仿宋" w:cstheme="minorBidi"/>
                <w:kern w:val="2"/>
              </w:rPr>
              <w:t>0.7</w:t>
            </w:r>
          </w:p>
        </w:tc>
      </w:tr>
    </w:tbl>
    <w:p>
      <w:pPr>
        <w:pStyle w:val="7"/>
        <w:spacing w:before="0" w:beforeAutospacing="0" w:after="0" w:afterAutospacing="0" w:line="360" w:lineRule="auto"/>
        <w:ind w:firstLine="645"/>
        <w:jc w:val="both"/>
        <w:rPr>
          <w:rFonts w:ascii="仿宋" w:hAnsi="仿宋" w:eastAsia="仿宋" w:cstheme="minorBidi"/>
          <w:kern w:val="2"/>
          <w:sz w:val="28"/>
          <w:szCs w:val="22"/>
        </w:rPr>
      </w:pPr>
    </w:p>
    <w:p>
      <w:pPr>
        <w:ind w:firstLine="562" w:firstLineChars="200"/>
        <w:rPr>
          <w:rFonts w:ascii="仿宋" w:hAnsi="仿宋" w:eastAsia="仿宋"/>
          <w:b/>
          <w:bCs/>
          <w:sz w:val="28"/>
        </w:rPr>
      </w:pPr>
      <w:r>
        <w:rPr>
          <w:rFonts w:hint="eastAsia" w:ascii="仿宋" w:hAnsi="仿宋" w:eastAsia="仿宋"/>
          <w:b/>
          <w:bCs/>
          <w:sz w:val="28"/>
        </w:rPr>
        <w:t>（四）调整奖励容积规则，进一步推动公共利益设施建设</w:t>
      </w:r>
    </w:p>
    <w:p>
      <w:pPr>
        <w:ind w:firstLine="562" w:firstLineChars="200"/>
        <w:rPr>
          <w:rFonts w:ascii="仿宋" w:hAnsi="仿宋" w:eastAsia="仿宋"/>
          <w:b/>
          <w:bCs/>
          <w:sz w:val="28"/>
        </w:rPr>
      </w:pPr>
      <w:r>
        <w:rPr>
          <w:rFonts w:hint="eastAsia" w:ascii="仿宋" w:hAnsi="仿宋" w:eastAsia="仿宋"/>
          <w:b/>
          <w:bCs/>
          <w:sz w:val="28"/>
        </w:rPr>
        <w:t>1、关于配建政策性用房奖励容积的核算</w:t>
      </w:r>
    </w:p>
    <w:p>
      <w:pPr>
        <w:ind w:firstLine="560" w:firstLineChars="200"/>
        <w:rPr>
          <w:rFonts w:ascii="仿宋" w:hAnsi="仿宋" w:eastAsia="仿宋"/>
          <w:bCs/>
          <w:sz w:val="28"/>
        </w:rPr>
      </w:pPr>
      <w:r>
        <w:rPr>
          <w:rFonts w:hint="eastAsia" w:ascii="仿宋" w:hAnsi="仿宋" w:eastAsia="仿宋"/>
          <w:sz w:val="28"/>
        </w:rPr>
        <w:t>《关于加强和改进城市更新实施工作的暂行措施》颁布以后，更新项目配建人才住房、保障性住房配建的比例提高，而</w:t>
      </w:r>
      <w:r>
        <w:rPr>
          <w:rFonts w:hint="eastAsia" w:ascii="仿宋" w:hAnsi="仿宋" w:eastAsia="仿宋"/>
          <w:bCs/>
          <w:sz w:val="28"/>
        </w:rPr>
        <w:t>奖励容积之和不得大于基础容积的30%，可能会出现了执行政策性用房规定而突破容积率审查规定的情况，本次修订规定当配建人才住房、保障性住房所核算的奖励容积超出基础容积20%时，超出的部分不受奖励容积之和不大于基础容积率的30%的限制，更新项目可根据实际情况按规定核算配建政策性用房的奖励容积。</w:t>
      </w:r>
    </w:p>
    <w:p>
      <w:pPr>
        <w:ind w:firstLine="562" w:firstLineChars="200"/>
        <w:rPr>
          <w:rFonts w:ascii="仿宋" w:hAnsi="仿宋" w:eastAsia="仿宋"/>
          <w:b/>
          <w:bCs/>
          <w:sz w:val="28"/>
        </w:rPr>
      </w:pPr>
      <w:r>
        <w:rPr>
          <w:rFonts w:hint="eastAsia" w:ascii="仿宋" w:hAnsi="仿宋" w:eastAsia="仿宋"/>
          <w:b/>
          <w:bCs/>
          <w:sz w:val="28"/>
        </w:rPr>
        <w:t>2、提高垃圾转运站、变电站、社康中心等设施的奖励</w:t>
      </w:r>
    </w:p>
    <w:p>
      <w:pPr>
        <w:pStyle w:val="13"/>
        <w:ind w:firstLine="560"/>
        <w:rPr>
          <w:rFonts w:ascii="仿宋" w:hAnsi="仿宋" w:eastAsia="仿宋"/>
          <w:sz w:val="28"/>
        </w:rPr>
      </w:pPr>
      <w:r>
        <w:rPr>
          <w:rFonts w:hint="eastAsia" w:ascii="仿宋" w:hAnsi="仿宋" w:eastAsia="仿宋"/>
          <w:sz w:val="28"/>
        </w:rPr>
        <w:t>通过综合考虑附建式公用设施的实施难度、对周边环境的影响以及急缺程度，本次修订调整了相应的奖励容积，重点推进垃圾转运站、变电站、社康、日照中心的建设，具体调整见下表：</w:t>
      </w:r>
    </w:p>
    <w:tbl>
      <w:tblPr>
        <w:tblStyle w:val="8"/>
        <w:tblW w:w="5024" w:type="pct"/>
        <w:tblInd w:w="0" w:type="dxa"/>
        <w:tblLayout w:type="autofit"/>
        <w:tblCellMar>
          <w:top w:w="0" w:type="dxa"/>
          <w:left w:w="0" w:type="dxa"/>
          <w:bottom w:w="0" w:type="dxa"/>
          <w:right w:w="0" w:type="dxa"/>
        </w:tblCellMar>
      </w:tblPr>
      <w:tblGrid>
        <w:gridCol w:w="3695"/>
        <w:gridCol w:w="2470"/>
        <w:gridCol w:w="2470"/>
      </w:tblGrid>
      <w:tr>
        <w:tblPrEx>
          <w:tblCellMar>
            <w:top w:w="0" w:type="dxa"/>
            <w:left w:w="0" w:type="dxa"/>
            <w:bottom w:w="0" w:type="dxa"/>
            <w:right w:w="0" w:type="dxa"/>
          </w:tblCellMar>
        </w:tblPrEx>
        <w:trPr>
          <w:trHeight w:val="38" w:hRule="atLeast"/>
        </w:trPr>
        <w:tc>
          <w:tcPr>
            <w:tcW w:w="2140" w:type="pct"/>
            <w:vMerge w:val="restar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类型</w:t>
            </w:r>
          </w:p>
        </w:tc>
        <w:tc>
          <w:tcPr>
            <w:tcW w:w="2860" w:type="pct"/>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奖励倍数</w:t>
            </w:r>
          </w:p>
        </w:tc>
      </w:tr>
      <w:tr>
        <w:tblPrEx>
          <w:tblCellMar>
            <w:top w:w="0" w:type="dxa"/>
            <w:left w:w="0" w:type="dxa"/>
            <w:bottom w:w="0" w:type="dxa"/>
            <w:right w:w="0" w:type="dxa"/>
          </w:tblCellMar>
        </w:tblPrEx>
        <w:trPr>
          <w:trHeight w:val="38" w:hRule="atLeast"/>
        </w:trPr>
        <w:tc>
          <w:tcPr>
            <w:tcW w:w="2140" w:type="pct"/>
            <w:vMerge w:val="continue"/>
            <w:tcBorders>
              <w:top w:val="single" w:color="000000" w:sz="8" w:space="0"/>
              <w:left w:val="single" w:color="000000" w:sz="8" w:space="0"/>
              <w:bottom w:val="single" w:color="000000" w:sz="8" w:space="0"/>
              <w:right w:val="single" w:color="000000" w:sz="8" w:space="0"/>
            </w:tcBorders>
            <w:vAlign w:val="center"/>
          </w:tcPr>
          <w:p>
            <w:pPr>
              <w:pStyle w:val="13"/>
              <w:ind w:firstLine="480"/>
              <w:jc w:val="center"/>
              <w:rPr>
                <w:rFonts w:ascii="仿宋" w:hAnsi="仿宋" w:eastAsia="仿宋"/>
                <w:sz w:val="24"/>
              </w:rPr>
            </w:pP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原规定</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修订后</w:t>
            </w:r>
          </w:p>
        </w:tc>
      </w:tr>
      <w:tr>
        <w:tblPrEx>
          <w:tblCellMar>
            <w:top w:w="0" w:type="dxa"/>
            <w:left w:w="0" w:type="dxa"/>
            <w:bottom w:w="0" w:type="dxa"/>
            <w:right w:w="0" w:type="dxa"/>
          </w:tblCellMar>
        </w:tblPrEx>
        <w:trPr>
          <w:trHeight w:val="38" w:hRule="atLeast"/>
        </w:trPr>
        <w:tc>
          <w:tcPr>
            <w:tcW w:w="214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垃圾转运站</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2</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3</w:t>
            </w:r>
          </w:p>
        </w:tc>
      </w:tr>
      <w:tr>
        <w:tblPrEx>
          <w:tblCellMar>
            <w:top w:w="0" w:type="dxa"/>
            <w:left w:w="0" w:type="dxa"/>
            <w:bottom w:w="0" w:type="dxa"/>
            <w:right w:w="0" w:type="dxa"/>
          </w:tblCellMar>
        </w:tblPrEx>
        <w:trPr>
          <w:trHeight w:val="38" w:hRule="atLeast"/>
        </w:trPr>
        <w:tc>
          <w:tcPr>
            <w:tcW w:w="214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变电站</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2</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3</w:t>
            </w:r>
          </w:p>
        </w:tc>
      </w:tr>
      <w:tr>
        <w:tblPrEx>
          <w:tblCellMar>
            <w:top w:w="0" w:type="dxa"/>
            <w:left w:w="0" w:type="dxa"/>
            <w:bottom w:w="0" w:type="dxa"/>
            <w:right w:w="0" w:type="dxa"/>
          </w:tblCellMar>
        </w:tblPrEx>
        <w:trPr>
          <w:trHeight w:val="38" w:hRule="atLeast"/>
        </w:trPr>
        <w:tc>
          <w:tcPr>
            <w:tcW w:w="214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社康中心</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1</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2</w:t>
            </w:r>
          </w:p>
        </w:tc>
      </w:tr>
      <w:tr>
        <w:tblPrEx>
          <w:tblCellMar>
            <w:top w:w="0" w:type="dxa"/>
            <w:left w:w="0" w:type="dxa"/>
            <w:bottom w:w="0" w:type="dxa"/>
            <w:right w:w="0" w:type="dxa"/>
          </w:tblCellMar>
        </w:tblPrEx>
        <w:trPr>
          <w:trHeight w:val="38" w:hRule="atLeast"/>
        </w:trPr>
        <w:tc>
          <w:tcPr>
            <w:tcW w:w="214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日照中心</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1</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2</w:t>
            </w:r>
          </w:p>
        </w:tc>
      </w:tr>
      <w:tr>
        <w:tblPrEx>
          <w:tblCellMar>
            <w:top w:w="0" w:type="dxa"/>
            <w:left w:w="0" w:type="dxa"/>
            <w:bottom w:w="0" w:type="dxa"/>
            <w:right w:w="0" w:type="dxa"/>
          </w:tblCellMar>
        </w:tblPrEx>
        <w:trPr>
          <w:trHeight w:val="38" w:hRule="atLeast"/>
        </w:trPr>
        <w:tc>
          <w:tcPr>
            <w:tcW w:w="214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公交场站</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2</w:t>
            </w:r>
          </w:p>
        </w:tc>
        <w:tc>
          <w:tcPr>
            <w:tcW w:w="1430" w:type="pct"/>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jc w:val="center"/>
              <w:rPr>
                <w:rFonts w:ascii="仿宋" w:hAnsi="仿宋" w:eastAsia="仿宋"/>
                <w:sz w:val="24"/>
              </w:rPr>
            </w:pPr>
            <w:r>
              <w:rPr>
                <w:rFonts w:ascii="仿宋" w:hAnsi="仿宋" w:eastAsia="仿宋"/>
                <w:sz w:val="24"/>
              </w:rPr>
              <w:t>1</w:t>
            </w:r>
          </w:p>
        </w:tc>
      </w:tr>
    </w:tbl>
    <w:p>
      <w:pPr>
        <w:pStyle w:val="13"/>
        <w:spacing w:before="156" w:beforeLines="50"/>
        <w:ind w:firstLine="562"/>
        <w:rPr>
          <w:rFonts w:ascii="仿宋" w:hAnsi="仿宋" w:eastAsia="仿宋"/>
          <w:b/>
          <w:sz w:val="28"/>
        </w:rPr>
      </w:pPr>
      <w:r>
        <w:rPr>
          <w:rFonts w:hint="eastAsia" w:ascii="仿宋" w:hAnsi="仿宋" w:eastAsia="仿宋"/>
          <w:b/>
          <w:sz w:val="28"/>
        </w:rPr>
        <w:t>3、切实促进慢行系统建设，提升公共空间品质</w:t>
      </w:r>
    </w:p>
    <w:p>
      <w:pPr>
        <w:ind w:firstLine="560" w:firstLineChars="200"/>
        <w:rPr>
          <w:rFonts w:ascii="仿宋" w:hAnsi="仿宋" w:eastAsia="仿宋"/>
          <w:sz w:val="28"/>
        </w:rPr>
      </w:pPr>
      <w:r>
        <w:rPr>
          <w:rFonts w:hint="eastAsia" w:ascii="仿宋" w:hAnsi="仿宋" w:eastAsia="仿宋"/>
          <w:sz w:val="28"/>
        </w:rPr>
        <w:t>本次修订进一步明确了地面通道、地下通道、空中连廊的奖励容积适用情形，应同时满足以下条件方可获得奖励容积：1）依据已批法定规划或城市设计的要求核准设置；2）连接公交场站、轨道站点或重要公共空间；3）24小时无条件对公众开放；4）实施主体承担建设责任及费用。</w:t>
      </w:r>
    </w:p>
    <w:p>
      <w:pPr>
        <w:ind w:firstLine="562" w:firstLineChars="200"/>
        <w:rPr>
          <w:rFonts w:ascii="仿宋" w:hAnsi="仿宋" w:eastAsia="仿宋"/>
          <w:b/>
          <w:sz w:val="28"/>
        </w:rPr>
      </w:pPr>
      <w:r>
        <w:rPr>
          <w:rFonts w:hint="eastAsia" w:ascii="仿宋" w:hAnsi="仿宋" w:eastAsia="仿宋"/>
          <w:b/>
          <w:sz w:val="28"/>
        </w:rPr>
        <w:t>（五）引导增加住房供应，促进全市职住平衡</w:t>
      </w:r>
    </w:p>
    <w:p>
      <w:pPr>
        <w:pStyle w:val="7"/>
        <w:spacing w:before="0" w:beforeAutospacing="0" w:after="0" w:afterAutospacing="0"/>
        <w:ind w:firstLine="560" w:firstLineChars="200"/>
        <w:jc w:val="both"/>
        <w:rPr>
          <w:rFonts w:ascii="仿宋" w:hAnsi="仿宋" w:eastAsia="仿宋"/>
          <w:sz w:val="28"/>
        </w:rPr>
      </w:pPr>
      <w:r>
        <w:rPr>
          <w:rFonts w:hint="eastAsia" w:ascii="仿宋" w:hAnsi="仿宋" w:eastAsia="仿宋" w:cstheme="minorBidi"/>
          <w:kern w:val="2"/>
          <w:sz w:val="28"/>
          <w:szCs w:val="22"/>
        </w:rPr>
        <w:t>根据总体规划修编、全市各类用地用房功能结构、职住平衡方面的研究，我市住房特别是成套住宅供应明显不足，城市更新应在增加住房供应方面发挥更大作用，本次修订提出，</w:t>
      </w:r>
      <w:r>
        <w:rPr>
          <w:rFonts w:hint="eastAsia" w:ascii="仿宋" w:hAnsi="仿宋" w:eastAsia="仿宋"/>
          <w:sz w:val="28"/>
        </w:rPr>
        <w:t>转移容积、奖励容积应优先安排居住功能，当居住功能达到上限再安排其他功能。</w:t>
      </w:r>
    </w:p>
    <w:p>
      <w:pPr>
        <w:ind w:firstLine="562" w:firstLineChars="200"/>
        <w:rPr>
          <w:rFonts w:ascii="仿宋" w:hAnsi="仿宋" w:eastAsia="仿宋"/>
          <w:b/>
          <w:bCs/>
          <w:sz w:val="28"/>
        </w:rPr>
      </w:pPr>
      <w:r>
        <w:rPr>
          <w:rFonts w:hint="eastAsia" w:ascii="仿宋" w:hAnsi="仿宋" w:eastAsia="仿宋"/>
          <w:b/>
          <w:bCs/>
          <w:sz w:val="28"/>
        </w:rPr>
        <w:t>（六）完善市政府另有规定情形、密度分区未覆盖地区、城中村及旧屋村测算规则</w:t>
      </w:r>
    </w:p>
    <w:p>
      <w:pPr>
        <w:ind w:firstLine="560" w:firstLineChars="200"/>
        <w:rPr>
          <w:rFonts w:ascii="仿宋" w:hAnsi="仿宋" w:eastAsia="仿宋"/>
          <w:sz w:val="28"/>
        </w:rPr>
      </w:pPr>
      <w:r>
        <w:rPr>
          <w:rFonts w:hint="eastAsia" w:ascii="仿宋" w:hAnsi="仿宋" w:eastAsia="仿宋"/>
          <w:sz w:val="28"/>
        </w:rPr>
        <w:t>容积率管理不仅是技术问题，还会受到城市公共政策、城市风貌特色塑造、城市公共安全、民生需求等因素影响。对于因城市规划调整出现的密度分区未覆盖地区及密度分区内涉及特色风貌、生态敏感、核电防护、地质安全等因素的特定地区，本次《审查规定》明确了相应确定规则；此外，在满足设施服务承载能力、生态保护、特定城市设计等相关控制要求并经专题研究的情况下，市政府另有规定情形的可在《审查规定》的基础上通过专题研究后适当提高，按程序批准确定；对于2015年8月27日之前已批准列入更新计划的城中村、旧村可按照拆建比进行规划容积率校核，推动其实施。</w:t>
      </w:r>
    </w:p>
    <w:p>
      <w:pPr>
        <w:ind w:firstLine="562" w:firstLineChars="200"/>
        <w:rPr>
          <w:rFonts w:ascii="仿宋" w:hAnsi="仿宋" w:eastAsia="仿宋"/>
          <w:b/>
          <w:bCs/>
          <w:sz w:val="28"/>
        </w:rPr>
      </w:pPr>
      <w:r>
        <w:rPr>
          <w:rFonts w:hint="eastAsia" w:ascii="仿宋" w:hAnsi="仿宋" w:eastAsia="仿宋"/>
          <w:b/>
          <w:bCs/>
          <w:sz w:val="28"/>
        </w:rPr>
        <w:t>（七）规范规划容积调整</w:t>
      </w:r>
    </w:p>
    <w:p>
      <w:pPr>
        <w:ind w:firstLine="560" w:firstLineChars="200"/>
        <w:rPr>
          <w:rFonts w:ascii="仿宋" w:hAnsi="仿宋" w:eastAsia="仿宋"/>
          <w:sz w:val="28"/>
        </w:rPr>
      </w:pPr>
      <w:r>
        <w:rPr>
          <w:rFonts w:hint="eastAsia" w:ascii="仿宋" w:hAnsi="仿宋" w:eastAsia="仿宋"/>
          <w:sz w:val="28"/>
        </w:rPr>
        <w:t>为规范规划容积调整，落实严格管控容积率的有关要求，本次《审查规定》明确了城市更新项目规划容积调整适用的条件及审批程序。</w:t>
      </w:r>
    </w:p>
    <w:p>
      <w:pPr>
        <w:ind w:firstLine="560" w:firstLineChars="200"/>
        <w:rPr>
          <w:rFonts w:ascii="仿宋" w:hAnsi="仿宋" w:eastAsia="仿宋"/>
          <w:sz w:val="28"/>
        </w:rPr>
      </w:pPr>
      <w:r>
        <w:rPr>
          <w:rFonts w:hint="eastAsia" w:ascii="仿宋" w:hAnsi="仿宋" w:eastAsia="仿宋"/>
          <w:sz w:val="28"/>
        </w:rPr>
        <w:t>1、不予以调整的情形：城市更新单元规划批准两年以内，或已签订土地使用权出让合同的城市更新项目。</w:t>
      </w:r>
    </w:p>
    <w:p>
      <w:pPr>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予以有条件申请容积调整的情形：增配公共设施（含非营利性的民办学校）、交通设施、市政设施导致更新单元开发条件发生变化，且不增加经营性建筑面积的；依据现行规定增加人才住房、保障性住房、人才公寓、创新型产业用房且不增加经营性面积的；因产业转型升级需要，市政府明确支持项目提高容积率的；因法定图则发生片区功能等重大变化导致更新单元开发条件变化的。</w:t>
      </w:r>
    </w:p>
    <w:p>
      <w:pPr>
        <w:ind w:firstLine="560" w:firstLineChars="200"/>
        <w:rPr>
          <w:rFonts w:ascii="仿宋" w:hAnsi="仿宋" w:eastAsia="仿宋"/>
          <w:sz w:val="28"/>
        </w:rPr>
      </w:pPr>
      <w:r>
        <w:rPr>
          <w:rFonts w:hint="eastAsia" w:ascii="仿宋" w:hAnsi="仿宋" w:eastAsia="仿宋"/>
          <w:sz w:val="28"/>
        </w:rPr>
        <w:t>规划容积调整涉及增加经营性建筑面积的规划容积调整，相应增加的建筑面积地价按评估地价标准计收。</w:t>
      </w:r>
    </w:p>
    <w:p>
      <w:pPr>
        <w:pStyle w:val="2"/>
        <w:numPr>
          <w:ilvl w:val="0"/>
          <w:numId w:val="1"/>
        </w:numPr>
      </w:pPr>
      <w:r>
        <w:rPr>
          <w:rFonts w:hint="eastAsia"/>
        </w:rPr>
        <w:t>预期效果</w:t>
      </w:r>
    </w:p>
    <w:p>
      <w:pPr>
        <w:ind w:firstLine="560" w:firstLineChars="200"/>
        <w:rPr>
          <w:rFonts w:ascii="仿宋" w:hAnsi="仿宋" w:eastAsia="仿宋"/>
          <w:sz w:val="28"/>
        </w:rPr>
      </w:pPr>
      <w:r>
        <w:rPr>
          <w:rFonts w:hint="eastAsia" w:ascii="仿宋" w:hAnsi="仿宋" w:eastAsia="仿宋"/>
          <w:sz w:val="28"/>
        </w:rPr>
        <w:t>本《审查规定》颁布后，预期将在以下几方面取得较为明显的效果：一是促进公共利益项目的落地，通过增加转移容积、提高奖励幅度，提高市场落实公共利益项目的积极性，大幅增加医疗、教育、文化设施等公共利益用地的供给；二是通过城市更新进一步增加住房供应，促进全市职住平衡；三是推动历史建筑与历史风貌区保护，延续城市文脉，彰显城市特色。</w:t>
      </w:r>
    </w:p>
    <w:p>
      <w:pPr>
        <w:pStyle w:val="2"/>
        <w:numPr>
          <w:ilvl w:val="0"/>
          <w:numId w:val="1"/>
        </w:numPr>
      </w:pPr>
      <w:r>
        <w:rPr>
          <w:rFonts w:hint="eastAsia"/>
        </w:rPr>
        <w:t>主要创新点</w:t>
      </w:r>
    </w:p>
    <w:p>
      <w:pPr>
        <w:pStyle w:val="13"/>
        <w:ind w:firstLine="562"/>
        <w:rPr>
          <w:rFonts w:ascii="仿宋" w:hAnsi="仿宋" w:eastAsia="仿宋"/>
          <w:b/>
          <w:sz w:val="28"/>
        </w:rPr>
      </w:pPr>
      <w:r>
        <w:rPr>
          <w:rFonts w:hint="eastAsia" w:ascii="仿宋" w:hAnsi="仿宋" w:eastAsia="仿宋"/>
          <w:b/>
          <w:sz w:val="28"/>
        </w:rPr>
        <w:t>（一）以实现公共利益为目的，扩大政策奖励</w:t>
      </w:r>
    </w:p>
    <w:p>
      <w:pPr>
        <w:pStyle w:val="13"/>
        <w:ind w:firstLine="560"/>
        <w:rPr>
          <w:rFonts w:ascii="仿宋" w:hAnsi="仿宋" w:eastAsia="仿宋"/>
          <w:sz w:val="28"/>
        </w:rPr>
      </w:pPr>
      <w:r>
        <w:rPr>
          <w:rFonts w:hint="eastAsia" w:ascii="仿宋" w:hAnsi="仿宋" w:eastAsia="仿宋"/>
          <w:sz w:val="28"/>
        </w:rPr>
        <w:t>对标国际先锋城市，为推动教育设施、医疗设施落地，强化历史建筑与历史风貌区保护，促进我市文化设施建设，对落实该类设施用地或对历史风貌区实施保护的城市更新项目，提高建筑面积转移系数，以及允许“外部转移容积”。</w:t>
      </w:r>
    </w:p>
    <w:p>
      <w:pPr>
        <w:pStyle w:val="13"/>
        <w:ind w:firstLine="562"/>
        <w:rPr>
          <w:rFonts w:ascii="仿宋" w:hAnsi="仿宋" w:eastAsia="仿宋"/>
          <w:b/>
          <w:sz w:val="28"/>
        </w:rPr>
      </w:pPr>
      <w:r>
        <w:rPr>
          <w:rFonts w:hint="eastAsia" w:ascii="仿宋" w:hAnsi="仿宋" w:eastAsia="仿宋"/>
          <w:b/>
          <w:sz w:val="28"/>
        </w:rPr>
        <w:t>（二）以引导增加住房供应为目的，优化测算规则</w:t>
      </w:r>
      <w:r>
        <w:rPr>
          <w:rFonts w:ascii="仿宋" w:hAnsi="仿宋" w:eastAsia="仿宋"/>
          <w:b/>
          <w:sz w:val="28"/>
        </w:rPr>
        <w:t xml:space="preserve"> </w:t>
      </w:r>
    </w:p>
    <w:p>
      <w:pPr>
        <w:pStyle w:val="13"/>
        <w:ind w:firstLine="560"/>
        <w:rPr>
          <w:rFonts w:ascii="仿宋" w:hAnsi="仿宋" w:eastAsia="仿宋"/>
          <w:b/>
          <w:sz w:val="28"/>
        </w:rPr>
      </w:pPr>
      <w:r>
        <w:rPr>
          <w:rFonts w:hint="eastAsia" w:ascii="仿宋" w:hAnsi="仿宋" w:eastAsia="仿宋"/>
          <w:sz w:val="28"/>
        </w:rPr>
        <w:t>明晰混合用地各类功能测算比例，明确转移容积和奖励容积优先安排居住功能，从而引导增加住房供应，促进全市职住平衡，优化城市功能结构。</w:t>
      </w:r>
    </w:p>
    <w:p>
      <w:pPr>
        <w:pStyle w:val="13"/>
        <w:ind w:firstLine="562"/>
        <w:rPr>
          <w:rFonts w:ascii="仿宋" w:hAnsi="仿宋" w:eastAsia="仿宋"/>
          <w:b/>
          <w:sz w:val="28"/>
        </w:rPr>
      </w:pPr>
      <w:r>
        <w:rPr>
          <w:rFonts w:hint="eastAsia" w:ascii="仿宋" w:hAnsi="仿宋" w:eastAsia="仿宋"/>
          <w:b/>
          <w:sz w:val="28"/>
        </w:rPr>
        <w:t>（三）以规范更新单元容积率管理为目的，细化条文规定</w:t>
      </w:r>
    </w:p>
    <w:p>
      <w:pPr>
        <w:pStyle w:val="13"/>
        <w:ind w:firstLine="560"/>
        <w:rPr>
          <w:rFonts w:ascii="仿宋" w:hAnsi="仿宋" w:eastAsia="仿宋"/>
          <w:sz w:val="28"/>
        </w:rPr>
      </w:pPr>
      <w:r>
        <w:rPr>
          <w:rFonts w:hint="eastAsia" w:ascii="仿宋" w:hAnsi="仿宋" w:eastAsia="仿宋"/>
          <w:sz w:val="28"/>
        </w:rPr>
        <w:t>通过对接深标、明确容积概念，细化奖励情形，完善旧村、密度分区未覆盖地区的测算规则，明确城市更新项目规划容积调整适用的条件及审批程序等，实现管理规则的全覆盖。</w:t>
      </w:r>
    </w:p>
    <w:p>
      <w:pPr>
        <w:ind w:firstLine="560" w:firstLineChars="200"/>
        <w:rPr>
          <w:rFonts w:ascii="仿宋" w:hAnsi="仿宋" w:eastAsia="仿宋"/>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303401"/>
      <w:docPartObj>
        <w:docPartGallery w:val="AutoText"/>
      </w:docPartObj>
    </w:sdtPr>
    <w:sdtContent>
      <w:p>
        <w:pPr>
          <w:pStyle w:val="5"/>
          <w:jc w:val="center"/>
        </w:pPr>
        <w:r>
          <w:fldChar w:fldCharType="begin"/>
        </w:r>
        <w:r>
          <w:instrText xml:space="preserve">PAGE   \* MERGEFORMAT</w:instrText>
        </w:r>
        <w:r>
          <w:fldChar w:fldCharType="separate"/>
        </w:r>
        <w:r>
          <w:rPr>
            <w:lang w:val="zh-CN"/>
          </w:rPr>
          <w:t>10</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A2F92"/>
    <w:multiLevelType w:val="multilevel"/>
    <w:tmpl w:val="581A2F92"/>
    <w:lvl w:ilvl="0" w:tentative="0">
      <w:start w:val="3"/>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2003F4"/>
    <w:rsid w:val="00004402"/>
    <w:rsid w:val="00005701"/>
    <w:rsid w:val="00014D25"/>
    <w:rsid w:val="0002047B"/>
    <w:rsid w:val="00037B1C"/>
    <w:rsid w:val="0004170F"/>
    <w:rsid w:val="00043975"/>
    <w:rsid w:val="00046511"/>
    <w:rsid w:val="00051169"/>
    <w:rsid w:val="00052512"/>
    <w:rsid w:val="000669D1"/>
    <w:rsid w:val="00070A98"/>
    <w:rsid w:val="0007147B"/>
    <w:rsid w:val="00074DCE"/>
    <w:rsid w:val="000775F0"/>
    <w:rsid w:val="000827E2"/>
    <w:rsid w:val="000869B4"/>
    <w:rsid w:val="000927D3"/>
    <w:rsid w:val="000934D4"/>
    <w:rsid w:val="000A08CF"/>
    <w:rsid w:val="000A263E"/>
    <w:rsid w:val="000A66CD"/>
    <w:rsid w:val="000A69AA"/>
    <w:rsid w:val="000B5774"/>
    <w:rsid w:val="000C25CE"/>
    <w:rsid w:val="000C400C"/>
    <w:rsid w:val="000D2F02"/>
    <w:rsid w:val="000D49B0"/>
    <w:rsid w:val="000D6F24"/>
    <w:rsid w:val="000E0483"/>
    <w:rsid w:val="00100D51"/>
    <w:rsid w:val="00106D94"/>
    <w:rsid w:val="001205C3"/>
    <w:rsid w:val="00120846"/>
    <w:rsid w:val="00121143"/>
    <w:rsid w:val="001215D3"/>
    <w:rsid w:val="0013414C"/>
    <w:rsid w:val="00140D7C"/>
    <w:rsid w:val="00142BB8"/>
    <w:rsid w:val="00146146"/>
    <w:rsid w:val="001508F1"/>
    <w:rsid w:val="00154CDB"/>
    <w:rsid w:val="00154D74"/>
    <w:rsid w:val="00160EF3"/>
    <w:rsid w:val="0016160A"/>
    <w:rsid w:val="00162181"/>
    <w:rsid w:val="00173337"/>
    <w:rsid w:val="00185EBF"/>
    <w:rsid w:val="0018755F"/>
    <w:rsid w:val="00187E01"/>
    <w:rsid w:val="001900CE"/>
    <w:rsid w:val="001906BF"/>
    <w:rsid w:val="0019175D"/>
    <w:rsid w:val="00195EF7"/>
    <w:rsid w:val="001A4455"/>
    <w:rsid w:val="001B0521"/>
    <w:rsid w:val="001B1B4A"/>
    <w:rsid w:val="001B4CB2"/>
    <w:rsid w:val="001B5169"/>
    <w:rsid w:val="001B585D"/>
    <w:rsid w:val="001B7809"/>
    <w:rsid w:val="001C6013"/>
    <w:rsid w:val="001E0CC2"/>
    <w:rsid w:val="001E40C9"/>
    <w:rsid w:val="001E5810"/>
    <w:rsid w:val="001E7BC4"/>
    <w:rsid w:val="001F0B78"/>
    <w:rsid w:val="001F2D99"/>
    <w:rsid w:val="001F5473"/>
    <w:rsid w:val="001F7430"/>
    <w:rsid w:val="002003F4"/>
    <w:rsid w:val="00200726"/>
    <w:rsid w:val="0020571D"/>
    <w:rsid w:val="00212351"/>
    <w:rsid w:val="00213155"/>
    <w:rsid w:val="0022048B"/>
    <w:rsid w:val="00222E3B"/>
    <w:rsid w:val="00223FA7"/>
    <w:rsid w:val="00230B6A"/>
    <w:rsid w:val="002335FD"/>
    <w:rsid w:val="0023412E"/>
    <w:rsid w:val="00234F70"/>
    <w:rsid w:val="002423FB"/>
    <w:rsid w:val="0025138F"/>
    <w:rsid w:val="00257DA9"/>
    <w:rsid w:val="00262471"/>
    <w:rsid w:val="00264195"/>
    <w:rsid w:val="00265A0E"/>
    <w:rsid w:val="002717BB"/>
    <w:rsid w:val="0027184F"/>
    <w:rsid w:val="00281184"/>
    <w:rsid w:val="002852F2"/>
    <w:rsid w:val="00285DEE"/>
    <w:rsid w:val="00294233"/>
    <w:rsid w:val="00295D80"/>
    <w:rsid w:val="00296328"/>
    <w:rsid w:val="002A026F"/>
    <w:rsid w:val="002A0ADA"/>
    <w:rsid w:val="002A4EDE"/>
    <w:rsid w:val="002B2B76"/>
    <w:rsid w:val="002B3ACC"/>
    <w:rsid w:val="002C4F6C"/>
    <w:rsid w:val="002D22F3"/>
    <w:rsid w:val="002D2C78"/>
    <w:rsid w:val="002D3528"/>
    <w:rsid w:val="002D41DF"/>
    <w:rsid w:val="002D45A2"/>
    <w:rsid w:val="002D4B38"/>
    <w:rsid w:val="002E0116"/>
    <w:rsid w:val="002E2044"/>
    <w:rsid w:val="002E3A05"/>
    <w:rsid w:val="002E445B"/>
    <w:rsid w:val="003113F1"/>
    <w:rsid w:val="00313BD4"/>
    <w:rsid w:val="00315B0D"/>
    <w:rsid w:val="00317242"/>
    <w:rsid w:val="00322F1D"/>
    <w:rsid w:val="0032331B"/>
    <w:rsid w:val="003263B0"/>
    <w:rsid w:val="00326F76"/>
    <w:rsid w:val="00333D78"/>
    <w:rsid w:val="003478C0"/>
    <w:rsid w:val="00353061"/>
    <w:rsid w:val="0035338C"/>
    <w:rsid w:val="003672F1"/>
    <w:rsid w:val="00372C40"/>
    <w:rsid w:val="003748E5"/>
    <w:rsid w:val="00377E32"/>
    <w:rsid w:val="003815F0"/>
    <w:rsid w:val="003960A9"/>
    <w:rsid w:val="003A202C"/>
    <w:rsid w:val="003B2127"/>
    <w:rsid w:val="003B34B2"/>
    <w:rsid w:val="003B6122"/>
    <w:rsid w:val="003B7D85"/>
    <w:rsid w:val="003C6CC7"/>
    <w:rsid w:val="003D1BAB"/>
    <w:rsid w:val="003D7204"/>
    <w:rsid w:val="003E27CC"/>
    <w:rsid w:val="003E34E1"/>
    <w:rsid w:val="003E5FD7"/>
    <w:rsid w:val="003E7F9A"/>
    <w:rsid w:val="00407EFC"/>
    <w:rsid w:val="00414E51"/>
    <w:rsid w:val="00420F41"/>
    <w:rsid w:val="004222CE"/>
    <w:rsid w:val="00425456"/>
    <w:rsid w:val="00425579"/>
    <w:rsid w:val="00433CD1"/>
    <w:rsid w:val="00436114"/>
    <w:rsid w:val="004363FB"/>
    <w:rsid w:val="00436C91"/>
    <w:rsid w:val="00445698"/>
    <w:rsid w:val="0044593E"/>
    <w:rsid w:val="00445BCC"/>
    <w:rsid w:val="00445C55"/>
    <w:rsid w:val="00460A40"/>
    <w:rsid w:val="00463CD1"/>
    <w:rsid w:val="0046536B"/>
    <w:rsid w:val="0047075E"/>
    <w:rsid w:val="00473AA7"/>
    <w:rsid w:val="00473F88"/>
    <w:rsid w:val="00474FFA"/>
    <w:rsid w:val="00481668"/>
    <w:rsid w:val="0048535D"/>
    <w:rsid w:val="00491CFB"/>
    <w:rsid w:val="00491E69"/>
    <w:rsid w:val="00497753"/>
    <w:rsid w:val="004B5118"/>
    <w:rsid w:val="004C38DF"/>
    <w:rsid w:val="004C53B9"/>
    <w:rsid w:val="004C6C0B"/>
    <w:rsid w:val="004D462D"/>
    <w:rsid w:val="004D6C3E"/>
    <w:rsid w:val="004E118D"/>
    <w:rsid w:val="004F0393"/>
    <w:rsid w:val="004F2E63"/>
    <w:rsid w:val="00500487"/>
    <w:rsid w:val="00500BD2"/>
    <w:rsid w:val="00502272"/>
    <w:rsid w:val="0050551C"/>
    <w:rsid w:val="00507CC7"/>
    <w:rsid w:val="00510D43"/>
    <w:rsid w:val="00512663"/>
    <w:rsid w:val="00517890"/>
    <w:rsid w:val="00521EC2"/>
    <w:rsid w:val="00550AB3"/>
    <w:rsid w:val="00554067"/>
    <w:rsid w:val="00555A28"/>
    <w:rsid w:val="0055654C"/>
    <w:rsid w:val="00562469"/>
    <w:rsid w:val="005758B0"/>
    <w:rsid w:val="00576C8F"/>
    <w:rsid w:val="00585BAE"/>
    <w:rsid w:val="00586A11"/>
    <w:rsid w:val="00593554"/>
    <w:rsid w:val="00596CBB"/>
    <w:rsid w:val="005A0F50"/>
    <w:rsid w:val="005A1FD0"/>
    <w:rsid w:val="005A7C8D"/>
    <w:rsid w:val="005B29EE"/>
    <w:rsid w:val="005C423E"/>
    <w:rsid w:val="005C6FCA"/>
    <w:rsid w:val="005C79BA"/>
    <w:rsid w:val="005E0694"/>
    <w:rsid w:val="005E77F6"/>
    <w:rsid w:val="005F3BCA"/>
    <w:rsid w:val="005F4E16"/>
    <w:rsid w:val="005F723C"/>
    <w:rsid w:val="00610C92"/>
    <w:rsid w:val="006173D9"/>
    <w:rsid w:val="006212F0"/>
    <w:rsid w:val="00621578"/>
    <w:rsid w:val="0062510F"/>
    <w:rsid w:val="00640A65"/>
    <w:rsid w:val="00641B62"/>
    <w:rsid w:val="00644AFC"/>
    <w:rsid w:val="00653E19"/>
    <w:rsid w:val="00657FC1"/>
    <w:rsid w:val="006610A9"/>
    <w:rsid w:val="00671FB4"/>
    <w:rsid w:val="00673687"/>
    <w:rsid w:val="00681B3C"/>
    <w:rsid w:val="00685694"/>
    <w:rsid w:val="006A0B4F"/>
    <w:rsid w:val="006A2513"/>
    <w:rsid w:val="006A2AFC"/>
    <w:rsid w:val="006B1225"/>
    <w:rsid w:val="006B686C"/>
    <w:rsid w:val="006C7611"/>
    <w:rsid w:val="006D1F37"/>
    <w:rsid w:val="006D292D"/>
    <w:rsid w:val="006D63C5"/>
    <w:rsid w:val="006E5E32"/>
    <w:rsid w:val="006E5E69"/>
    <w:rsid w:val="006E743D"/>
    <w:rsid w:val="006F1A37"/>
    <w:rsid w:val="006F1CDA"/>
    <w:rsid w:val="006F4F5B"/>
    <w:rsid w:val="006F66DF"/>
    <w:rsid w:val="00700292"/>
    <w:rsid w:val="00707238"/>
    <w:rsid w:val="0071275E"/>
    <w:rsid w:val="0071289B"/>
    <w:rsid w:val="00727AD9"/>
    <w:rsid w:val="0073150E"/>
    <w:rsid w:val="007516A0"/>
    <w:rsid w:val="007619A9"/>
    <w:rsid w:val="0076330A"/>
    <w:rsid w:val="007711CD"/>
    <w:rsid w:val="00772C35"/>
    <w:rsid w:val="00777737"/>
    <w:rsid w:val="00786D14"/>
    <w:rsid w:val="007900A4"/>
    <w:rsid w:val="00790325"/>
    <w:rsid w:val="007907D2"/>
    <w:rsid w:val="00790F9A"/>
    <w:rsid w:val="00793435"/>
    <w:rsid w:val="00797B32"/>
    <w:rsid w:val="007A2954"/>
    <w:rsid w:val="007A3406"/>
    <w:rsid w:val="007A4679"/>
    <w:rsid w:val="007B0DBE"/>
    <w:rsid w:val="007B4283"/>
    <w:rsid w:val="007C7954"/>
    <w:rsid w:val="007D35C7"/>
    <w:rsid w:val="007E3EFC"/>
    <w:rsid w:val="007E4B13"/>
    <w:rsid w:val="007F3665"/>
    <w:rsid w:val="007F4C0F"/>
    <w:rsid w:val="00805A11"/>
    <w:rsid w:val="0080603A"/>
    <w:rsid w:val="00810E79"/>
    <w:rsid w:val="00814137"/>
    <w:rsid w:val="008370F3"/>
    <w:rsid w:val="00842092"/>
    <w:rsid w:val="008447E8"/>
    <w:rsid w:val="008448D3"/>
    <w:rsid w:val="00853516"/>
    <w:rsid w:val="008549C0"/>
    <w:rsid w:val="008579D8"/>
    <w:rsid w:val="008618EE"/>
    <w:rsid w:val="00863089"/>
    <w:rsid w:val="008709E3"/>
    <w:rsid w:val="00873434"/>
    <w:rsid w:val="00877E01"/>
    <w:rsid w:val="0088720A"/>
    <w:rsid w:val="008921C1"/>
    <w:rsid w:val="00892FAD"/>
    <w:rsid w:val="008A5DD9"/>
    <w:rsid w:val="008B4158"/>
    <w:rsid w:val="008B5779"/>
    <w:rsid w:val="008C0949"/>
    <w:rsid w:val="008D0BAE"/>
    <w:rsid w:val="008D2673"/>
    <w:rsid w:val="008F30AF"/>
    <w:rsid w:val="008F3488"/>
    <w:rsid w:val="008F5E40"/>
    <w:rsid w:val="008F7A54"/>
    <w:rsid w:val="00907B47"/>
    <w:rsid w:val="00921748"/>
    <w:rsid w:val="009316C6"/>
    <w:rsid w:val="00935207"/>
    <w:rsid w:val="00935A96"/>
    <w:rsid w:val="00954A08"/>
    <w:rsid w:val="0095760C"/>
    <w:rsid w:val="0095769C"/>
    <w:rsid w:val="00960E9C"/>
    <w:rsid w:val="00962CEE"/>
    <w:rsid w:val="00962F30"/>
    <w:rsid w:val="0096345E"/>
    <w:rsid w:val="00967AF9"/>
    <w:rsid w:val="009721D1"/>
    <w:rsid w:val="0097748A"/>
    <w:rsid w:val="00986C55"/>
    <w:rsid w:val="00993DCB"/>
    <w:rsid w:val="009A45A7"/>
    <w:rsid w:val="009A62F6"/>
    <w:rsid w:val="009A6A19"/>
    <w:rsid w:val="009B3A0E"/>
    <w:rsid w:val="009C1F10"/>
    <w:rsid w:val="009C5175"/>
    <w:rsid w:val="009C5738"/>
    <w:rsid w:val="009D7558"/>
    <w:rsid w:val="009E113E"/>
    <w:rsid w:val="009E1468"/>
    <w:rsid w:val="009E36E8"/>
    <w:rsid w:val="009E4197"/>
    <w:rsid w:val="009F0DFB"/>
    <w:rsid w:val="009F5730"/>
    <w:rsid w:val="00A00E0D"/>
    <w:rsid w:val="00A03D0F"/>
    <w:rsid w:val="00A07720"/>
    <w:rsid w:val="00A16174"/>
    <w:rsid w:val="00A255D5"/>
    <w:rsid w:val="00A2763E"/>
    <w:rsid w:val="00A36F5F"/>
    <w:rsid w:val="00A44109"/>
    <w:rsid w:val="00A47653"/>
    <w:rsid w:val="00A57602"/>
    <w:rsid w:val="00A57EC1"/>
    <w:rsid w:val="00A74632"/>
    <w:rsid w:val="00A81CB6"/>
    <w:rsid w:val="00A90D70"/>
    <w:rsid w:val="00A9142C"/>
    <w:rsid w:val="00A96359"/>
    <w:rsid w:val="00AA6D4B"/>
    <w:rsid w:val="00AB266F"/>
    <w:rsid w:val="00AC46E1"/>
    <w:rsid w:val="00AC6B08"/>
    <w:rsid w:val="00AD2935"/>
    <w:rsid w:val="00AD6603"/>
    <w:rsid w:val="00AD6E15"/>
    <w:rsid w:val="00AE14C6"/>
    <w:rsid w:val="00AE58B3"/>
    <w:rsid w:val="00AF49FA"/>
    <w:rsid w:val="00AF768D"/>
    <w:rsid w:val="00B13251"/>
    <w:rsid w:val="00B14268"/>
    <w:rsid w:val="00B24E1B"/>
    <w:rsid w:val="00B26CB3"/>
    <w:rsid w:val="00B26F3D"/>
    <w:rsid w:val="00B32F86"/>
    <w:rsid w:val="00B46432"/>
    <w:rsid w:val="00B4687B"/>
    <w:rsid w:val="00B51514"/>
    <w:rsid w:val="00B625B8"/>
    <w:rsid w:val="00B7399D"/>
    <w:rsid w:val="00B76771"/>
    <w:rsid w:val="00B76F6C"/>
    <w:rsid w:val="00B82923"/>
    <w:rsid w:val="00B95D55"/>
    <w:rsid w:val="00B95D8D"/>
    <w:rsid w:val="00B96494"/>
    <w:rsid w:val="00B97F29"/>
    <w:rsid w:val="00BB436D"/>
    <w:rsid w:val="00BD5B26"/>
    <w:rsid w:val="00BF6357"/>
    <w:rsid w:val="00C06A4B"/>
    <w:rsid w:val="00C10C86"/>
    <w:rsid w:val="00C120E9"/>
    <w:rsid w:val="00C12435"/>
    <w:rsid w:val="00C12C61"/>
    <w:rsid w:val="00C12E9E"/>
    <w:rsid w:val="00C13552"/>
    <w:rsid w:val="00C17E76"/>
    <w:rsid w:val="00C20F7A"/>
    <w:rsid w:val="00C2393C"/>
    <w:rsid w:val="00C23FFD"/>
    <w:rsid w:val="00C25B18"/>
    <w:rsid w:val="00C33CA4"/>
    <w:rsid w:val="00C349DE"/>
    <w:rsid w:val="00C3509D"/>
    <w:rsid w:val="00C42E16"/>
    <w:rsid w:val="00C555B2"/>
    <w:rsid w:val="00C57854"/>
    <w:rsid w:val="00C61429"/>
    <w:rsid w:val="00C62B3F"/>
    <w:rsid w:val="00C64AF5"/>
    <w:rsid w:val="00C66D5A"/>
    <w:rsid w:val="00C676F4"/>
    <w:rsid w:val="00C72E49"/>
    <w:rsid w:val="00C74BB0"/>
    <w:rsid w:val="00C820BA"/>
    <w:rsid w:val="00C82DCF"/>
    <w:rsid w:val="00C82F06"/>
    <w:rsid w:val="00C843D9"/>
    <w:rsid w:val="00C864D3"/>
    <w:rsid w:val="00C87D27"/>
    <w:rsid w:val="00C94770"/>
    <w:rsid w:val="00C958EF"/>
    <w:rsid w:val="00C96637"/>
    <w:rsid w:val="00CA69EA"/>
    <w:rsid w:val="00CB1E71"/>
    <w:rsid w:val="00CB209C"/>
    <w:rsid w:val="00CB4175"/>
    <w:rsid w:val="00CB658F"/>
    <w:rsid w:val="00CB65B4"/>
    <w:rsid w:val="00CC4DF5"/>
    <w:rsid w:val="00CE2D41"/>
    <w:rsid w:val="00CF1D89"/>
    <w:rsid w:val="00CF3816"/>
    <w:rsid w:val="00CF4430"/>
    <w:rsid w:val="00D068D5"/>
    <w:rsid w:val="00D0746E"/>
    <w:rsid w:val="00D11C75"/>
    <w:rsid w:val="00D11F65"/>
    <w:rsid w:val="00D12E06"/>
    <w:rsid w:val="00D142B1"/>
    <w:rsid w:val="00D2121F"/>
    <w:rsid w:val="00D22942"/>
    <w:rsid w:val="00D3056D"/>
    <w:rsid w:val="00D36DED"/>
    <w:rsid w:val="00D5407C"/>
    <w:rsid w:val="00D540E1"/>
    <w:rsid w:val="00D57BFC"/>
    <w:rsid w:val="00D64E4F"/>
    <w:rsid w:val="00D70C6E"/>
    <w:rsid w:val="00D74C53"/>
    <w:rsid w:val="00D76985"/>
    <w:rsid w:val="00D7780B"/>
    <w:rsid w:val="00D8375E"/>
    <w:rsid w:val="00D8546F"/>
    <w:rsid w:val="00D87011"/>
    <w:rsid w:val="00DA3A48"/>
    <w:rsid w:val="00DC3333"/>
    <w:rsid w:val="00DC7F3D"/>
    <w:rsid w:val="00DD01BD"/>
    <w:rsid w:val="00DD50B5"/>
    <w:rsid w:val="00DD6CBD"/>
    <w:rsid w:val="00DD7FA1"/>
    <w:rsid w:val="00DE0FFE"/>
    <w:rsid w:val="00DE27D8"/>
    <w:rsid w:val="00DE7254"/>
    <w:rsid w:val="00DF12E8"/>
    <w:rsid w:val="00DF2E17"/>
    <w:rsid w:val="00DF66B3"/>
    <w:rsid w:val="00E01655"/>
    <w:rsid w:val="00E01829"/>
    <w:rsid w:val="00E02A84"/>
    <w:rsid w:val="00E033EB"/>
    <w:rsid w:val="00E034B3"/>
    <w:rsid w:val="00E07A60"/>
    <w:rsid w:val="00E10CC7"/>
    <w:rsid w:val="00E24799"/>
    <w:rsid w:val="00E27999"/>
    <w:rsid w:val="00E40424"/>
    <w:rsid w:val="00E449F1"/>
    <w:rsid w:val="00E51276"/>
    <w:rsid w:val="00E54561"/>
    <w:rsid w:val="00E56213"/>
    <w:rsid w:val="00E56C1A"/>
    <w:rsid w:val="00E611B7"/>
    <w:rsid w:val="00E62FD1"/>
    <w:rsid w:val="00E63AA4"/>
    <w:rsid w:val="00E66C16"/>
    <w:rsid w:val="00E76469"/>
    <w:rsid w:val="00E82BCE"/>
    <w:rsid w:val="00E86968"/>
    <w:rsid w:val="00E87FD7"/>
    <w:rsid w:val="00E93FD7"/>
    <w:rsid w:val="00E97105"/>
    <w:rsid w:val="00EA5708"/>
    <w:rsid w:val="00EA5DB9"/>
    <w:rsid w:val="00EB1A56"/>
    <w:rsid w:val="00EC24B4"/>
    <w:rsid w:val="00EC5AF1"/>
    <w:rsid w:val="00ED1C40"/>
    <w:rsid w:val="00ED3EF8"/>
    <w:rsid w:val="00EE41ED"/>
    <w:rsid w:val="00EE6627"/>
    <w:rsid w:val="00F02EE4"/>
    <w:rsid w:val="00F04DE3"/>
    <w:rsid w:val="00F05A9F"/>
    <w:rsid w:val="00F27B1B"/>
    <w:rsid w:val="00F403C2"/>
    <w:rsid w:val="00F44EE4"/>
    <w:rsid w:val="00F47103"/>
    <w:rsid w:val="00F61668"/>
    <w:rsid w:val="00F64C64"/>
    <w:rsid w:val="00F66692"/>
    <w:rsid w:val="00F701D8"/>
    <w:rsid w:val="00F7116E"/>
    <w:rsid w:val="00F728B8"/>
    <w:rsid w:val="00F72FA2"/>
    <w:rsid w:val="00F735DA"/>
    <w:rsid w:val="00F867B7"/>
    <w:rsid w:val="00FA28B8"/>
    <w:rsid w:val="00FB0336"/>
    <w:rsid w:val="00FB6D59"/>
    <w:rsid w:val="00FC0C94"/>
    <w:rsid w:val="00FC1AE1"/>
    <w:rsid w:val="00FD106F"/>
    <w:rsid w:val="00FD4D6B"/>
    <w:rsid w:val="00FD6748"/>
    <w:rsid w:val="00FE13AB"/>
    <w:rsid w:val="00FE53B8"/>
    <w:rsid w:val="00FF6BBE"/>
    <w:rsid w:val="57E0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line="360" w:lineRule="auto"/>
      <w:outlineLvl w:val="0"/>
    </w:pPr>
    <w:rPr>
      <w:rFonts w:eastAsia="黑体"/>
      <w:b/>
      <w:bCs/>
      <w:kern w:val="44"/>
      <w:sz w:val="28"/>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eastAsia="黑体" w:asciiTheme="majorHAnsi" w:hAnsiTheme="majorHAnsi" w:cstheme="majorBidi"/>
      <w:bCs/>
      <w:sz w:val="28"/>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uiPriority w:val="99"/>
    <w:rPr>
      <w:sz w:val="18"/>
      <w:szCs w:val="18"/>
    </w:rPr>
  </w:style>
  <w:style w:type="character" w:customStyle="1" w:styleId="12">
    <w:name w:val="页脚 Char"/>
    <w:basedOn w:val="10"/>
    <w:link w:val="5"/>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4"/>
    <w:semiHidden/>
    <w:uiPriority w:val="99"/>
    <w:rPr>
      <w:sz w:val="18"/>
      <w:szCs w:val="18"/>
    </w:rPr>
  </w:style>
  <w:style w:type="character" w:customStyle="1" w:styleId="15">
    <w:name w:val="标题 1 Char"/>
    <w:basedOn w:val="10"/>
    <w:link w:val="2"/>
    <w:uiPriority w:val="9"/>
    <w:rPr>
      <w:rFonts w:eastAsia="黑体"/>
      <w:b/>
      <w:bCs/>
      <w:kern w:val="44"/>
      <w:sz w:val="28"/>
      <w:szCs w:val="44"/>
    </w:rPr>
  </w:style>
  <w:style w:type="character" w:customStyle="1" w:styleId="16">
    <w:name w:val="标题 2 Char"/>
    <w:basedOn w:val="10"/>
    <w:link w:val="3"/>
    <w:semiHidden/>
    <w:uiPriority w:val="9"/>
    <w:rPr>
      <w:rFonts w:eastAsia="黑体" w:asciiTheme="majorHAnsi" w:hAnsiTheme="majorHAnsi" w:cstheme="majorBidi"/>
      <w:bCs/>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11</Pages>
  <Words>5212</Words>
  <Characters>5312</Characters>
  <Lines>38</Lines>
  <Paragraphs>10</Paragraphs>
  <TotalTime>392</TotalTime>
  <ScaleCrop>false</ScaleCrop>
  <LinksUpToDate>false</LinksUpToDate>
  <CharactersWithSpaces>5320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2018-06-07T02:18:00Z</dcterms:created>
  <dc:creator>Chinese User</dc:creator>
  <cp:lastModifiedBy>阿营</cp:lastModifiedBy>
  <cp:lastPrinted>2018-04-23T02:49:00Z</cp:lastPrinted>
  <dcterms:modified xsi:type="dcterms:W3CDTF">2023-03-29T02:04:06Z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F982A744D33B456EB074AEBAC5B4E807_12</vt:lpwstr>
  </property>
</Properties>
</file>