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N/>
        <w:bidi w:val="0"/>
        <w:adjustRightInd/>
        <w:snapToGrid/>
        <w:spacing w:line="578" w:lineRule="exact"/>
        <w:jc w:val="left"/>
        <w:textAlignment w:val="auto"/>
        <w:rPr>
          <w:rFonts w:ascii="仿宋_GB2312" w:hAnsi="Calibri" w:eastAsia="仿宋_GB2312" w:cs="Times New Roman"/>
          <w:b/>
          <w:bCs/>
          <w:sz w:val="32"/>
          <w:szCs w:val="32"/>
        </w:rPr>
      </w:pPr>
      <w:r>
        <w:rPr>
          <w:rFonts w:hint="eastAsia" w:ascii="黑体" w:hAnsi="黑体" w:eastAsia="黑体" w:cs="Times New Roman"/>
          <w:bCs/>
          <w:sz w:val="32"/>
          <w:szCs w:val="44"/>
        </w:rPr>
        <w:t>附件1</w:t>
      </w:r>
    </w:p>
    <w:p>
      <w:pPr>
        <w:keepNext w:val="0"/>
        <w:keepLines w:val="0"/>
        <w:pageBreakBefore w:val="0"/>
        <w:kinsoku/>
        <w:wordWrap/>
        <w:overflowPunct/>
        <w:topLinePunct w:val="0"/>
        <w:autoSpaceDN/>
        <w:bidi w:val="0"/>
        <w:adjustRightInd/>
        <w:snapToGrid/>
        <w:spacing w:line="578" w:lineRule="exact"/>
        <w:ind w:firstLine="640" w:firstLineChars="200"/>
        <w:textAlignment w:val="auto"/>
        <w:rPr>
          <w:rFonts w:ascii="仿宋_GB2312" w:hAnsi="Calibri" w:eastAsia="仿宋_GB2312" w:cs="Times New Roman"/>
          <w:sz w:val="32"/>
          <w:szCs w:val="32"/>
        </w:rPr>
      </w:pPr>
    </w:p>
    <w:p>
      <w:pPr>
        <w:keepNext w:val="0"/>
        <w:keepLines w:val="0"/>
        <w:pageBreakBefore w:val="0"/>
        <w:kinsoku/>
        <w:wordWrap/>
        <w:overflowPunct/>
        <w:topLinePunct w:val="0"/>
        <w:autoSpaceDN/>
        <w:bidi w:val="0"/>
        <w:adjustRightInd/>
        <w:snapToGrid/>
        <w:spacing w:line="578" w:lineRule="exact"/>
        <w:jc w:val="center"/>
        <w:textAlignment w:val="auto"/>
        <w:rPr>
          <w:rFonts w:hint="eastAsia" w:ascii="方正小标宋简体" w:hAnsi="Times New Roman" w:eastAsia="方正小标宋简体" w:cs="Times New Roman"/>
          <w:bCs/>
          <w:snapToGrid w:val="0"/>
          <w:kern w:val="0"/>
          <w:sz w:val="44"/>
          <w:szCs w:val="44"/>
        </w:rPr>
      </w:pPr>
      <w:r>
        <w:rPr>
          <w:rFonts w:hint="eastAsia" w:ascii="方正小标宋简体" w:hAnsi="Times New Roman" w:eastAsia="方正小标宋简体" w:cs="Times New Roman"/>
          <w:bCs/>
          <w:snapToGrid w:val="0"/>
          <w:kern w:val="0"/>
          <w:sz w:val="44"/>
          <w:szCs w:val="44"/>
        </w:rPr>
        <w:t>深圳市水库管理办法</w:t>
      </w:r>
    </w:p>
    <w:p>
      <w:pPr>
        <w:keepNext w:val="0"/>
        <w:keepLines w:val="0"/>
        <w:pageBreakBefore w:val="0"/>
        <w:kinsoku/>
        <w:wordWrap/>
        <w:overflowPunct/>
        <w:topLinePunct w:val="0"/>
        <w:autoSpaceDN/>
        <w:bidi w:val="0"/>
        <w:adjustRightInd/>
        <w:snapToGrid/>
        <w:spacing w:line="578" w:lineRule="exact"/>
        <w:jc w:val="center"/>
        <w:textAlignment w:val="auto"/>
        <w:rPr>
          <w:rFonts w:hint="eastAsia" w:ascii="Times New Roman" w:hAnsi="Times New Roman" w:eastAsia="楷体" w:cs="Times New Roman"/>
          <w:snapToGrid w:val="0"/>
          <w:kern w:val="0"/>
          <w:sz w:val="32"/>
          <w:szCs w:val="32"/>
        </w:rPr>
      </w:pPr>
      <w:r>
        <w:rPr>
          <w:rFonts w:hint="eastAsia" w:ascii="Times New Roman" w:hAnsi="Times New Roman" w:eastAsia="楷体" w:cs="Times New Roman"/>
          <w:snapToGrid w:val="0"/>
          <w:kern w:val="0"/>
          <w:sz w:val="32"/>
          <w:szCs w:val="32"/>
        </w:rPr>
        <w:t>（</w:t>
      </w:r>
      <w:r>
        <w:rPr>
          <w:rFonts w:hint="eastAsia" w:ascii="Times New Roman" w:hAnsi="Times New Roman" w:eastAsia="楷体" w:cs="Times New Roman"/>
          <w:snapToGrid w:val="0"/>
          <w:kern w:val="0"/>
          <w:sz w:val="32"/>
          <w:szCs w:val="32"/>
          <w:lang w:eastAsia="zh-CN"/>
        </w:rPr>
        <w:t>征求意见稿</w:t>
      </w:r>
      <w:r>
        <w:rPr>
          <w:rFonts w:hint="eastAsia" w:ascii="Times New Roman" w:hAnsi="Times New Roman" w:eastAsia="楷体" w:cs="Times New Roman"/>
          <w:snapToGrid w:val="0"/>
          <w:kern w:val="0"/>
          <w:sz w:val="32"/>
          <w:szCs w:val="32"/>
        </w:rPr>
        <w:t>）</w:t>
      </w:r>
    </w:p>
    <w:p>
      <w:pPr>
        <w:keepNext w:val="0"/>
        <w:keepLines w:val="0"/>
        <w:pageBreakBefore w:val="0"/>
        <w:widowControl w:val="0"/>
        <w:kinsoku/>
        <w:wordWrap/>
        <w:overflowPunct/>
        <w:topLinePunct w:val="0"/>
        <w:autoSpaceDN/>
        <w:bidi w:val="0"/>
        <w:adjustRightInd/>
        <w:snapToGrid/>
        <w:spacing w:after="120" w:line="578" w:lineRule="exact"/>
        <w:jc w:val="both"/>
        <w:textAlignment w:val="auto"/>
        <w:rPr>
          <w:rFonts w:ascii="Calibri" w:hAnsi="Calibri" w:eastAsia="宋体" w:cs="Times New Roman"/>
          <w:kern w:val="2"/>
          <w:sz w:val="21"/>
          <w:szCs w:val="22"/>
          <w:lang w:val="en-US" w:eastAsia="zh-CN" w:bidi="ar-SA"/>
        </w:rPr>
      </w:pPr>
    </w:p>
    <w:p>
      <w:pPr>
        <w:pageBreakBefore w:val="0"/>
        <w:kinsoku/>
        <w:wordWrap/>
        <w:overflowPunct/>
        <w:topLinePunct w:val="0"/>
        <w:autoSpaceDN/>
        <w:bidi w:val="0"/>
        <w:adjustRightInd/>
        <w:snapToGrid/>
        <w:spacing w:line="578" w:lineRule="exact"/>
        <w:jc w:val="center"/>
        <w:textAlignment w:val="auto"/>
        <w:rPr>
          <w:rFonts w:ascii="黑体" w:hAnsi="黑体" w:eastAsia="黑体" w:cs="黑体"/>
          <w:sz w:val="32"/>
          <w:szCs w:val="28"/>
        </w:rPr>
      </w:pPr>
      <w:r>
        <w:rPr>
          <w:rFonts w:hint="eastAsia" w:ascii="黑体" w:hAnsi="黑体" w:eastAsia="黑体" w:cs="黑体"/>
          <w:sz w:val="32"/>
          <w:szCs w:val="28"/>
        </w:rPr>
        <w:t>第一章 总则</w:t>
      </w:r>
    </w:p>
    <w:p>
      <w:pPr>
        <w:keepNext w:val="0"/>
        <w:keepLines w:val="0"/>
        <w:pageBreakBefore w:val="0"/>
        <w:widowControl w:val="0"/>
        <w:tabs>
          <w:tab w:val="left" w:pos="0"/>
        </w:tabs>
        <w:kinsoku/>
        <w:wordWrap/>
        <w:overflowPunct/>
        <w:topLinePunct w:val="0"/>
        <w:autoSpaceDN/>
        <w:bidi w:val="0"/>
        <w:adjustRightInd/>
        <w:snapToGrid/>
        <w:spacing w:before="0" w:beforeLines="0" w:after="0" w:afterLines="0" w:line="578" w:lineRule="exact"/>
        <w:ind w:firstLine="640" w:firstLineChars="200"/>
        <w:jc w:val="both"/>
        <w:textAlignment w:val="auto"/>
        <w:outlineLvl w:val="1"/>
        <w:rPr>
          <w:rFonts w:ascii="Times New Roman" w:hAnsi="Times New Roman" w:eastAsia="宋体" w:cs="Times New Roman"/>
          <w:b/>
          <w:kern w:val="2"/>
          <w:sz w:val="32"/>
          <w:szCs w:val="24"/>
          <w:lang w:val="en-US" w:eastAsia="zh-CN" w:bidi="ar-SA"/>
        </w:rPr>
      </w:pPr>
      <w:bookmarkStart w:id="0" w:name="_Toc16215"/>
      <w:bookmarkStart w:id="1" w:name="_Toc13387"/>
      <w:bookmarkStart w:id="2" w:name="_Toc16428"/>
      <w:bookmarkStart w:id="3" w:name="_Toc5753"/>
      <w:bookmarkStart w:id="4" w:name="_Toc20993"/>
      <w:r>
        <w:rPr>
          <w:rFonts w:hint="eastAsia" w:ascii="黑体" w:hAnsi="黑体" w:eastAsia="黑体" w:cs="宋体"/>
          <w:b w:val="0"/>
          <w:bCs/>
          <w:kern w:val="2"/>
          <w:sz w:val="32"/>
          <w:szCs w:val="32"/>
          <w:lang w:val="en-US" w:eastAsia="zh-CN" w:bidi="ar-SA"/>
        </w:rPr>
        <w:t>第一条【立法目的】</w:t>
      </w:r>
      <w:bookmarkEnd w:id="0"/>
      <w:bookmarkEnd w:id="1"/>
      <w:bookmarkEnd w:id="2"/>
      <w:bookmarkEnd w:id="3"/>
      <w:bookmarkEnd w:id="4"/>
      <w:r>
        <w:rPr>
          <w:rFonts w:hint="eastAsia" w:ascii="仿宋_GB2312" w:hAnsi="宋体" w:eastAsia="仿宋_GB2312" w:cs="宋体"/>
          <w:kern w:val="0"/>
          <w:sz w:val="32"/>
          <w:szCs w:val="36"/>
          <w:lang w:val="en-US" w:eastAsia="zh-CN" w:bidi="ar-SA"/>
        </w:rPr>
        <w:t>为了加强水库管理与保护，保障人民生命财产安全，规范水库利用与开放，发挥水库综合效益，促进经济社会可持续发展，根据《中华人民共和国水法》《中华人民共和国防洪法》《水库大坝安全管理条例》《广东省水利工程管理条例》有关法律法规，结合本市实际，制定本办法。</w:t>
      </w:r>
      <w:bookmarkStart w:id="5" w:name="_Toc31656"/>
      <w:bookmarkStart w:id="6" w:name="_Toc1864"/>
      <w:bookmarkStart w:id="7" w:name="_Toc18100"/>
      <w:bookmarkStart w:id="8" w:name="_Toc14274"/>
      <w:bookmarkStart w:id="9" w:name="_Toc15452"/>
    </w:p>
    <w:p>
      <w:pPr>
        <w:keepNext w:val="0"/>
        <w:keepLines w:val="0"/>
        <w:pageBreakBefore w:val="0"/>
        <w:widowControl w:val="0"/>
        <w:tabs>
          <w:tab w:val="left" w:pos="0"/>
        </w:tabs>
        <w:kinsoku/>
        <w:wordWrap/>
        <w:overflowPunct/>
        <w:topLinePunct w:val="0"/>
        <w:autoSpaceDN/>
        <w:bidi w:val="0"/>
        <w:adjustRightInd/>
        <w:snapToGrid/>
        <w:spacing w:before="0" w:beforeLines="0" w:after="0" w:afterLines="0" w:line="578" w:lineRule="exact"/>
        <w:ind w:firstLine="640" w:firstLineChars="200"/>
        <w:jc w:val="both"/>
        <w:textAlignment w:val="auto"/>
        <w:outlineLvl w:val="1"/>
        <w:rPr>
          <w:rFonts w:hint="eastAsia" w:ascii="仿宋_GB2312" w:hAnsi="宋体" w:eastAsia="仿宋_GB2312" w:cs="宋体"/>
          <w:kern w:val="0"/>
          <w:sz w:val="32"/>
          <w:szCs w:val="36"/>
          <w:lang w:val="en-US" w:eastAsia="zh-CN" w:bidi="ar-SA"/>
        </w:rPr>
      </w:pPr>
      <w:r>
        <w:rPr>
          <w:rFonts w:hint="eastAsia" w:ascii="黑体" w:hAnsi="黑体" w:eastAsia="黑体" w:cs="宋体"/>
          <w:b w:val="0"/>
          <w:bCs/>
          <w:kern w:val="2"/>
          <w:sz w:val="32"/>
          <w:szCs w:val="32"/>
          <w:lang w:val="en-US" w:eastAsia="zh-CN" w:bidi="ar-SA"/>
        </w:rPr>
        <w:t>第二条【适用范围】</w:t>
      </w:r>
      <w:bookmarkEnd w:id="5"/>
      <w:bookmarkEnd w:id="6"/>
      <w:bookmarkEnd w:id="7"/>
      <w:bookmarkEnd w:id="8"/>
      <w:bookmarkEnd w:id="9"/>
      <w:r>
        <w:rPr>
          <w:rFonts w:hint="eastAsia" w:ascii="仿宋_GB2312" w:hAnsi="宋体" w:eastAsia="仿宋_GB2312" w:cs="宋体"/>
          <w:kern w:val="0"/>
          <w:sz w:val="32"/>
          <w:szCs w:val="36"/>
          <w:lang w:val="en-US" w:eastAsia="zh-CN" w:bidi="ar-SA"/>
        </w:rPr>
        <w:t>深圳市辖区内水库的管理、运维、保护和利用活动适用本办法，深汕特别合作区的水库可参照执行。本办法所称水库包括大型水库、中型水库和小型水库。</w:t>
      </w:r>
    </w:p>
    <w:p>
      <w:pPr>
        <w:keepNext w:val="0"/>
        <w:keepLines w:val="0"/>
        <w:pageBreakBefore w:val="0"/>
        <w:widowControl w:val="0"/>
        <w:tabs>
          <w:tab w:val="left" w:pos="0"/>
        </w:tabs>
        <w:kinsoku/>
        <w:wordWrap/>
        <w:overflowPunct/>
        <w:topLinePunct w:val="0"/>
        <w:autoSpaceDN/>
        <w:bidi w:val="0"/>
        <w:adjustRightInd/>
        <w:snapToGrid/>
        <w:spacing w:before="0" w:beforeLines="0" w:after="0" w:afterLines="0" w:line="578" w:lineRule="exact"/>
        <w:ind w:firstLine="640" w:firstLineChars="200"/>
        <w:jc w:val="both"/>
        <w:textAlignment w:val="auto"/>
        <w:outlineLvl w:val="1"/>
        <w:rPr>
          <w:rFonts w:hint="eastAsia" w:ascii="仿宋_GB2312" w:hAnsi="宋体" w:eastAsia="仿宋_GB2312" w:cs="宋体"/>
          <w:kern w:val="0"/>
          <w:sz w:val="32"/>
          <w:szCs w:val="36"/>
          <w:lang w:val="en-US" w:eastAsia="zh-CN" w:bidi="ar-SA"/>
        </w:rPr>
      </w:pPr>
      <w:bookmarkStart w:id="10" w:name="_Toc11172"/>
      <w:bookmarkStart w:id="11" w:name="_Toc32553"/>
      <w:bookmarkStart w:id="12" w:name="_Toc72"/>
      <w:bookmarkStart w:id="13" w:name="_Toc22671"/>
      <w:bookmarkStart w:id="14" w:name="_Toc12041"/>
      <w:r>
        <w:rPr>
          <w:rFonts w:hint="eastAsia" w:ascii="黑体" w:hAnsi="黑体" w:eastAsia="黑体" w:cs="宋体"/>
          <w:b w:val="0"/>
          <w:bCs/>
          <w:kern w:val="2"/>
          <w:sz w:val="32"/>
          <w:szCs w:val="32"/>
          <w:lang w:val="en-US" w:eastAsia="zh-CN" w:bidi="ar-SA"/>
        </w:rPr>
        <w:t>第三条【主体职责】</w:t>
      </w:r>
      <w:bookmarkEnd w:id="10"/>
      <w:bookmarkEnd w:id="11"/>
      <w:bookmarkEnd w:id="12"/>
      <w:bookmarkEnd w:id="13"/>
      <w:bookmarkEnd w:id="14"/>
      <w:r>
        <w:rPr>
          <w:rFonts w:hint="eastAsia" w:ascii="仿宋_GB2312" w:hAnsi="宋体" w:eastAsia="仿宋_GB2312" w:cs="宋体"/>
          <w:kern w:val="0"/>
          <w:sz w:val="32"/>
          <w:szCs w:val="36"/>
          <w:lang w:val="en-US" w:eastAsia="zh-CN" w:bidi="ar-SA"/>
        </w:rPr>
        <w:t>市、区人民政府（含新区管理机构，下同）应当加强对水库的管理和保护，保障财政经费，对水库安全负总责，根据水库有关突发事件应急预案规定，组织水库突发事件和安全事故应急处置。</w:t>
      </w:r>
    </w:p>
    <w:p>
      <w:pPr>
        <w:pageBreakBefore w:val="0"/>
        <w:kinsoku/>
        <w:wordWrap/>
        <w:overflowPunct/>
        <w:topLinePunct w:val="0"/>
        <w:autoSpaceDN/>
        <w:bidi w:val="0"/>
        <w:adjustRightInd/>
        <w:snapToGrid/>
        <w:spacing w:line="578" w:lineRule="exact"/>
        <w:ind w:firstLine="640" w:firstLineChars="200"/>
        <w:textAlignment w:val="auto"/>
        <w:rPr>
          <w:rFonts w:hint="eastAsia" w:ascii="仿宋_GB2312" w:hAnsi="宋体" w:eastAsia="仿宋_GB2312" w:cs="宋体"/>
          <w:kern w:val="0"/>
          <w:sz w:val="32"/>
          <w:szCs w:val="36"/>
          <w:lang w:val="en-US" w:eastAsia="zh-CN" w:bidi="ar-SA"/>
        </w:rPr>
      </w:pPr>
      <w:r>
        <w:rPr>
          <w:rFonts w:hint="eastAsia" w:ascii="仿宋_GB2312" w:hAnsi="宋体" w:eastAsia="仿宋_GB2312" w:cs="宋体"/>
          <w:kern w:val="0"/>
          <w:sz w:val="32"/>
          <w:szCs w:val="36"/>
          <w:lang w:val="en-US" w:eastAsia="zh-CN" w:bidi="ar-SA"/>
        </w:rPr>
        <w:t>市水行政主管部门负责全市水库的行业管理，监督、指导区水行政主管部门履行水库监管职能。区水行政主管部门负责本辖区内水库的监督管理。</w:t>
      </w:r>
    </w:p>
    <w:p>
      <w:pPr>
        <w:pageBreakBefore w:val="0"/>
        <w:kinsoku/>
        <w:wordWrap/>
        <w:overflowPunct/>
        <w:topLinePunct w:val="0"/>
        <w:autoSpaceDN/>
        <w:bidi w:val="0"/>
        <w:adjustRightInd/>
        <w:snapToGrid/>
        <w:spacing w:line="578" w:lineRule="exact"/>
        <w:ind w:firstLine="640" w:firstLineChars="200"/>
        <w:textAlignment w:val="auto"/>
        <w:rPr>
          <w:rFonts w:hint="eastAsia" w:ascii="仿宋_GB2312" w:hAnsi="宋体" w:eastAsia="仿宋_GB2312" w:cs="宋体"/>
          <w:kern w:val="0"/>
          <w:sz w:val="32"/>
          <w:szCs w:val="36"/>
          <w:lang w:val="en-US" w:eastAsia="zh-CN" w:bidi="ar-SA"/>
        </w:rPr>
      </w:pPr>
      <w:r>
        <w:rPr>
          <w:rFonts w:hint="eastAsia" w:ascii="仿宋_GB2312" w:hAnsi="宋体" w:eastAsia="仿宋_GB2312" w:cs="宋体"/>
          <w:kern w:val="0"/>
          <w:sz w:val="32"/>
          <w:szCs w:val="36"/>
          <w:lang w:val="en-US" w:eastAsia="zh-CN" w:bidi="ar-SA"/>
        </w:rPr>
        <w:t>发展和改革、财政、规划和自然资源、生态环境、住房和建设、交通运输、应急管理、城市管理和综合执法、林业、农业等行政主管部门在各自职责范围内做好水库的有关监督管理工作。</w:t>
      </w:r>
    </w:p>
    <w:p>
      <w:pPr>
        <w:keepNext w:val="0"/>
        <w:keepLines w:val="0"/>
        <w:pageBreakBefore w:val="0"/>
        <w:widowControl w:val="0"/>
        <w:tabs>
          <w:tab w:val="left" w:pos="0"/>
        </w:tabs>
        <w:kinsoku/>
        <w:wordWrap/>
        <w:overflowPunct/>
        <w:topLinePunct w:val="0"/>
        <w:autoSpaceDN/>
        <w:bidi w:val="0"/>
        <w:adjustRightInd/>
        <w:snapToGrid/>
        <w:spacing w:before="0" w:beforeLines="0" w:after="0" w:afterLines="0" w:line="578" w:lineRule="exact"/>
        <w:ind w:firstLine="640" w:firstLineChars="200"/>
        <w:jc w:val="both"/>
        <w:textAlignment w:val="auto"/>
        <w:outlineLvl w:val="1"/>
        <w:rPr>
          <w:rFonts w:hint="eastAsia" w:ascii="仿宋_GB2312" w:hAnsi="宋体" w:eastAsia="仿宋_GB2312" w:cs="宋体"/>
          <w:kern w:val="0"/>
          <w:sz w:val="32"/>
          <w:szCs w:val="36"/>
          <w:lang w:val="en-US" w:eastAsia="zh-CN" w:bidi="ar-SA"/>
        </w:rPr>
      </w:pPr>
      <w:bookmarkStart w:id="15" w:name="_Toc28566"/>
      <w:bookmarkStart w:id="16" w:name="_Toc16288"/>
      <w:bookmarkStart w:id="17" w:name="_Toc9969"/>
      <w:bookmarkStart w:id="18" w:name="_Toc26136"/>
      <w:bookmarkStart w:id="19" w:name="_Toc4916"/>
      <w:r>
        <w:rPr>
          <w:rFonts w:hint="eastAsia" w:ascii="黑体" w:hAnsi="黑体" w:eastAsia="黑体" w:cs="宋体"/>
          <w:sz w:val="32"/>
          <w:szCs w:val="32"/>
        </w:rPr>
        <w:t>第四条【水库管理主体】</w:t>
      </w:r>
      <w:bookmarkEnd w:id="15"/>
      <w:bookmarkEnd w:id="16"/>
      <w:bookmarkEnd w:id="17"/>
      <w:bookmarkEnd w:id="18"/>
      <w:bookmarkEnd w:id="19"/>
      <w:r>
        <w:rPr>
          <w:rFonts w:hint="eastAsia" w:ascii="仿宋_GB2312" w:hAnsi="宋体" w:eastAsia="仿宋_GB2312" w:cs="宋体"/>
          <w:kern w:val="0"/>
          <w:sz w:val="32"/>
          <w:szCs w:val="36"/>
          <w:lang w:val="en-US" w:eastAsia="zh-CN" w:bidi="ar-SA"/>
        </w:rPr>
        <w:t>水库业主单位是水库安全运行的责任主体，负责所属水库安全运行管理工作，遵守法律、法规和相关规程规范，确定水库管理单位，保障水库安全运行。</w:t>
      </w:r>
    </w:p>
    <w:p>
      <w:pPr>
        <w:keepNext w:val="0"/>
        <w:keepLines w:val="0"/>
        <w:pageBreakBefore w:val="0"/>
        <w:widowControl w:val="0"/>
        <w:tabs>
          <w:tab w:val="left" w:pos="0"/>
        </w:tabs>
        <w:kinsoku/>
        <w:wordWrap/>
        <w:overflowPunct/>
        <w:topLinePunct w:val="0"/>
        <w:autoSpaceDN/>
        <w:bidi w:val="0"/>
        <w:adjustRightInd/>
        <w:snapToGrid/>
        <w:spacing w:before="0" w:beforeLines="0" w:after="0" w:afterLines="0" w:line="578" w:lineRule="exact"/>
        <w:ind w:firstLine="640" w:firstLineChars="200"/>
        <w:jc w:val="both"/>
        <w:textAlignment w:val="auto"/>
        <w:outlineLvl w:val="1"/>
        <w:rPr>
          <w:rFonts w:hint="eastAsia" w:ascii="仿宋_GB2312" w:hAnsi="宋体" w:eastAsia="仿宋_GB2312" w:cs="宋体"/>
          <w:kern w:val="0"/>
          <w:sz w:val="32"/>
          <w:szCs w:val="36"/>
          <w:lang w:val="en-US" w:eastAsia="zh-CN" w:bidi="ar-SA"/>
        </w:rPr>
      </w:pPr>
      <w:r>
        <w:rPr>
          <w:rFonts w:hint="eastAsia" w:ascii="仿宋_GB2312" w:hAnsi="宋体" w:eastAsia="仿宋_GB2312" w:cs="宋体"/>
          <w:kern w:val="0"/>
          <w:sz w:val="32"/>
          <w:szCs w:val="36"/>
          <w:lang w:val="en-US" w:eastAsia="zh-CN" w:bidi="ar-SA"/>
        </w:rPr>
        <w:t>水库管理单位负责所属水库的日常运行管理，落实水库管理责任制，按照相关法律法规、规程规范、管理制度要求，制定水库运行管理制度，开展水库安全管理、调度运用、工程运行维护、应急抢险等日常工作以及上级主管部门委托的其他管理事项。</w:t>
      </w:r>
    </w:p>
    <w:p>
      <w:pPr>
        <w:keepNext w:val="0"/>
        <w:keepLines w:val="0"/>
        <w:pageBreakBefore w:val="0"/>
        <w:widowControl w:val="0"/>
        <w:tabs>
          <w:tab w:val="left" w:pos="0"/>
        </w:tabs>
        <w:kinsoku/>
        <w:wordWrap/>
        <w:overflowPunct/>
        <w:topLinePunct w:val="0"/>
        <w:autoSpaceDN/>
        <w:bidi w:val="0"/>
        <w:adjustRightInd/>
        <w:snapToGrid/>
        <w:spacing w:before="0" w:beforeLines="0" w:after="0" w:afterLines="0" w:line="578" w:lineRule="exact"/>
        <w:ind w:firstLine="640" w:firstLineChars="200"/>
        <w:jc w:val="both"/>
        <w:textAlignment w:val="auto"/>
        <w:outlineLvl w:val="1"/>
        <w:rPr>
          <w:rFonts w:ascii="仿宋" w:hAnsi="仿宋" w:eastAsia="仿宋" w:cs="Times New Roman"/>
          <w:b w:val="0"/>
          <w:bCs/>
          <w:kern w:val="2"/>
          <w:sz w:val="32"/>
          <w:szCs w:val="24"/>
          <w:lang w:val="en-US" w:eastAsia="zh-CN" w:bidi="ar-SA"/>
        </w:rPr>
      </w:pPr>
      <w:bookmarkStart w:id="20" w:name="_Toc12248"/>
      <w:bookmarkStart w:id="21" w:name="_Toc863"/>
      <w:bookmarkStart w:id="22" w:name="_Toc25818"/>
      <w:bookmarkStart w:id="23" w:name="_Toc14673"/>
      <w:bookmarkStart w:id="24" w:name="_Toc22907"/>
      <w:r>
        <w:rPr>
          <w:rFonts w:hint="eastAsia" w:ascii="黑体" w:hAnsi="黑体" w:eastAsia="黑体" w:cs="宋体"/>
          <w:b w:val="0"/>
          <w:bCs/>
          <w:kern w:val="2"/>
          <w:sz w:val="32"/>
          <w:szCs w:val="32"/>
          <w:lang w:val="en-US" w:eastAsia="zh-CN" w:bidi="ar-SA"/>
        </w:rPr>
        <w:t>第五条【跨区管理】</w:t>
      </w:r>
      <w:bookmarkEnd w:id="20"/>
      <w:bookmarkEnd w:id="21"/>
      <w:bookmarkEnd w:id="22"/>
      <w:bookmarkEnd w:id="23"/>
      <w:bookmarkEnd w:id="24"/>
      <w:r>
        <w:rPr>
          <w:rFonts w:hint="eastAsia" w:ascii="仿宋_GB2312" w:hAnsi="宋体" w:eastAsia="仿宋_GB2312" w:cs="宋体"/>
          <w:kern w:val="0"/>
          <w:sz w:val="32"/>
          <w:szCs w:val="36"/>
          <w:lang w:val="en-US" w:eastAsia="zh-CN" w:bidi="ar-SA"/>
        </w:rPr>
        <w:t>水库涉及跨区的管理、审批、执法等争议事项可报市水行政主管部门协调办理。</w:t>
      </w:r>
    </w:p>
    <w:p>
      <w:pPr>
        <w:keepNext w:val="0"/>
        <w:keepLines w:val="0"/>
        <w:pageBreakBefore w:val="0"/>
        <w:widowControl w:val="0"/>
        <w:tabs>
          <w:tab w:val="left" w:pos="0"/>
        </w:tabs>
        <w:kinsoku/>
        <w:wordWrap/>
        <w:overflowPunct/>
        <w:topLinePunct w:val="0"/>
        <w:autoSpaceDN/>
        <w:bidi w:val="0"/>
        <w:adjustRightInd/>
        <w:snapToGrid/>
        <w:spacing w:before="0" w:beforeLines="0" w:after="0" w:afterLines="0" w:line="578" w:lineRule="exact"/>
        <w:ind w:firstLine="640" w:firstLineChars="200"/>
        <w:jc w:val="both"/>
        <w:textAlignment w:val="auto"/>
        <w:outlineLvl w:val="1"/>
        <w:rPr>
          <w:rFonts w:ascii="仿宋" w:hAnsi="仿宋" w:eastAsia="仿宋" w:cs="Times New Roman"/>
          <w:b w:val="0"/>
          <w:bCs/>
          <w:kern w:val="2"/>
          <w:sz w:val="32"/>
          <w:szCs w:val="24"/>
          <w:lang w:val="en-US" w:eastAsia="zh-CN" w:bidi="ar-SA"/>
        </w:rPr>
      </w:pPr>
      <w:bookmarkStart w:id="25" w:name="_Toc10160"/>
      <w:bookmarkStart w:id="26" w:name="_Toc24619"/>
      <w:bookmarkStart w:id="27" w:name="_Toc27733"/>
      <w:bookmarkStart w:id="28" w:name="_Toc14247"/>
      <w:bookmarkStart w:id="29" w:name="_Toc6279"/>
      <w:r>
        <w:rPr>
          <w:rFonts w:hint="eastAsia" w:ascii="黑体" w:hAnsi="黑体" w:eastAsia="黑体" w:cs="宋体"/>
          <w:b w:val="0"/>
          <w:bCs/>
          <w:kern w:val="2"/>
          <w:sz w:val="32"/>
          <w:szCs w:val="32"/>
          <w:lang w:val="en-US" w:eastAsia="zh-CN" w:bidi="ar-SA"/>
        </w:rPr>
        <w:t>第六条【社会责任】</w:t>
      </w:r>
      <w:bookmarkEnd w:id="25"/>
      <w:bookmarkEnd w:id="26"/>
      <w:bookmarkEnd w:id="27"/>
      <w:bookmarkEnd w:id="28"/>
      <w:bookmarkEnd w:id="29"/>
      <w:r>
        <w:rPr>
          <w:rFonts w:hint="eastAsia" w:ascii="仿宋_GB2312" w:hAnsi="宋体" w:eastAsia="仿宋_GB2312" w:cs="宋体"/>
          <w:kern w:val="0"/>
          <w:sz w:val="32"/>
          <w:szCs w:val="36"/>
          <w:lang w:val="en-US" w:eastAsia="zh-CN" w:bidi="ar-SA"/>
        </w:rPr>
        <w:t>任何单位和个人都有保护水库安全的义务，并有权制止、检举和控告损害水库安全或者干扰水库运行的行为。</w:t>
      </w:r>
    </w:p>
    <w:p>
      <w:pPr>
        <w:pageBreakBefore w:val="0"/>
        <w:kinsoku/>
        <w:wordWrap/>
        <w:overflowPunct/>
        <w:topLinePunct w:val="0"/>
        <w:autoSpaceDN/>
        <w:bidi w:val="0"/>
        <w:adjustRightInd/>
        <w:snapToGrid/>
        <w:spacing w:line="578" w:lineRule="exact"/>
        <w:ind w:firstLine="640" w:firstLineChars="200"/>
        <w:textAlignment w:val="auto"/>
        <w:rPr>
          <w:rFonts w:ascii="Times New Roman" w:hAnsi="Times New Roman" w:eastAsia="宋体" w:cs="Times New Roman"/>
          <w:sz w:val="32"/>
          <w:szCs w:val="32"/>
        </w:rPr>
      </w:pPr>
    </w:p>
    <w:p>
      <w:pPr>
        <w:pageBreakBefore w:val="0"/>
        <w:kinsoku/>
        <w:wordWrap/>
        <w:overflowPunct/>
        <w:topLinePunct w:val="0"/>
        <w:autoSpaceDN/>
        <w:bidi w:val="0"/>
        <w:adjustRightInd/>
        <w:snapToGrid/>
        <w:spacing w:line="578" w:lineRule="exact"/>
        <w:jc w:val="center"/>
        <w:textAlignment w:val="auto"/>
        <w:rPr>
          <w:rFonts w:ascii="黑体" w:hAnsi="黑体" w:eastAsia="黑体" w:cs="黑体"/>
          <w:sz w:val="32"/>
          <w:szCs w:val="28"/>
        </w:rPr>
      </w:pPr>
      <w:bookmarkStart w:id="30" w:name="_Toc3649"/>
      <w:bookmarkStart w:id="31" w:name="_Toc30661"/>
      <w:bookmarkStart w:id="32" w:name="_Toc2022"/>
      <w:bookmarkStart w:id="33" w:name="_Toc28880"/>
      <w:bookmarkStart w:id="34" w:name="_Toc29465"/>
      <w:r>
        <w:rPr>
          <w:rFonts w:hint="eastAsia" w:ascii="黑体" w:hAnsi="黑体" w:eastAsia="黑体" w:cs="黑体"/>
          <w:sz w:val="32"/>
          <w:szCs w:val="28"/>
        </w:rPr>
        <w:t>第二章 保护和利用</w:t>
      </w:r>
      <w:bookmarkEnd w:id="30"/>
      <w:bookmarkEnd w:id="31"/>
      <w:bookmarkEnd w:id="32"/>
      <w:bookmarkEnd w:id="33"/>
      <w:bookmarkEnd w:id="34"/>
    </w:p>
    <w:p>
      <w:pPr>
        <w:keepNext w:val="0"/>
        <w:keepLines w:val="0"/>
        <w:pageBreakBefore w:val="0"/>
        <w:widowControl w:val="0"/>
        <w:tabs>
          <w:tab w:val="left" w:pos="0"/>
        </w:tabs>
        <w:kinsoku/>
        <w:wordWrap/>
        <w:overflowPunct/>
        <w:topLinePunct w:val="0"/>
        <w:autoSpaceDN/>
        <w:bidi w:val="0"/>
        <w:adjustRightInd/>
        <w:snapToGrid/>
        <w:spacing w:before="0" w:beforeLines="0" w:after="0" w:afterLines="0" w:line="578" w:lineRule="exact"/>
        <w:ind w:firstLine="640" w:firstLineChars="200"/>
        <w:jc w:val="both"/>
        <w:textAlignment w:val="auto"/>
        <w:outlineLvl w:val="1"/>
        <w:rPr>
          <w:rFonts w:hint="eastAsia" w:ascii="仿宋_GB2312" w:hAnsi="宋体" w:eastAsia="仿宋_GB2312" w:cs="宋体"/>
          <w:kern w:val="0"/>
          <w:sz w:val="32"/>
          <w:szCs w:val="36"/>
          <w:lang w:val="en-US" w:eastAsia="zh-CN" w:bidi="ar-SA"/>
        </w:rPr>
      </w:pPr>
      <w:bookmarkStart w:id="35" w:name="_Toc13288"/>
      <w:bookmarkStart w:id="36" w:name="_Toc32053"/>
      <w:bookmarkStart w:id="37" w:name="_Toc22758"/>
      <w:bookmarkStart w:id="38" w:name="_Toc10354"/>
      <w:bookmarkStart w:id="39" w:name="_Toc4482"/>
      <w:r>
        <w:rPr>
          <w:rFonts w:hint="eastAsia" w:ascii="黑体" w:hAnsi="黑体" w:eastAsia="黑体" w:cs="宋体"/>
          <w:b w:val="0"/>
          <w:bCs/>
          <w:kern w:val="2"/>
          <w:sz w:val="32"/>
          <w:szCs w:val="32"/>
          <w:lang w:val="en-US" w:eastAsia="zh-CN" w:bidi="ar-SA"/>
        </w:rPr>
        <w:t>第七条【水库功能定位】</w:t>
      </w:r>
      <w:bookmarkEnd w:id="35"/>
      <w:bookmarkEnd w:id="36"/>
      <w:bookmarkEnd w:id="37"/>
      <w:bookmarkEnd w:id="38"/>
      <w:bookmarkEnd w:id="39"/>
      <w:r>
        <w:rPr>
          <w:rFonts w:hint="eastAsia" w:ascii="仿宋_GB2312" w:hAnsi="宋体" w:eastAsia="仿宋_GB2312" w:cs="宋体"/>
          <w:kern w:val="0"/>
          <w:sz w:val="32"/>
          <w:szCs w:val="36"/>
          <w:lang w:val="en-US" w:eastAsia="zh-CN" w:bidi="ar-SA"/>
        </w:rPr>
        <w:t>水库的开发和利用应当符合可持续发展的要求，其功能的确定应当与工程设计、工程安全、保护任务、区域规划、资源利用及周边发展需求等因素相适应。</w:t>
      </w:r>
    </w:p>
    <w:p>
      <w:pPr>
        <w:pageBreakBefore w:val="0"/>
        <w:kinsoku/>
        <w:wordWrap/>
        <w:overflowPunct/>
        <w:topLinePunct w:val="0"/>
        <w:autoSpaceDN/>
        <w:bidi w:val="0"/>
        <w:adjustRightInd/>
        <w:snapToGrid/>
        <w:spacing w:line="578" w:lineRule="exact"/>
        <w:ind w:firstLine="640" w:firstLineChars="200"/>
        <w:textAlignment w:val="auto"/>
        <w:rPr>
          <w:rFonts w:hint="eastAsia" w:ascii="仿宋_GB2312" w:hAnsi="宋体" w:eastAsia="仿宋_GB2312" w:cs="宋体"/>
          <w:kern w:val="0"/>
          <w:sz w:val="32"/>
          <w:szCs w:val="36"/>
          <w:lang w:val="en-US" w:eastAsia="zh-CN" w:bidi="ar-SA"/>
        </w:rPr>
      </w:pPr>
      <w:r>
        <w:rPr>
          <w:rFonts w:hint="eastAsia" w:ascii="仿宋_GB2312" w:hAnsi="宋体" w:eastAsia="仿宋_GB2312" w:cs="宋体"/>
          <w:kern w:val="0"/>
          <w:sz w:val="32"/>
          <w:szCs w:val="36"/>
          <w:lang w:val="en-US" w:eastAsia="zh-CN" w:bidi="ar-SA"/>
        </w:rPr>
        <w:t>市、区人民政府应当根据水功能区划和水库的功能对水库实现针对性的资金保障和管理保护。</w:t>
      </w:r>
    </w:p>
    <w:p>
      <w:pPr>
        <w:keepNext w:val="0"/>
        <w:keepLines w:val="0"/>
        <w:pageBreakBefore w:val="0"/>
        <w:widowControl w:val="0"/>
        <w:tabs>
          <w:tab w:val="left" w:pos="0"/>
        </w:tabs>
        <w:kinsoku/>
        <w:wordWrap/>
        <w:overflowPunct/>
        <w:topLinePunct w:val="0"/>
        <w:autoSpaceDN/>
        <w:bidi w:val="0"/>
        <w:adjustRightInd/>
        <w:snapToGrid/>
        <w:spacing w:before="0" w:beforeLines="0" w:after="0" w:afterLines="0" w:line="578" w:lineRule="exact"/>
        <w:ind w:firstLine="640" w:firstLineChars="200"/>
        <w:jc w:val="both"/>
        <w:textAlignment w:val="auto"/>
        <w:outlineLvl w:val="1"/>
        <w:rPr>
          <w:rFonts w:ascii="仿宋" w:hAnsi="仿宋" w:eastAsia="仿宋" w:cs="Times New Roman"/>
          <w:b w:val="0"/>
          <w:bCs/>
          <w:kern w:val="2"/>
          <w:sz w:val="32"/>
          <w:szCs w:val="24"/>
          <w:lang w:val="en-US" w:eastAsia="zh-CN" w:bidi="ar-SA"/>
        </w:rPr>
      </w:pPr>
      <w:bookmarkStart w:id="40" w:name="_Toc15781"/>
      <w:bookmarkStart w:id="41" w:name="_Toc1025"/>
      <w:bookmarkStart w:id="42" w:name="_Toc27553"/>
      <w:bookmarkStart w:id="43" w:name="_Toc21492"/>
      <w:bookmarkStart w:id="44" w:name="_Toc9061"/>
      <w:r>
        <w:rPr>
          <w:rFonts w:hint="eastAsia" w:ascii="黑体" w:hAnsi="黑体" w:eastAsia="黑体" w:cs="宋体"/>
          <w:b w:val="0"/>
          <w:bCs/>
          <w:kern w:val="2"/>
          <w:sz w:val="32"/>
          <w:szCs w:val="32"/>
          <w:lang w:val="en-US" w:eastAsia="zh-CN" w:bidi="ar-SA"/>
        </w:rPr>
        <w:t>第八条【水库功能调整】</w:t>
      </w:r>
      <w:bookmarkEnd w:id="40"/>
      <w:bookmarkEnd w:id="41"/>
      <w:bookmarkEnd w:id="42"/>
      <w:bookmarkEnd w:id="43"/>
      <w:bookmarkEnd w:id="44"/>
      <w:r>
        <w:rPr>
          <w:rFonts w:hint="eastAsia" w:ascii="仿宋_GB2312" w:hAnsi="宋体" w:eastAsia="仿宋_GB2312" w:cs="宋体"/>
          <w:kern w:val="0"/>
          <w:sz w:val="32"/>
          <w:szCs w:val="36"/>
          <w:lang w:val="en-US" w:eastAsia="zh-CN" w:bidi="ar-SA"/>
        </w:rPr>
        <w:t>调整水库原有功能的，按市、区管理权限，由水库管理单位进行功能调整论证，由上级水行政主管部门审核，并报市水行政主管部门重新确定和发布；调整供水功能的，经市水行政主管部门批准后，由市人民政府确定和发布。</w:t>
      </w:r>
    </w:p>
    <w:p>
      <w:pPr>
        <w:keepNext w:val="0"/>
        <w:keepLines w:val="0"/>
        <w:pageBreakBefore w:val="0"/>
        <w:widowControl w:val="0"/>
        <w:tabs>
          <w:tab w:val="left" w:pos="0"/>
        </w:tabs>
        <w:kinsoku/>
        <w:wordWrap/>
        <w:overflowPunct/>
        <w:topLinePunct w:val="0"/>
        <w:autoSpaceDN/>
        <w:bidi w:val="0"/>
        <w:adjustRightInd/>
        <w:snapToGrid/>
        <w:spacing w:before="0" w:beforeLines="0" w:after="0" w:afterLines="0" w:line="578" w:lineRule="exact"/>
        <w:ind w:firstLine="640" w:firstLineChars="200"/>
        <w:jc w:val="both"/>
        <w:textAlignment w:val="auto"/>
        <w:outlineLvl w:val="1"/>
        <w:rPr>
          <w:rFonts w:hint="eastAsia" w:ascii="仿宋_GB2312" w:hAnsi="宋体" w:eastAsia="仿宋_GB2312" w:cs="宋体"/>
          <w:kern w:val="0"/>
          <w:sz w:val="32"/>
          <w:szCs w:val="36"/>
          <w:lang w:val="en-US" w:eastAsia="zh-CN" w:bidi="ar-SA"/>
        </w:rPr>
      </w:pPr>
      <w:bookmarkStart w:id="45" w:name="_Toc30689"/>
      <w:bookmarkStart w:id="46" w:name="_Toc23567"/>
      <w:bookmarkStart w:id="47" w:name="_Toc26849"/>
      <w:bookmarkStart w:id="48" w:name="_Toc15961"/>
      <w:bookmarkStart w:id="49" w:name="_Toc3642"/>
      <w:r>
        <w:rPr>
          <w:rFonts w:hint="eastAsia" w:ascii="黑体" w:hAnsi="黑体" w:eastAsia="黑体" w:cs="宋体"/>
          <w:b w:val="0"/>
          <w:bCs/>
          <w:kern w:val="2"/>
          <w:sz w:val="32"/>
          <w:szCs w:val="32"/>
          <w:lang w:val="en-US" w:eastAsia="zh-CN" w:bidi="ar-SA"/>
        </w:rPr>
        <w:t>第九条【划界标准】</w:t>
      </w:r>
      <w:bookmarkEnd w:id="45"/>
      <w:bookmarkEnd w:id="46"/>
      <w:bookmarkEnd w:id="47"/>
      <w:bookmarkEnd w:id="48"/>
      <w:bookmarkEnd w:id="49"/>
      <w:r>
        <w:rPr>
          <w:rFonts w:hint="eastAsia" w:ascii="仿宋_GB2312" w:hAnsi="宋体" w:eastAsia="仿宋_GB2312" w:cs="宋体"/>
          <w:kern w:val="0"/>
          <w:sz w:val="32"/>
          <w:szCs w:val="36"/>
          <w:lang w:val="en-US" w:eastAsia="zh-CN" w:bidi="ar-SA"/>
        </w:rPr>
        <w:t>水库应当按照以下标准并结合实际情况划定管理范围和保护范围：</w:t>
      </w:r>
    </w:p>
    <w:p>
      <w:pPr>
        <w:pageBreakBefore w:val="0"/>
        <w:kinsoku/>
        <w:wordWrap/>
        <w:overflowPunct/>
        <w:topLinePunct w:val="0"/>
        <w:autoSpaceDN/>
        <w:bidi w:val="0"/>
        <w:adjustRightInd/>
        <w:snapToGrid/>
        <w:spacing w:line="578" w:lineRule="exact"/>
        <w:ind w:firstLine="640" w:firstLineChars="200"/>
        <w:textAlignment w:val="auto"/>
        <w:rPr>
          <w:rFonts w:hint="eastAsia" w:ascii="仿宋_GB2312" w:hAnsi="宋体" w:eastAsia="仿宋_GB2312" w:cs="宋体"/>
          <w:kern w:val="0"/>
          <w:sz w:val="32"/>
          <w:szCs w:val="36"/>
          <w:lang w:val="en-US" w:eastAsia="zh-CN" w:bidi="ar-SA"/>
        </w:rPr>
      </w:pPr>
      <w:r>
        <w:rPr>
          <w:rFonts w:hint="eastAsia" w:ascii="仿宋_GB2312" w:hAnsi="宋体" w:eastAsia="仿宋_GB2312" w:cs="宋体"/>
          <w:kern w:val="0"/>
          <w:sz w:val="32"/>
          <w:szCs w:val="36"/>
          <w:lang w:val="en-US" w:eastAsia="zh-CN" w:bidi="ar-SA"/>
        </w:rPr>
        <w:t>（一）管理范围。</w:t>
      </w:r>
    </w:p>
    <w:p>
      <w:pPr>
        <w:pageBreakBefore w:val="0"/>
        <w:kinsoku/>
        <w:wordWrap/>
        <w:overflowPunct/>
        <w:topLinePunct w:val="0"/>
        <w:autoSpaceDN/>
        <w:bidi w:val="0"/>
        <w:adjustRightInd/>
        <w:snapToGrid/>
        <w:spacing w:line="578" w:lineRule="exact"/>
        <w:ind w:firstLine="640" w:firstLineChars="200"/>
        <w:textAlignment w:val="auto"/>
        <w:rPr>
          <w:rFonts w:hint="eastAsia" w:ascii="仿宋_GB2312" w:hAnsi="宋体" w:eastAsia="仿宋_GB2312" w:cs="宋体"/>
          <w:kern w:val="0"/>
          <w:sz w:val="32"/>
          <w:szCs w:val="36"/>
          <w:lang w:val="en-US" w:eastAsia="zh-CN" w:bidi="ar-SA"/>
        </w:rPr>
      </w:pPr>
      <w:r>
        <w:rPr>
          <w:rFonts w:hint="eastAsia" w:ascii="仿宋_GB2312" w:hAnsi="宋体" w:eastAsia="仿宋_GB2312" w:cs="宋体"/>
          <w:kern w:val="0"/>
          <w:sz w:val="32"/>
          <w:szCs w:val="36"/>
          <w:lang w:val="en-US" w:eastAsia="zh-CN" w:bidi="ar-SA"/>
        </w:rPr>
        <w:t>工程区：大型水库主、副坝下游坝脚线外200至300米，最小距离不少于200米；中型水库主、副坝下游坝脚线外100至200米，最小距离不少于100米；小型水库主、副坝下游坝脚线外50至100米，最小距离不少于50米。</w:t>
      </w:r>
    </w:p>
    <w:p>
      <w:pPr>
        <w:pageBreakBefore w:val="0"/>
        <w:kinsoku/>
        <w:wordWrap/>
        <w:overflowPunct/>
        <w:topLinePunct w:val="0"/>
        <w:autoSpaceDN/>
        <w:bidi w:val="0"/>
        <w:adjustRightInd/>
        <w:snapToGrid/>
        <w:spacing w:line="578" w:lineRule="exact"/>
        <w:ind w:firstLine="640" w:firstLineChars="200"/>
        <w:textAlignment w:val="auto"/>
        <w:rPr>
          <w:rFonts w:hint="eastAsia" w:ascii="仿宋_GB2312" w:hAnsi="宋体" w:eastAsia="仿宋_GB2312" w:cs="宋体"/>
          <w:kern w:val="0"/>
          <w:sz w:val="32"/>
          <w:szCs w:val="36"/>
          <w:lang w:val="en-US" w:eastAsia="zh-CN" w:bidi="ar-SA"/>
        </w:rPr>
      </w:pPr>
      <w:r>
        <w:rPr>
          <w:rFonts w:hint="eastAsia" w:ascii="仿宋_GB2312" w:hAnsi="宋体" w:eastAsia="仿宋_GB2312" w:cs="宋体"/>
          <w:kern w:val="0"/>
          <w:sz w:val="32"/>
          <w:szCs w:val="36"/>
          <w:lang w:val="en-US" w:eastAsia="zh-CN" w:bidi="ar-SA"/>
        </w:rPr>
        <w:t>库区：水库坝址上游坝顶高程线或者土地征用线以下的土地和水域。</w:t>
      </w:r>
    </w:p>
    <w:p>
      <w:pPr>
        <w:pageBreakBefore w:val="0"/>
        <w:kinsoku/>
        <w:wordWrap/>
        <w:overflowPunct/>
        <w:topLinePunct w:val="0"/>
        <w:autoSpaceDN/>
        <w:bidi w:val="0"/>
        <w:adjustRightInd/>
        <w:snapToGrid/>
        <w:spacing w:line="578" w:lineRule="exact"/>
        <w:ind w:firstLine="640" w:firstLineChars="200"/>
        <w:textAlignment w:val="auto"/>
        <w:rPr>
          <w:rFonts w:hint="eastAsia" w:ascii="仿宋_GB2312" w:hAnsi="宋体" w:eastAsia="仿宋_GB2312" w:cs="宋体"/>
          <w:kern w:val="0"/>
          <w:sz w:val="32"/>
          <w:szCs w:val="36"/>
          <w:lang w:val="en-US" w:eastAsia="zh-CN" w:bidi="ar-SA"/>
        </w:rPr>
      </w:pPr>
      <w:r>
        <w:rPr>
          <w:rFonts w:hint="eastAsia" w:ascii="仿宋_GB2312" w:hAnsi="宋体" w:eastAsia="仿宋_GB2312" w:cs="宋体"/>
          <w:kern w:val="0"/>
          <w:sz w:val="32"/>
          <w:szCs w:val="36"/>
          <w:lang w:val="en-US" w:eastAsia="zh-CN" w:bidi="ar-SA"/>
        </w:rPr>
        <w:t>水工建筑物范围：大型及重要中型水库建筑物边线外50至100米；中型及小型水库建筑物边线外30至50米；放水建筑物管理范围划定至所连接河道的管理范围交界处。</w:t>
      </w:r>
    </w:p>
    <w:p>
      <w:pPr>
        <w:pageBreakBefore w:val="0"/>
        <w:kinsoku/>
        <w:wordWrap/>
        <w:overflowPunct/>
        <w:topLinePunct w:val="0"/>
        <w:autoSpaceDN/>
        <w:bidi w:val="0"/>
        <w:adjustRightInd/>
        <w:snapToGrid/>
        <w:spacing w:line="578" w:lineRule="exact"/>
        <w:ind w:firstLine="640" w:firstLineChars="200"/>
        <w:textAlignment w:val="auto"/>
        <w:rPr>
          <w:rFonts w:hint="eastAsia" w:ascii="仿宋_GB2312" w:hAnsi="宋体" w:eastAsia="仿宋_GB2312" w:cs="宋体"/>
          <w:kern w:val="0"/>
          <w:sz w:val="32"/>
          <w:szCs w:val="36"/>
          <w:lang w:val="en-US" w:eastAsia="zh-CN" w:bidi="ar-SA"/>
        </w:rPr>
      </w:pPr>
      <w:r>
        <w:rPr>
          <w:rFonts w:hint="eastAsia" w:ascii="仿宋_GB2312" w:hAnsi="宋体" w:eastAsia="仿宋_GB2312" w:cs="宋体"/>
          <w:kern w:val="0"/>
          <w:sz w:val="32"/>
          <w:szCs w:val="36"/>
          <w:lang w:val="en-US" w:eastAsia="zh-CN" w:bidi="ar-SA"/>
        </w:rPr>
        <w:t>（二）保护范围在管理范围外延划定。</w:t>
      </w:r>
    </w:p>
    <w:p>
      <w:pPr>
        <w:pageBreakBefore w:val="0"/>
        <w:kinsoku/>
        <w:wordWrap/>
        <w:overflowPunct/>
        <w:topLinePunct w:val="0"/>
        <w:autoSpaceDN/>
        <w:bidi w:val="0"/>
        <w:adjustRightInd/>
        <w:snapToGrid/>
        <w:spacing w:line="578" w:lineRule="exact"/>
        <w:ind w:firstLine="640" w:firstLineChars="200"/>
        <w:textAlignment w:val="auto"/>
        <w:rPr>
          <w:rFonts w:hint="eastAsia" w:ascii="仿宋_GB2312" w:hAnsi="宋体" w:eastAsia="仿宋_GB2312" w:cs="宋体"/>
          <w:kern w:val="0"/>
          <w:sz w:val="32"/>
          <w:szCs w:val="36"/>
          <w:lang w:val="en-US" w:eastAsia="zh-CN" w:bidi="ar-SA"/>
        </w:rPr>
      </w:pPr>
      <w:r>
        <w:rPr>
          <w:rFonts w:hint="eastAsia" w:ascii="仿宋_GB2312" w:hAnsi="宋体" w:eastAsia="仿宋_GB2312" w:cs="宋体"/>
          <w:kern w:val="0"/>
          <w:sz w:val="32"/>
          <w:szCs w:val="36"/>
          <w:lang w:val="en-US" w:eastAsia="zh-CN" w:bidi="ar-SA"/>
        </w:rPr>
        <w:t>工程区：不少于200米。</w:t>
      </w:r>
    </w:p>
    <w:p>
      <w:pPr>
        <w:pageBreakBefore w:val="0"/>
        <w:kinsoku/>
        <w:wordWrap/>
        <w:overflowPunct/>
        <w:topLinePunct w:val="0"/>
        <w:autoSpaceDN/>
        <w:bidi w:val="0"/>
        <w:adjustRightInd/>
        <w:snapToGrid/>
        <w:spacing w:line="578" w:lineRule="exact"/>
        <w:ind w:firstLine="640" w:firstLineChars="200"/>
        <w:textAlignment w:val="auto"/>
        <w:rPr>
          <w:rFonts w:hint="eastAsia" w:ascii="仿宋_GB2312" w:hAnsi="宋体" w:eastAsia="仿宋_GB2312" w:cs="宋体"/>
          <w:kern w:val="0"/>
          <w:sz w:val="32"/>
          <w:szCs w:val="36"/>
          <w:lang w:val="en-US" w:eastAsia="zh-CN" w:bidi="ar-SA"/>
        </w:rPr>
      </w:pPr>
      <w:r>
        <w:rPr>
          <w:rFonts w:hint="eastAsia" w:ascii="仿宋_GB2312" w:hAnsi="宋体" w:eastAsia="仿宋_GB2312" w:cs="宋体"/>
          <w:kern w:val="0"/>
          <w:sz w:val="32"/>
          <w:szCs w:val="36"/>
          <w:lang w:val="en-US" w:eastAsia="zh-CN" w:bidi="ar-SA"/>
        </w:rPr>
        <w:t>库区：水库坝址上游坝顶高程线或者土地征用线以上至第一道分水岭之间的土地。</w:t>
      </w:r>
    </w:p>
    <w:p>
      <w:pPr>
        <w:pageBreakBefore w:val="0"/>
        <w:kinsoku/>
        <w:wordWrap/>
        <w:overflowPunct/>
        <w:topLinePunct w:val="0"/>
        <w:autoSpaceDN/>
        <w:bidi w:val="0"/>
        <w:adjustRightInd/>
        <w:snapToGrid/>
        <w:spacing w:line="578" w:lineRule="exact"/>
        <w:ind w:firstLine="640" w:firstLineChars="200"/>
        <w:textAlignment w:val="auto"/>
        <w:rPr>
          <w:rFonts w:hint="eastAsia" w:ascii="仿宋_GB2312" w:hAnsi="宋体" w:eastAsia="仿宋_GB2312" w:cs="宋体"/>
          <w:kern w:val="0"/>
          <w:sz w:val="32"/>
          <w:szCs w:val="36"/>
          <w:lang w:val="en-US" w:eastAsia="zh-CN" w:bidi="ar-SA"/>
        </w:rPr>
      </w:pPr>
      <w:r>
        <w:rPr>
          <w:rFonts w:hint="eastAsia" w:ascii="仿宋_GB2312" w:hAnsi="宋体" w:eastAsia="仿宋_GB2312" w:cs="宋体"/>
          <w:kern w:val="0"/>
          <w:sz w:val="32"/>
          <w:szCs w:val="36"/>
          <w:lang w:val="en-US" w:eastAsia="zh-CN" w:bidi="ar-SA"/>
        </w:rPr>
        <w:t>水工建筑物范围：不少于50米。</w:t>
      </w:r>
    </w:p>
    <w:p>
      <w:pPr>
        <w:keepNext w:val="0"/>
        <w:keepLines w:val="0"/>
        <w:pageBreakBefore w:val="0"/>
        <w:widowControl w:val="0"/>
        <w:tabs>
          <w:tab w:val="left" w:pos="0"/>
        </w:tabs>
        <w:kinsoku/>
        <w:wordWrap/>
        <w:overflowPunct/>
        <w:topLinePunct w:val="0"/>
        <w:autoSpaceDN/>
        <w:bidi w:val="0"/>
        <w:adjustRightInd/>
        <w:snapToGrid/>
        <w:spacing w:before="0" w:beforeLines="0" w:after="0" w:afterLines="0" w:line="578" w:lineRule="exact"/>
        <w:ind w:firstLine="640" w:firstLineChars="200"/>
        <w:jc w:val="both"/>
        <w:textAlignment w:val="auto"/>
        <w:outlineLvl w:val="1"/>
        <w:rPr>
          <w:rFonts w:hint="eastAsia" w:ascii="仿宋_GB2312" w:hAnsi="宋体" w:eastAsia="仿宋_GB2312" w:cs="宋体"/>
          <w:kern w:val="0"/>
          <w:sz w:val="32"/>
          <w:szCs w:val="36"/>
          <w:lang w:val="en-US" w:eastAsia="zh-CN" w:bidi="ar-SA"/>
        </w:rPr>
      </w:pPr>
      <w:bookmarkStart w:id="50" w:name="_Toc20977"/>
      <w:bookmarkStart w:id="51" w:name="_Toc28642"/>
      <w:bookmarkStart w:id="52" w:name="_Toc4461"/>
      <w:bookmarkStart w:id="53" w:name="_Toc10439"/>
      <w:bookmarkStart w:id="54" w:name="_Toc26387"/>
      <w:r>
        <w:rPr>
          <w:rFonts w:hint="eastAsia" w:ascii="黑体" w:hAnsi="黑体" w:eastAsia="黑体" w:cs="宋体"/>
          <w:sz w:val="32"/>
          <w:szCs w:val="32"/>
        </w:rPr>
        <w:t>第十条【划界程序】</w:t>
      </w:r>
      <w:bookmarkEnd w:id="50"/>
      <w:bookmarkEnd w:id="51"/>
      <w:bookmarkEnd w:id="52"/>
      <w:bookmarkEnd w:id="53"/>
      <w:bookmarkEnd w:id="54"/>
      <w:r>
        <w:rPr>
          <w:rFonts w:hint="eastAsia" w:ascii="仿宋_GB2312" w:hAnsi="宋体" w:eastAsia="仿宋_GB2312" w:cs="宋体"/>
          <w:kern w:val="0"/>
          <w:sz w:val="32"/>
          <w:szCs w:val="36"/>
          <w:lang w:val="en-US" w:eastAsia="zh-CN" w:bidi="ar-SA"/>
        </w:rPr>
        <w:t>市水行政主管部门会同市规划和自然资源主管部门依据前款规定划定水库的管理范围和保护范围，报市人民政府批准，并向社会公布。</w:t>
      </w:r>
    </w:p>
    <w:p>
      <w:pPr>
        <w:keepNext w:val="0"/>
        <w:keepLines w:val="0"/>
        <w:pageBreakBefore w:val="0"/>
        <w:widowControl w:val="0"/>
        <w:tabs>
          <w:tab w:val="left" w:pos="0"/>
        </w:tabs>
        <w:kinsoku/>
        <w:wordWrap/>
        <w:overflowPunct/>
        <w:topLinePunct w:val="0"/>
        <w:autoSpaceDN/>
        <w:bidi w:val="0"/>
        <w:adjustRightInd/>
        <w:snapToGrid/>
        <w:spacing w:before="0" w:beforeLines="0" w:after="0" w:afterLines="0" w:line="578" w:lineRule="exact"/>
        <w:ind w:firstLine="640" w:firstLineChars="200"/>
        <w:jc w:val="both"/>
        <w:textAlignment w:val="auto"/>
        <w:outlineLvl w:val="1"/>
        <w:rPr>
          <w:rFonts w:hint="eastAsia" w:ascii="仿宋_GB2312" w:hAnsi="宋体" w:eastAsia="仿宋_GB2312" w:cs="宋体"/>
          <w:kern w:val="0"/>
          <w:sz w:val="32"/>
          <w:szCs w:val="36"/>
          <w:lang w:val="en-US" w:eastAsia="zh-CN" w:bidi="ar-SA"/>
        </w:rPr>
      </w:pPr>
      <w:r>
        <w:rPr>
          <w:rFonts w:hint="eastAsia" w:ascii="仿宋_GB2312" w:hAnsi="宋体" w:eastAsia="仿宋_GB2312" w:cs="宋体"/>
          <w:kern w:val="0"/>
          <w:sz w:val="32"/>
          <w:szCs w:val="36"/>
          <w:lang w:val="en-US" w:eastAsia="zh-CN" w:bidi="ar-SA"/>
        </w:rPr>
        <w:t>已划定的水库管理范围或者保护范围需调整的，由其水行政主管部门提出申请和论证，由市水行政主管部门会同市规划和自然资源主管部门审核，报市人民政府批准和发布。</w:t>
      </w:r>
    </w:p>
    <w:p>
      <w:pPr>
        <w:keepNext w:val="0"/>
        <w:keepLines w:val="0"/>
        <w:pageBreakBefore w:val="0"/>
        <w:widowControl w:val="0"/>
        <w:tabs>
          <w:tab w:val="left" w:pos="0"/>
        </w:tabs>
        <w:kinsoku/>
        <w:wordWrap/>
        <w:overflowPunct/>
        <w:topLinePunct w:val="0"/>
        <w:autoSpaceDN/>
        <w:bidi w:val="0"/>
        <w:adjustRightInd/>
        <w:snapToGrid/>
        <w:spacing w:before="0" w:beforeLines="0" w:after="0" w:afterLines="0" w:line="578" w:lineRule="exact"/>
        <w:ind w:firstLine="640" w:firstLineChars="200"/>
        <w:jc w:val="both"/>
        <w:textAlignment w:val="auto"/>
        <w:outlineLvl w:val="1"/>
        <w:rPr>
          <w:rFonts w:hint="eastAsia" w:ascii="仿宋_GB2312" w:hAnsi="宋体" w:eastAsia="仿宋_GB2312" w:cs="宋体"/>
          <w:kern w:val="0"/>
          <w:sz w:val="32"/>
          <w:szCs w:val="36"/>
          <w:lang w:val="en-US" w:eastAsia="zh-CN" w:bidi="ar-SA"/>
        </w:rPr>
      </w:pPr>
      <w:r>
        <w:rPr>
          <w:rFonts w:hint="eastAsia" w:ascii="仿宋_GB2312" w:hAnsi="宋体" w:eastAsia="仿宋_GB2312" w:cs="宋体"/>
          <w:kern w:val="0"/>
          <w:sz w:val="32"/>
          <w:szCs w:val="36"/>
          <w:lang w:val="en-US" w:eastAsia="zh-CN" w:bidi="ar-SA"/>
        </w:rPr>
        <w:t>水库管理单位应当在水库管理范围和保护范围的边界埋设永久界桩或者标识，任何单位和个人不得擅自损坏、拆除、覆盖、移动、涂改界桩或者标识。</w:t>
      </w:r>
    </w:p>
    <w:p>
      <w:pPr>
        <w:keepNext w:val="0"/>
        <w:keepLines w:val="0"/>
        <w:pageBreakBefore w:val="0"/>
        <w:widowControl w:val="0"/>
        <w:tabs>
          <w:tab w:val="left" w:pos="0"/>
        </w:tabs>
        <w:kinsoku/>
        <w:wordWrap/>
        <w:overflowPunct/>
        <w:topLinePunct w:val="0"/>
        <w:autoSpaceDN/>
        <w:bidi w:val="0"/>
        <w:adjustRightInd/>
        <w:snapToGrid/>
        <w:spacing w:before="0" w:beforeLines="0" w:after="0" w:afterLines="0" w:line="578" w:lineRule="exact"/>
        <w:ind w:firstLine="640" w:firstLineChars="200"/>
        <w:jc w:val="both"/>
        <w:textAlignment w:val="auto"/>
        <w:outlineLvl w:val="1"/>
        <w:rPr>
          <w:rFonts w:hint="eastAsia" w:ascii="仿宋_GB2312" w:hAnsi="宋体" w:eastAsia="仿宋_GB2312" w:cs="宋体"/>
          <w:kern w:val="0"/>
          <w:sz w:val="32"/>
          <w:szCs w:val="36"/>
          <w:lang w:val="en-US" w:eastAsia="zh-CN" w:bidi="ar-SA"/>
        </w:rPr>
      </w:pPr>
      <w:bookmarkStart w:id="55" w:name="_Toc23615"/>
      <w:bookmarkStart w:id="56" w:name="_Toc30664"/>
      <w:bookmarkStart w:id="57" w:name="_Toc2774"/>
      <w:bookmarkStart w:id="58" w:name="_Toc16743"/>
      <w:bookmarkStart w:id="59" w:name="_Toc2327"/>
      <w:r>
        <w:rPr>
          <w:rFonts w:hint="eastAsia" w:ascii="黑体" w:hAnsi="黑体" w:eastAsia="黑体" w:cs="宋体"/>
          <w:sz w:val="32"/>
          <w:szCs w:val="32"/>
        </w:rPr>
        <w:t>第十一条</w:t>
      </w:r>
      <w:r>
        <w:rPr>
          <w:rFonts w:hint="eastAsia" w:ascii="黑体" w:hAnsi="黑体" w:eastAsia="黑体" w:cs="宋体"/>
          <w:b/>
          <w:bCs/>
          <w:sz w:val="32"/>
          <w:szCs w:val="32"/>
        </w:rPr>
        <w:t>【水工建筑物及附属设施确权】</w:t>
      </w:r>
      <w:bookmarkEnd w:id="55"/>
      <w:bookmarkEnd w:id="56"/>
      <w:bookmarkEnd w:id="57"/>
      <w:bookmarkEnd w:id="58"/>
      <w:bookmarkEnd w:id="59"/>
      <w:r>
        <w:rPr>
          <w:rFonts w:hint="eastAsia" w:ascii="仿宋_GB2312" w:hAnsi="宋体" w:eastAsia="仿宋_GB2312" w:cs="宋体"/>
          <w:kern w:val="0"/>
          <w:sz w:val="32"/>
          <w:szCs w:val="36"/>
          <w:lang w:val="en-US" w:eastAsia="zh-CN" w:bidi="ar-SA"/>
        </w:rPr>
        <w:t>市、区人民政府积极推动水库工程产权制度建设，对管辖范围内符合不动产登记条件的水库相关水工建筑物及其配套附属设施组织实施不动产登记。</w:t>
      </w:r>
    </w:p>
    <w:p>
      <w:pPr>
        <w:keepNext w:val="0"/>
        <w:keepLines w:val="0"/>
        <w:pageBreakBefore w:val="0"/>
        <w:widowControl w:val="0"/>
        <w:tabs>
          <w:tab w:val="left" w:pos="0"/>
        </w:tabs>
        <w:kinsoku/>
        <w:wordWrap/>
        <w:overflowPunct/>
        <w:topLinePunct w:val="0"/>
        <w:autoSpaceDN/>
        <w:bidi w:val="0"/>
        <w:adjustRightInd/>
        <w:snapToGrid/>
        <w:spacing w:before="0" w:beforeLines="0" w:after="0" w:afterLines="0" w:line="578" w:lineRule="exact"/>
        <w:ind w:firstLine="640" w:firstLineChars="200"/>
        <w:jc w:val="both"/>
        <w:textAlignment w:val="auto"/>
        <w:outlineLvl w:val="1"/>
        <w:rPr>
          <w:rFonts w:hint="eastAsia" w:ascii="仿宋_GB2312" w:hAnsi="宋体" w:eastAsia="仿宋_GB2312" w:cs="宋体"/>
          <w:kern w:val="0"/>
          <w:sz w:val="32"/>
          <w:szCs w:val="36"/>
          <w:lang w:val="en-US" w:eastAsia="zh-CN" w:bidi="ar-SA"/>
        </w:rPr>
      </w:pPr>
      <w:r>
        <w:rPr>
          <w:rFonts w:hint="eastAsia" w:ascii="仿宋_GB2312" w:hAnsi="宋体" w:eastAsia="仿宋_GB2312" w:cs="宋体"/>
          <w:kern w:val="0"/>
          <w:sz w:val="32"/>
          <w:szCs w:val="36"/>
          <w:lang w:val="en-US" w:eastAsia="zh-CN" w:bidi="ar-SA"/>
        </w:rPr>
        <w:t>水行政主管部门会同规划与自然资源部门，按市、区管辖权限对水库相关水工建筑物及其配套附属设施的不动产登记条件进行核查。</w:t>
      </w:r>
    </w:p>
    <w:p>
      <w:pPr>
        <w:keepNext w:val="0"/>
        <w:keepLines w:val="0"/>
        <w:pageBreakBefore w:val="0"/>
        <w:widowControl w:val="0"/>
        <w:tabs>
          <w:tab w:val="left" w:pos="0"/>
        </w:tabs>
        <w:kinsoku/>
        <w:wordWrap/>
        <w:overflowPunct/>
        <w:topLinePunct w:val="0"/>
        <w:autoSpaceDN/>
        <w:bidi w:val="0"/>
        <w:adjustRightInd/>
        <w:snapToGrid/>
        <w:spacing w:before="0" w:beforeLines="0" w:after="0" w:afterLines="0" w:line="578" w:lineRule="exact"/>
        <w:ind w:firstLine="640" w:firstLineChars="200"/>
        <w:jc w:val="both"/>
        <w:textAlignment w:val="auto"/>
        <w:outlineLvl w:val="1"/>
        <w:rPr>
          <w:rFonts w:hint="eastAsia" w:ascii="仿宋_GB2312" w:hAnsi="宋体" w:eastAsia="仿宋_GB2312" w:cs="宋体"/>
          <w:kern w:val="0"/>
          <w:sz w:val="32"/>
          <w:szCs w:val="36"/>
          <w:lang w:val="en-US" w:eastAsia="zh-CN" w:bidi="ar-SA"/>
        </w:rPr>
      </w:pPr>
      <w:r>
        <w:rPr>
          <w:rFonts w:hint="eastAsia" w:ascii="仿宋_GB2312" w:hAnsi="宋体" w:eastAsia="仿宋_GB2312" w:cs="宋体"/>
          <w:kern w:val="0"/>
          <w:sz w:val="32"/>
          <w:szCs w:val="36"/>
          <w:lang w:val="en-US" w:eastAsia="zh-CN" w:bidi="ar-SA"/>
        </w:rPr>
        <w:t>符合不动产登记条件的，其水行政主管部门指导相应业主单位向不动产登记机构提出申请，不动产登记机构按规定程序予以登记发证；暂不符合不动产登记条件，经过相关程序可以补足的，相应水库管理单位补足相关手续后，其水行政主管部门指导相应业主单位向不动产登记机构提出申请，不动产登记机构按规定程序予以登记发证；确不符合不动产登记条件的，不予登记。</w:t>
      </w:r>
    </w:p>
    <w:p>
      <w:pPr>
        <w:keepNext w:val="0"/>
        <w:keepLines w:val="0"/>
        <w:pageBreakBefore w:val="0"/>
        <w:widowControl w:val="0"/>
        <w:tabs>
          <w:tab w:val="left" w:pos="0"/>
        </w:tabs>
        <w:kinsoku/>
        <w:wordWrap/>
        <w:overflowPunct/>
        <w:topLinePunct w:val="0"/>
        <w:autoSpaceDN/>
        <w:bidi w:val="0"/>
        <w:adjustRightInd/>
        <w:snapToGrid/>
        <w:spacing w:before="0" w:beforeLines="0" w:after="0" w:afterLines="0" w:line="578" w:lineRule="exact"/>
        <w:ind w:firstLine="640" w:firstLineChars="200"/>
        <w:jc w:val="both"/>
        <w:textAlignment w:val="auto"/>
        <w:outlineLvl w:val="1"/>
        <w:rPr>
          <w:rFonts w:hint="eastAsia" w:ascii="仿宋_GB2312" w:hAnsi="宋体" w:eastAsia="仿宋_GB2312" w:cs="宋体"/>
          <w:kern w:val="0"/>
          <w:sz w:val="32"/>
          <w:szCs w:val="36"/>
          <w:lang w:val="en-US" w:eastAsia="zh-CN" w:bidi="ar-SA"/>
        </w:rPr>
      </w:pPr>
      <w:bookmarkStart w:id="60" w:name="_Toc28661"/>
      <w:bookmarkStart w:id="61" w:name="_Toc4053"/>
      <w:bookmarkStart w:id="62" w:name="_Toc22349"/>
      <w:bookmarkStart w:id="63" w:name="_Toc2466"/>
      <w:r>
        <w:rPr>
          <w:rFonts w:hint="eastAsia" w:ascii="黑体" w:hAnsi="黑体" w:eastAsia="黑体" w:cs="宋体"/>
          <w:b w:val="0"/>
          <w:bCs/>
          <w:kern w:val="2"/>
          <w:sz w:val="32"/>
          <w:szCs w:val="32"/>
          <w:lang w:val="en-US" w:eastAsia="zh-CN" w:bidi="ar-SA"/>
        </w:rPr>
        <w:t>第十二条【管理范围用地确权】</w:t>
      </w:r>
      <w:bookmarkEnd w:id="60"/>
      <w:bookmarkEnd w:id="61"/>
      <w:bookmarkEnd w:id="62"/>
      <w:bookmarkEnd w:id="63"/>
      <w:r>
        <w:rPr>
          <w:rFonts w:hint="eastAsia" w:ascii="仿宋_GB2312" w:hAnsi="宋体" w:eastAsia="仿宋_GB2312" w:cs="宋体"/>
          <w:kern w:val="0"/>
          <w:sz w:val="32"/>
          <w:szCs w:val="36"/>
          <w:lang w:val="en-US" w:eastAsia="zh-CN" w:bidi="ar-SA"/>
        </w:rPr>
        <w:t>区人民政府对管辖范围内已划定管理范围的水库开展土地整备工作。有条件的，规划和自然资源主管部门应当对管理范围界线和权属清晰的水库确定土地使用权，颁发相应权证。</w:t>
      </w:r>
    </w:p>
    <w:p>
      <w:pPr>
        <w:keepNext w:val="0"/>
        <w:keepLines w:val="0"/>
        <w:pageBreakBefore w:val="0"/>
        <w:widowControl w:val="0"/>
        <w:tabs>
          <w:tab w:val="left" w:pos="0"/>
        </w:tabs>
        <w:kinsoku/>
        <w:wordWrap/>
        <w:overflowPunct/>
        <w:topLinePunct w:val="0"/>
        <w:autoSpaceDN/>
        <w:bidi w:val="0"/>
        <w:adjustRightInd/>
        <w:snapToGrid/>
        <w:spacing w:before="0" w:beforeLines="0" w:after="0" w:afterLines="0" w:line="578" w:lineRule="exact"/>
        <w:ind w:firstLine="640" w:firstLineChars="200"/>
        <w:jc w:val="both"/>
        <w:textAlignment w:val="auto"/>
        <w:outlineLvl w:val="1"/>
        <w:rPr>
          <w:rFonts w:hint="eastAsia" w:ascii="仿宋_GB2312" w:hAnsi="宋体" w:eastAsia="仿宋_GB2312" w:cs="宋体"/>
          <w:kern w:val="0"/>
          <w:sz w:val="32"/>
          <w:szCs w:val="36"/>
          <w:lang w:val="en-US" w:eastAsia="zh-CN" w:bidi="ar-SA"/>
        </w:rPr>
      </w:pPr>
      <w:bookmarkStart w:id="64" w:name="_Toc31077"/>
      <w:bookmarkStart w:id="65" w:name="_Toc8680"/>
      <w:bookmarkStart w:id="66" w:name="_Toc26803"/>
      <w:bookmarkStart w:id="67" w:name="_Toc7391"/>
      <w:bookmarkStart w:id="68" w:name="_Toc21655"/>
      <w:r>
        <w:rPr>
          <w:rFonts w:hint="eastAsia" w:ascii="仿宋_GB2312" w:hAnsi="宋体" w:eastAsia="仿宋_GB2312" w:cs="宋体"/>
          <w:kern w:val="0"/>
          <w:sz w:val="32"/>
          <w:szCs w:val="36"/>
          <w:lang w:val="en-US" w:eastAsia="zh-CN" w:bidi="ar-SA"/>
        </w:rPr>
        <w:t>第十三条【管理范围禁止性行为】</w:t>
      </w:r>
      <w:bookmarkEnd w:id="64"/>
      <w:bookmarkEnd w:id="65"/>
      <w:bookmarkEnd w:id="66"/>
      <w:bookmarkEnd w:id="67"/>
      <w:bookmarkEnd w:id="68"/>
      <w:r>
        <w:rPr>
          <w:rFonts w:hint="eastAsia" w:ascii="仿宋_GB2312" w:hAnsi="宋体" w:eastAsia="仿宋_GB2312" w:cs="宋体"/>
          <w:kern w:val="0"/>
          <w:sz w:val="32"/>
          <w:szCs w:val="36"/>
          <w:lang w:val="en-US" w:eastAsia="zh-CN" w:bidi="ar-SA"/>
        </w:rPr>
        <w:t>在水库管理范围内禁止下列行为：</w:t>
      </w:r>
    </w:p>
    <w:p>
      <w:pPr>
        <w:pageBreakBefore w:val="0"/>
        <w:kinsoku/>
        <w:wordWrap/>
        <w:overflowPunct/>
        <w:topLinePunct w:val="0"/>
        <w:autoSpaceDN/>
        <w:bidi w:val="0"/>
        <w:adjustRightInd/>
        <w:snapToGrid/>
        <w:spacing w:line="578" w:lineRule="exact"/>
        <w:ind w:firstLine="640" w:firstLineChars="200"/>
        <w:textAlignment w:val="auto"/>
        <w:rPr>
          <w:rFonts w:hint="eastAsia" w:ascii="仿宋_GB2312" w:hAnsi="宋体" w:eastAsia="仿宋_GB2312" w:cs="宋体"/>
          <w:kern w:val="0"/>
          <w:sz w:val="32"/>
          <w:szCs w:val="36"/>
          <w:lang w:val="en-US" w:eastAsia="zh-CN" w:bidi="ar-SA"/>
        </w:rPr>
      </w:pPr>
      <w:r>
        <w:rPr>
          <w:rFonts w:hint="eastAsia" w:ascii="仿宋_GB2312" w:hAnsi="宋体" w:eastAsia="仿宋_GB2312" w:cs="宋体"/>
          <w:kern w:val="0"/>
          <w:sz w:val="32"/>
          <w:szCs w:val="36"/>
          <w:lang w:val="en-US" w:eastAsia="zh-CN" w:bidi="ar-SA"/>
        </w:rPr>
        <w:t>（一）兴建可能影响水库工程安全、正常运行、日常管理、抢险抢修和开发利用规划的建筑物或者其他设施；</w:t>
      </w:r>
    </w:p>
    <w:p>
      <w:pPr>
        <w:pageBreakBefore w:val="0"/>
        <w:kinsoku/>
        <w:wordWrap/>
        <w:overflowPunct/>
        <w:topLinePunct w:val="0"/>
        <w:autoSpaceDN/>
        <w:bidi w:val="0"/>
        <w:adjustRightInd/>
        <w:snapToGrid/>
        <w:spacing w:line="578" w:lineRule="exact"/>
        <w:ind w:firstLine="640" w:firstLineChars="200"/>
        <w:textAlignment w:val="auto"/>
        <w:rPr>
          <w:rFonts w:hint="eastAsia" w:ascii="仿宋_GB2312" w:hAnsi="宋体" w:eastAsia="仿宋_GB2312" w:cs="宋体"/>
          <w:kern w:val="0"/>
          <w:sz w:val="32"/>
          <w:szCs w:val="36"/>
          <w:lang w:val="en-US" w:eastAsia="zh-CN" w:bidi="ar-SA"/>
        </w:rPr>
      </w:pPr>
      <w:r>
        <w:rPr>
          <w:rFonts w:hint="eastAsia" w:ascii="仿宋_GB2312" w:hAnsi="宋体" w:eastAsia="仿宋_GB2312" w:cs="宋体"/>
          <w:kern w:val="0"/>
          <w:sz w:val="32"/>
          <w:szCs w:val="36"/>
          <w:lang w:val="en-US" w:eastAsia="zh-CN" w:bidi="ar-SA"/>
        </w:rPr>
        <w:t>（二）围库造地、增设排污口、经营性养殖、兴办禽畜养殖场等；</w:t>
      </w:r>
    </w:p>
    <w:p>
      <w:pPr>
        <w:pageBreakBefore w:val="0"/>
        <w:kinsoku/>
        <w:wordWrap/>
        <w:overflowPunct/>
        <w:topLinePunct w:val="0"/>
        <w:autoSpaceDN/>
        <w:bidi w:val="0"/>
        <w:adjustRightInd/>
        <w:snapToGrid/>
        <w:spacing w:line="578" w:lineRule="exact"/>
        <w:ind w:firstLine="640" w:firstLineChars="200"/>
        <w:textAlignment w:val="auto"/>
        <w:rPr>
          <w:rFonts w:hint="eastAsia" w:ascii="仿宋_GB2312" w:hAnsi="宋体" w:eastAsia="仿宋_GB2312" w:cs="宋体"/>
          <w:kern w:val="0"/>
          <w:sz w:val="32"/>
          <w:szCs w:val="36"/>
          <w:lang w:val="en-US" w:eastAsia="zh-CN" w:bidi="ar-SA"/>
        </w:rPr>
      </w:pPr>
      <w:r>
        <w:rPr>
          <w:rFonts w:hint="eastAsia" w:ascii="仿宋_GB2312" w:hAnsi="宋体" w:eastAsia="仿宋_GB2312" w:cs="宋体"/>
          <w:kern w:val="0"/>
          <w:sz w:val="32"/>
          <w:szCs w:val="36"/>
          <w:lang w:val="en-US" w:eastAsia="zh-CN" w:bidi="ar-SA"/>
        </w:rPr>
        <w:t>（三）洗涤、炸鱼、毒鱼、电鱼、向水体或者库区排放污水、废液，倾倒土、石、矿渣、垃圾和其他废弃物、污染物等行为；</w:t>
      </w:r>
    </w:p>
    <w:p>
      <w:pPr>
        <w:pageBreakBefore w:val="0"/>
        <w:kinsoku/>
        <w:wordWrap/>
        <w:overflowPunct/>
        <w:topLinePunct w:val="0"/>
        <w:autoSpaceDN/>
        <w:bidi w:val="0"/>
        <w:adjustRightInd/>
        <w:snapToGrid/>
        <w:spacing w:line="578" w:lineRule="exact"/>
        <w:ind w:firstLine="640" w:firstLineChars="200"/>
        <w:textAlignment w:val="auto"/>
        <w:rPr>
          <w:rFonts w:hint="eastAsia" w:ascii="仿宋_GB2312" w:hAnsi="宋体" w:eastAsia="仿宋_GB2312" w:cs="宋体"/>
          <w:kern w:val="0"/>
          <w:sz w:val="32"/>
          <w:szCs w:val="36"/>
          <w:lang w:val="en-US" w:eastAsia="zh-CN" w:bidi="ar-SA"/>
        </w:rPr>
      </w:pPr>
      <w:r>
        <w:rPr>
          <w:rFonts w:hint="eastAsia" w:ascii="仿宋_GB2312" w:hAnsi="宋体" w:eastAsia="仿宋_GB2312" w:cs="宋体"/>
          <w:kern w:val="0"/>
          <w:sz w:val="32"/>
          <w:szCs w:val="36"/>
          <w:lang w:val="en-US" w:eastAsia="zh-CN" w:bidi="ar-SA"/>
        </w:rPr>
        <w:t>（四）爆破、打井、采石、取土、挖矿、葬坟以及在输水渠道或者管道上掘口、阻水、挖洞等危害工程安全的活动；</w:t>
      </w:r>
    </w:p>
    <w:p>
      <w:pPr>
        <w:pageBreakBefore w:val="0"/>
        <w:kinsoku/>
        <w:wordWrap/>
        <w:overflowPunct/>
        <w:topLinePunct w:val="0"/>
        <w:autoSpaceDN/>
        <w:bidi w:val="0"/>
        <w:adjustRightInd/>
        <w:snapToGrid/>
        <w:spacing w:line="578" w:lineRule="exact"/>
        <w:ind w:firstLine="640" w:firstLineChars="200"/>
        <w:textAlignment w:val="auto"/>
        <w:rPr>
          <w:rFonts w:hint="eastAsia" w:ascii="仿宋_GB2312" w:hAnsi="宋体" w:eastAsia="仿宋_GB2312" w:cs="宋体"/>
          <w:kern w:val="0"/>
          <w:sz w:val="32"/>
          <w:szCs w:val="36"/>
          <w:lang w:val="en-US" w:eastAsia="zh-CN" w:bidi="ar-SA"/>
        </w:rPr>
      </w:pPr>
      <w:r>
        <w:rPr>
          <w:rFonts w:hint="eastAsia" w:ascii="仿宋_GB2312" w:hAnsi="宋体" w:eastAsia="仿宋_GB2312" w:cs="宋体"/>
          <w:kern w:val="0"/>
          <w:sz w:val="32"/>
          <w:szCs w:val="36"/>
          <w:lang w:val="en-US" w:eastAsia="zh-CN" w:bidi="ar-SA"/>
        </w:rPr>
        <w:t>（五）在工程区打桩、盾构、挖洞、堆填等其他有碍水库工程安全运行的行为；</w:t>
      </w:r>
    </w:p>
    <w:p>
      <w:pPr>
        <w:pageBreakBefore w:val="0"/>
        <w:kinsoku/>
        <w:wordWrap/>
        <w:overflowPunct/>
        <w:topLinePunct w:val="0"/>
        <w:autoSpaceDN/>
        <w:bidi w:val="0"/>
        <w:adjustRightInd/>
        <w:snapToGrid/>
        <w:spacing w:line="578" w:lineRule="exact"/>
        <w:ind w:firstLine="640" w:firstLineChars="200"/>
        <w:textAlignment w:val="auto"/>
        <w:rPr>
          <w:rFonts w:hint="eastAsia" w:ascii="仿宋_GB2312" w:hAnsi="宋体" w:eastAsia="仿宋_GB2312" w:cs="宋体"/>
          <w:kern w:val="0"/>
          <w:sz w:val="32"/>
          <w:szCs w:val="36"/>
          <w:lang w:val="en-US" w:eastAsia="zh-CN" w:bidi="ar-SA"/>
        </w:rPr>
      </w:pPr>
      <w:r>
        <w:rPr>
          <w:rFonts w:hint="eastAsia" w:ascii="仿宋_GB2312" w:hAnsi="宋体" w:eastAsia="仿宋_GB2312" w:cs="宋体"/>
          <w:kern w:val="0"/>
          <w:sz w:val="32"/>
          <w:szCs w:val="36"/>
          <w:lang w:val="en-US" w:eastAsia="zh-CN" w:bidi="ar-SA"/>
        </w:rPr>
        <w:t>（六）损毁、破坏水库工程设施及其附属设施和设备；</w:t>
      </w:r>
    </w:p>
    <w:p>
      <w:pPr>
        <w:pageBreakBefore w:val="0"/>
        <w:kinsoku/>
        <w:wordWrap/>
        <w:overflowPunct/>
        <w:topLinePunct w:val="0"/>
        <w:autoSpaceDN/>
        <w:bidi w:val="0"/>
        <w:adjustRightInd/>
        <w:snapToGrid/>
        <w:spacing w:line="578" w:lineRule="exact"/>
        <w:ind w:firstLine="640" w:firstLineChars="200"/>
        <w:textAlignment w:val="auto"/>
        <w:rPr>
          <w:rFonts w:hint="eastAsia" w:ascii="仿宋_GB2312" w:hAnsi="宋体" w:eastAsia="仿宋_GB2312" w:cs="宋体"/>
          <w:kern w:val="0"/>
          <w:sz w:val="32"/>
          <w:szCs w:val="36"/>
          <w:lang w:val="en-US" w:eastAsia="zh-CN" w:bidi="ar-SA"/>
        </w:rPr>
      </w:pPr>
      <w:r>
        <w:rPr>
          <w:rFonts w:hint="eastAsia" w:ascii="仿宋_GB2312" w:hAnsi="宋体" w:eastAsia="仿宋_GB2312" w:cs="宋体"/>
          <w:kern w:val="0"/>
          <w:sz w:val="32"/>
          <w:szCs w:val="36"/>
          <w:lang w:val="en-US" w:eastAsia="zh-CN" w:bidi="ar-SA"/>
        </w:rPr>
        <w:t>（七）在坝顶行驶履带拖拉机、硬轮车及超重车辆，在没有路面的坝顶、堤顶雨后行驶机动车辆，未经批准在非用作市政道路的坝顶行驶和停放车辆；</w:t>
      </w:r>
    </w:p>
    <w:p>
      <w:pPr>
        <w:pageBreakBefore w:val="0"/>
        <w:kinsoku/>
        <w:wordWrap/>
        <w:overflowPunct/>
        <w:topLinePunct w:val="0"/>
        <w:autoSpaceDN/>
        <w:bidi w:val="0"/>
        <w:adjustRightInd/>
        <w:snapToGrid/>
        <w:spacing w:line="578" w:lineRule="exact"/>
        <w:ind w:firstLine="640" w:firstLineChars="200"/>
        <w:textAlignment w:val="auto"/>
        <w:rPr>
          <w:rFonts w:hint="eastAsia" w:ascii="仿宋_GB2312" w:hAnsi="宋体" w:eastAsia="仿宋_GB2312" w:cs="宋体"/>
          <w:kern w:val="0"/>
          <w:sz w:val="32"/>
          <w:szCs w:val="36"/>
          <w:lang w:val="en-US" w:eastAsia="zh-CN" w:bidi="ar-SA"/>
        </w:rPr>
      </w:pPr>
      <w:r>
        <w:rPr>
          <w:rFonts w:hint="eastAsia" w:ascii="仿宋_GB2312" w:hAnsi="宋体" w:eastAsia="仿宋_GB2312" w:cs="宋体"/>
          <w:kern w:val="0"/>
          <w:sz w:val="32"/>
          <w:szCs w:val="36"/>
          <w:lang w:val="en-US" w:eastAsia="zh-CN" w:bidi="ar-SA"/>
        </w:rPr>
        <w:t>（八）擅自放生、耕种等；</w:t>
      </w:r>
    </w:p>
    <w:p>
      <w:pPr>
        <w:pageBreakBefore w:val="0"/>
        <w:kinsoku/>
        <w:wordWrap/>
        <w:overflowPunct/>
        <w:topLinePunct w:val="0"/>
        <w:autoSpaceDN/>
        <w:bidi w:val="0"/>
        <w:adjustRightInd/>
        <w:snapToGrid/>
        <w:spacing w:line="578" w:lineRule="exact"/>
        <w:ind w:firstLine="640" w:firstLineChars="200"/>
        <w:textAlignment w:val="auto"/>
        <w:rPr>
          <w:rFonts w:hint="eastAsia" w:ascii="仿宋_GB2312" w:hAnsi="宋体" w:eastAsia="仿宋_GB2312" w:cs="宋体"/>
          <w:kern w:val="0"/>
          <w:sz w:val="32"/>
          <w:szCs w:val="36"/>
          <w:lang w:val="en-US" w:eastAsia="zh-CN" w:bidi="ar-SA"/>
        </w:rPr>
      </w:pPr>
      <w:r>
        <w:rPr>
          <w:rFonts w:hint="eastAsia" w:ascii="仿宋_GB2312" w:hAnsi="宋体" w:eastAsia="仿宋_GB2312" w:cs="宋体"/>
          <w:kern w:val="0"/>
          <w:sz w:val="32"/>
          <w:szCs w:val="36"/>
          <w:lang w:val="en-US" w:eastAsia="zh-CN" w:bidi="ar-SA"/>
        </w:rPr>
        <w:t>（九）擅自下水、游泳、露营、垂钓、网鱼等；</w:t>
      </w:r>
    </w:p>
    <w:p>
      <w:pPr>
        <w:pageBreakBefore w:val="0"/>
        <w:kinsoku/>
        <w:wordWrap/>
        <w:overflowPunct/>
        <w:topLinePunct w:val="0"/>
        <w:autoSpaceDN/>
        <w:bidi w:val="0"/>
        <w:adjustRightInd/>
        <w:snapToGrid/>
        <w:spacing w:line="578" w:lineRule="exact"/>
        <w:ind w:firstLine="640" w:firstLineChars="200"/>
        <w:textAlignment w:val="auto"/>
        <w:rPr>
          <w:rFonts w:hint="eastAsia" w:ascii="仿宋_GB2312" w:hAnsi="宋体" w:eastAsia="仿宋_GB2312" w:cs="宋体"/>
          <w:kern w:val="0"/>
          <w:sz w:val="32"/>
          <w:szCs w:val="36"/>
          <w:lang w:val="en-US" w:eastAsia="zh-CN" w:bidi="ar-SA"/>
        </w:rPr>
      </w:pPr>
      <w:r>
        <w:rPr>
          <w:rFonts w:hint="eastAsia" w:ascii="仿宋_GB2312" w:hAnsi="宋体" w:eastAsia="仿宋_GB2312" w:cs="宋体"/>
          <w:kern w:val="0"/>
          <w:sz w:val="32"/>
          <w:szCs w:val="36"/>
          <w:lang w:val="en-US" w:eastAsia="zh-CN" w:bidi="ar-SA"/>
        </w:rPr>
        <w:t>（十）未经批准的船只下水;</w:t>
      </w:r>
    </w:p>
    <w:p>
      <w:pPr>
        <w:pageBreakBefore w:val="0"/>
        <w:kinsoku/>
        <w:wordWrap/>
        <w:overflowPunct/>
        <w:topLinePunct w:val="0"/>
        <w:autoSpaceDN/>
        <w:bidi w:val="0"/>
        <w:adjustRightInd/>
        <w:snapToGrid/>
        <w:spacing w:line="578" w:lineRule="exact"/>
        <w:ind w:firstLine="640" w:firstLineChars="200"/>
        <w:textAlignment w:val="auto"/>
        <w:rPr>
          <w:rFonts w:hint="eastAsia" w:ascii="仿宋_GB2312" w:hAnsi="宋体" w:eastAsia="仿宋_GB2312" w:cs="宋体"/>
          <w:kern w:val="0"/>
          <w:sz w:val="32"/>
          <w:szCs w:val="36"/>
          <w:lang w:val="en-US" w:eastAsia="zh-CN" w:bidi="ar-SA"/>
        </w:rPr>
      </w:pPr>
      <w:r>
        <w:rPr>
          <w:rFonts w:hint="eastAsia" w:ascii="仿宋_GB2312" w:hAnsi="宋体" w:eastAsia="仿宋_GB2312" w:cs="宋体"/>
          <w:kern w:val="0"/>
          <w:sz w:val="32"/>
          <w:szCs w:val="36"/>
          <w:lang w:val="en-US" w:eastAsia="zh-CN" w:bidi="ar-SA"/>
        </w:rPr>
        <w:t>（十一）其他危及水库工程安全运行的行为。</w:t>
      </w:r>
    </w:p>
    <w:p>
      <w:pPr>
        <w:keepNext w:val="0"/>
        <w:keepLines w:val="0"/>
        <w:pageBreakBefore w:val="0"/>
        <w:widowControl w:val="0"/>
        <w:tabs>
          <w:tab w:val="left" w:pos="0"/>
        </w:tabs>
        <w:kinsoku/>
        <w:wordWrap/>
        <w:overflowPunct/>
        <w:topLinePunct w:val="0"/>
        <w:autoSpaceDN/>
        <w:bidi w:val="0"/>
        <w:adjustRightInd/>
        <w:snapToGrid/>
        <w:spacing w:before="0" w:beforeLines="0" w:after="0" w:afterLines="0" w:line="578" w:lineRule="exact"/>
        <w:ind w:firstLine="640" w:firstLineChars="200"/>
        <w:jc w:val="both"/>
        <w:textAlignment w:val="auto"/>
        <w:outlineLvl w:val="1"/>
        <w:rPr>
          <w:rFonts w:ascii="Times New Roman" w:hAnsi="Times New Roman" w:eastAsia="宋体" w:cs="Times New Roman"/>
          <w:b/>
          <w:kern w:val="2"/>
          <w:sz w:val="32"/>
          <w:szCs w:val="24"/>
          <w:lang w:val="en-US" w:eastAsia="zh-CN" w:bidi="ar-SA"/>
        </w:rPr>
      </w:pPr>
      <w:bookmarkStart w:id="69" w:name="_Toc10873"/>
      <w:bookmarkStart w:id="70" w:name="_Toc7750"/>
      <w:bookmarkStart w:id="71" w:name="_Toc17498"/>
      <w:bookmarkStart w:id="72" w:name="_Toc23080"/>
      <w:bookmarkStart w:id="73" w:name="_Toc2086"/>
      <w:r>
        <w:rPr>
          <w:rFonts w:hint="eastAsia" w:ascii="黑体" w:hAnsi="黑体" w:eastAsia="黑体" w:cs="宋体"/>
          <w:b w:val="0"/>
          <w:bCs/>
          <w:kern w:val="2"/>
          <w:sz w:val="32"/>
          <w:szCs w:val="32"/>
          <w:lang w:val="en-US" w:eastAsia="zh-CN" w:bidi="ar-SA"/>
        </w:rPr>
        <w:t>第十四条【取消供水功能的水库管理要求】</w:t>
      </w:r>
      <w:bookmarkEnd w:id="69"/>
      <w:bookmarkEnd w:id="70"/>
      <w:bookmarkEnd w:id="71"/>
      <w:bookmarkEnd w:id="72"/>
      <w:bookmarkEnd w:id="73"/>
      <w:r>
        <w:rPr>
          <w:rFonts w:hint="eastAsia" w:ascii="仿宋_GB2312" w:hAnsi="宋体" w:eastAsia="仿宋_GB2312" w:cs="宋体"/>
          <w:kern w:val="0"/>
          <w:sz w:val="32"/>
          <w:szCs w:val="36"/>
          <w:lang w:val="en-US" w:eastAsia="zh-CN" w:bidi="ar-SA"/>
        </w:rPr>
        <w:t>饮用水源水库取消供水功能后，水库水质标准不得下降，水面面积不得缩减，水库管理强度不得减弱，禁止在其水域进行经营性开发建设。</w:t>
      </w:r>
    </w:p>
    <w:p>
      <w:pPr>
        <w:keepNext w:val="0"/>
        <w:keepLines w:val="0"/>
        <w:pageBreakBefore w:val="0"/>
        <w:widowControl w:val="0"/>
        <w:tabs>
          <w:tab w:val="left" w:pos="0"/>
        </w:tabs>
        <w:kinsoku/>
        <w:wordWrap/>
        <w:overflowPunct/>
        <w:topLinePunct w:val="0"/>
        <w:autoSpaceDN/>
        <w:bidi w:val="0"/>
        <w:adjustRightInd/>
        <w:snapToGrid/>
        <w:spacing w:before="0" w:beforeLines="0" w:after="0" w:afterLines="0" w:line="578" w:lineRule="exact"/>
        <w:ind w:firstLine="640" w:firstLineChars="200"/>
        <w:jc w:val="both"/>
        <w:textAlignment w:val="auto"/>
        <w:outlineLvl w:val="1"/>
        <w:rPr>
          <w:rFonts w:ascii="仿宋_GB2312" w:hAnsi="宋体" w:eastAsia="仿宋_GB2312" w:cs="宋体"/>
          <w:kern w:val="0"/>
          <w:sz w:val="32"/>
          <w:szCs w:val="36"/>
          <w:lang w:val="en-US" w:eastAsia="zh-CN" w:bidi="ar-SA"/>
        </w:rPr>
      </w:pPr>
      <w:bookmarkStart w:id="74" w:name="_Toc20249"/>
      <w:bookmarkStart w:id="75" w:name="_Toc21687"/>
      <w:bookmarkStart w:id="76" w:name="_Toc15246"/>
      <w:bookmarkStart w:id="77" w:name="_Toc29286"/>
      <w:bookmarkStart w:id="78" w:name="_Toc12726"/>
      <w:r>
        <w:rPr>
          <w:rFonts w:hint="eastAsia" w:ascii="黑体" w:hAnsi="黑体" w:eastAsia="黑体" w:cs="宋体"/>
          <w:b w:val="0"/>
          <w:bCs/>
          <w:kern w:val="2"/>
          <w:sz w:val="32"/>
          <w:szCs w:val="32"/>
          <w:lang w:val="en-US" w:eastAsia="zh-CN" w:bidi="ar-SA"/>
        </w:rPr>
        <w:t>第十五条【水质保护要求】</w:t>
      </w:r>
      <w:bookmarkEnd w:id="74"/>
      <w:bookmarkEnd w:id="75"/>
      <w:bookmarkEnd w:id="76"/>
      <w:bookmarkEnd w:id="77"/>
      <w:bookmarkEnd w:id="78"/>
      <w:r>
        <w:rPr>
          <w:rFonts w:hint="eastAsia" w:ascii="仿宋_GB2312" w:hAnsi="宋体" w:eastAsia="仿宋_GB2312" w:cs="宋体"/>
          <w:kern w:val="0"/>
          <w:sz w:val="32"/>
          <w:szCs w:val="36"/>
          <w:lang w:val="en-US" w:eastAsia="zh-CN" w:bidi="ar-SA"/>
        </w:rPr>
        <w:t>市、区人民政府应当采取措施，减少生产、生活污水对水库的污染，对入库支流进行综合治理，实施生态恢复，确保水环境质量满足相关水功能区确定的水质保护目标。</w:t>
      </w:r>
    </w:p>
    <w:p>
      <w:pPr>
        <w:pageBreakBefore w:val="0"/>
        <w:kinsoku/>
        <w:wordWrap/>
        <w:overflowPunct/>
        <w:topLinePunct w:val="0"/>
        <w:autoSpaceDN/>
        <w:bidi w:val="0"/>
        <w:adjustRightInd/>
        <w:snapToGrid/>
        <w:spacing w:line="578" w:lineRule="exact"/>
        <w:ind w:firstLine="640" w:firstLineChars="200"/>
        <w:textAlignment w:val="auto"/>
        <w:rPr>
          <w:rFonts w:ascii="仿宋_GB2312" w:hAnsi="宋体" w:eastAsia="仿宋_GB2312" w:cs="宋体"/>
          <w:kern w:val="0"/>
          <w:sz w:val="32"/>
          <w:szCs w:val="36"/>
          <w:lang w:val="en-US" w:eastAsia="zh-CN" w:bidi="ar-SA"/>
        </w:rPr>
      </w:pPr>
      <w:r>
        <w:rPr>
          <w:rFonts w:hint="eastAsia" w:ascii="仿宋_GB2312" w:hAnsi="宋体" w:eastAsia="仿宋_GB2312" w:cs="宋体"/>
          <w:kern w:val="0"/>
          <w:sz w:val="32"/>
          <w:szCs w:val="36"/>
          <w:lang w:val="en-US" w:eastAsia="zh-CN" w:bidi="ar-SA"/>
        </w:rPr>
        <w:t>已划定饮用水源保护区的水库除执行本办法外，应当按照饮用水源管理保护相关法律法规进行管理。</w:t>
      </w:r>
    </w:p>
    <w:p>
      <w:pPr>
        <w:keepNext w:val="0"/>
        <w:keepLines w:val="0"/>
        <w:pageBreakBefore w:val="0"/>
        <w:widowControl w:val="0"/>
        <w:tabs>
          <w:tab w:val="left" w:pos="0"/>
        </w:tabs>
        <w:kinsoku/>
        <w:wordWrap/>
        <w:overflowPunct/>
        <w:topLinePunct w:val="0"/>
        <w:autoSpaceDN/>
        <w:bidi w:val="0"/>
        <w:adjustRightInd/>
        <w:snapToGrid/>
        <w:spacing w:before="0" w:beforeLines="0" w:after="0" w:afterLines="0" w:line="578" w:lineRule="exact"/>
        <w:ind w:firstLine="640" w:firstLineChars="200"/>
        <w:jc w:val="both"/>
        <w:textAlignment w:val="auto"/>
        <w:outlineLvl w:val="1"/>
        <w:rPr>
          <w:rFonts w:ascii="仿宋_GB2312" w:hAnsi="宋体" w:eastAsia="仿宋_GB2312" w:cs="宋体"/>
          <w:kern w:val="0"/>
          <w:sz w:val="32"/>
          <w:szCs w:val="36"/>
          <w:lang w:val="en-US" w:eastAsia="zh-CN" w:bidi="ar-SA"/>
        </w:rPr>
      </w:pPr>
      <w:bookmarkStart w:id="79" w:name="_Toc24899"/>
      <w:bookmarkStart w:id="80" w:name="_Toc31985"/>
      <w:bookmarkStart w:id="81" w:name="_Toc4460"/>
      <w:bookmarkStart w:id="82" w:name="_Toc2848"/>
      <w:bookmarkStart w:id="83" w:name="_Toc16953"/>
      <w:r>
        <w:rPr>
          <w:rFonts w:hint="eastAsia" w:ascii="黑体" w:hAnsi="黑体" w:eastAsia="黑体" w:cs="宋体"/>
          <w:b w:val="0"/>
          <w:bCs/>
          <w:kern w:val="2"/>
          <w:sz w:val="32"/>
          <w:szCs w:val="32"/>
          <w:lang w:val="en-US" w:eastAsia="zh-CN" w:bidi="ar-SA"/>
        </w:rPr>
        <w:t>第十六条【交叉范围线管理】</w:t>
      </w:r>
      <w:bookmarkEnd w:id="79"/>
      <w:bookmarkEnd w:id="80"/>
      <w:bookmarkEnd w:id="81"/>
      <w:bookmarkEnd w:id="82"/>
      <w:bookmarkEnd w:id="83"/>
      <w:r>
        <w:rPr>
          <w:rFonts w:hint="eastAsia" w:ascii="仿宋_GB2312" w:hAnsi="宋体" w:eastAsia="仿宋_GB2312" w:cs="宋体"/>
          <w:kern w:val="0"/>
          <w:sz w:val="32"/>
          <w:szCs w:val="36"/>
          <w:lang w:val="en-US" w:eastAsia="zh-CN" w:bidi="ar-SA"/>
        </w:rPr>
        <w:t>新设立的自然保护区、森林公园及其他生态保护红线管控范围与水库管理范围和保护范围交叉的，应当事先征得水行政主管部门同意，且不得影响水库的运行维护、应急抢险、除险加固和改（扩）建等实施；经评估有影响的，应采取避让和补救措施。永久基本农田及其他有碍水库运行管理的用地范围不得划入水库管理范围和保护范围。</w:t>
      </w:r>
    </w:p>
    <w:p>
      <w:pPr>
        <w:keepNext w:val="0"/>
        <w:keepLines w:val="0"/>
        <w:pageBreakBefore w:val="0"/>
        <w:widowControl w:val="0"/>
        <w:tabs>
          <w:tab w:val="left" w:pos="0"/>
        </w:tabs>
        <w:kinsoku/>
        <w:wordWrap/>
        <w:overflowPunct/>
        <w:topLinePunct w:val="0"/>
        <w:autoSpaceDN/>
        <w:bidi w:val="0"/>
        <w:adjustRightInd/>
        <w:snapToGrid/>
        <w:spacing w:before="0" w:beforeLines="0" w:after="0" w:afterLines="0" w:line="578" w:lineRule="exact"/>
        <w:ind w:firstLine="640" w:firstLineChars="200"/>
        <w:jc w:val="both"/>
        <w:textAlignment w:val="auto"/>
        <w:outlineLvl w:val="1"/>
        <w:rPr>
          <w:rFonts w:ascii="仿宋_GB2312" w:hAnsi="宋体" w:eastAsia="仿宋_GB2312" w:cs="宋体"/>
          <w:kern w:val="0"/>
          <w:sz w:val="32"/>
          <w:szCs w:val="36"/>
          <w:lang w:val="en-US" w:eastAsia="zh-CN" w:bidi="ar-SA"/>
        </w:rPr>
      </w:pPr>
      <w:r>
        <w:rPr>
          <w:rFonts w:hint="eastAsia" w:ascii="仿宋_GB2312" w:hAnsi="宋体" w:eastAsia="仿宋_GB2312" w:cs="宋体"/>
          <w:kern w:val="0"/>
          <w:sz w:val="32"/>
          <w:szCs w:val="36"/>
          <w:lang w:val="en-US" w:eastAsia="zh-CN" w:bidi="ar-SA"/>
        </w:rPr>
        <w:t>在水库管理范围和保护范围内存在与之交叉的自然保护区、森林公园及其他生态保护红线管控范围和基本农田等，按照相关规定共同管理，不得影响水库安全运行及功能发挥。对水库进行运行维护、应急抢险、除险加固和改（扩）建时涉及上述交叉重叠范围的，经过必要性论证后，相关主管部门应当予以办理准许手续。</w:t>
      </w:r>
    </w:p>
    <w:p>
      <w:pPr>
        <w:keepNext w:val="0"/>
        <w:keepLines w:val="0"/>
        <w:pageBreakBefore w:val="0"/>
        <w:widowControl w:val="0"/>
        <w:tabs>
          <w:tab w:val="left" w:pos="0"/>
        </w:tabs>
        <w:kinsoku/>
        <w:wordWrap/>
        <w:overflowPunct/>
        <w:topLinePunct w:val="0"/>
        <w:autoSpaceDN/>
        <w:bidi w:val="0"/>
        <w:adjustRightInd/>
        <w:snapToGrid/>
        <w:spacing w:before="0" w:beforeLines="0" w:after="0" w:afterLines="0" w:line="578" w:lineRule="exact"/>
        <w:ind w:firstLine="640" w:firstLineChars="200"/>
        <w:jc w:val="both"/>
        <w:textAlignment w:val="auto"/>
        <w:outlineLvl w:val="1"/>
        <w:rPr>
          <w:rFonts w:ascii="仿宋_GB2312" w:hAnsi="宋体" w:eastAsia="仿宋_GB2312" w:cs="宋体"/>
          <w:kern w:val="0"/>
          <w:sz w:val="32"/>
          <w:szCs w:val="36"/>
          <w:lang w:val="en-US" w:eastAsia="zh-CN" w:bidi="ar-SA"/>
        </w:rPr>
      </w:pPr>
      <w:r>
        <w:rPr>
          <w:rFonts w:hint="eastAsia" w:ascii="仿宋_GB2312" w:hAnsi="宋体" w:eastAsia="仿宋_GB2312" w:cs="宋体"/>
          <w:kern w:val="0"/>
          <w:sz w:val="32"/>
          <w:szCs w:val="36"/>
          <w:lang w:val="en-US" w:eastAsia="zh-CN" w:bidi="ar-SA"/>
        </w:rPr>
        <w:t>水库管理范围和保护范围内因其他行业用地管理而造成水库建设或者管理困难的，由水行政主管部门与相关行业主管部门协商解决，协商不成的，报有管辖权的人民政府决定。</w:t>
      </w:r>
    </w:p>
    <w:p>
      <w:pPr>
        <w:keepNext w:val="0"/>
        <w:keepLines w:val="0"/>
        <w:pageBreakBefore w:val="0"/>
        <w:widowControl w:val="0"/>
        <w:tabs>
          <w:tab w:val="left" w:pos="0"/>
        </w:tabs>
        <w:kinsoku/>
        <w:wordWrap/>
        <w:overflowPunct/>
        <w:topLinePunct w:val="0"/>
        <w:autoSpaceDN/>
        <w:bidi w:val="0"/>
        <w:adjustRightInd/>
        <w:snapToGrid/>
        <w:spacing w:before="0" w:beforeLines="0" w:after="0" w:afterLines="0" w:line="578" w:lineRule="exact"/>
        <w:ind w:firstLine="640" w:firstLineChars="200"/>
        <w:jc w:val="both"/>
        <w:textAlignment w:val="auto"/>
        <w:outlineLvl w:val="1"/>
        <w:rPr>
          <w:rFonts w:ascii="Times New Roman" w:hAnsi="Times New Roman" w:eastAsia="宋体" w:cs="Times New Roman"/>
          <w:b/>
          <w:kern w:val="2"/>
          <w:sz w:val="32"/>
          <w:szCs w:val="24"/>
          <w:lang w:val="en-US" w:eastAsia="zh-CN" w:bidi="ar-SA"/>
        </w:rPr>
      </w:pPr>
      <w:bookmarkStart w:id="84" w:name="_Toc1796"/>
      <w:bookmarkStart w:id="85" w:name="_Toc4135"/>
      <w:bookmarkStart w:id="86" w:name="_Toc13470"/>
      <w:bookmarkStart w:id="87" w:name="_Toc28482"/>
      <w:bookmarkStart w:id="88" w:name="_Toc16890"/>
      <w:r>
        <w:rPr>
          <w:rFonts w:hint="eastAsia" w:ascii="黑体" w:hAnsi="黑体" w:eastAsia="黑体" w:cs="宋体"/>
          <w:b w:val="0"/>
          <w:bCs/>
          <w:kern w:val="2"/>
          <w:sz w:val="32"/>
          <w:szCs w:val="32"/>
          <w:lang w:val="en-US" w:eastAsia="zh-CN" w:bidi="ar-SA"/>
        </w:rPr>
        <w:t>第十七条【管理范围内违法用地和违法建设行为管理】</w:t>
      </w:r>
      <w:bookmarkEnd w:id="84"/>
      <w:bookmarkEnd w:id="85"/>
      <w:bookmarkEnd w:id="86"/>
      <w:bookmarkEnd w:id="87"/>
      <w:bookmarkEnd w:id="88"/>
      <w:r>
        <w:rPr>
          <w:rFonts w:hint="eastAsia" w:ascii="仿宋_GB2312" w:hAnsi="宋体" w:eastAsia="仿宋_GB2312" w:cs="宋体"/>
          <w:kern w:val="0"/>
          <w:sz w:val="32"/>
          <w:szCs w:val="36"/>
          <w:lang w:val="en-US" w:eastAsia="zh-CN" w:bidi="ar-SA"/>
        </w:rPr>
        <w:t>水库管理单位负责巡查、发现和制止水库管理范围内的违法用地和违法建设行为，及时报告给所在地规划土地监察部门和水行政主管部门。规划土地监察部门负责组织查处违法用地和违法建设行为，拆除违法建筑。</w:t>
      </w:r>
    </w:p>
    <w:p>
      <w:pPr>
        <w:keepNext w:val="0"/>
        <w:keepLines w:val="0"/>
        <w:pageBreakBefore w:val="0"/>
        <w:widowControl w:val="0"/>
        <w:tabs>
          <w:tab w:val="left" w:pos="0"/>
        </w:tabs>
        <w:kinsoku/>
        <w:wordWrap/>
        <w:overflowPunct/>
        <w:topLinePunct w:val="0"/>
        <w:autoSpaceDN/>
        <w:bidi w:val="0"/>
        <w:adjustRightInd/>
        <w:snapToGrid/>
        <w:spacing w:before="0" w:beforeLines="0" w:after="0" w:afterLines="0" w:line="578" w:lineRule="exact"/>
        <w:ind w:firstLine="640" w:firstLineChars="200"/>
        <w:jc w:val="both"/>
        <w:textAlignment w:val="auto"/>
        <w:outlineLvl w:val="1"/>
        <w:rPr>
          <w:rFonts w:ascii="Times New Roman" w:hAnsi="Times New Roman" w:eastAsia="宋体" w:cs="Times New Roman"/>
          <w:b/>
          <w:kern w:val="2"/>
          <w:sz w:val="32"/>
          <w:szCs w:val="24"/>
          <w:lang w:val="en-US" w:eastAsia="zh-CN" w:bidi="ar-SA"/>
        </w:rPr>
      </w:pPr>
      <w:bookmarkStart w:id="89" w:name="_Toc21549"/>
      <w:bookmarkStart w:id="90" w:name="_Toc1964"/>
      <w:bookmarkStart w:id="91" w:name="_Toc32729"/>
      <w:bookmarkStart w:id="92" w:name="_Toc13989"/>
      <w:bookmarkStart w:id="93" w:name="_Toc15329"/>
      <w:r>
        <w:rPr>
          <w:rFonts w:hint="eastAsia" w:ascii="黑体" w:hAnsi="黑体" w:eastAsia="黑体" w:cs="宋体"/>
          <w:b w:val="0"/>
          <w:bCs/>
          <w:kern w:val="2"/>
          <w:sz w:val="32"/>
          <w:szCs w:val="32"/>
          <w:lang w:val="en-US" w:eastAsia="zh-CN" w:bidi="ar-SA"/>
        </w:rPr>
        <w:t>第十八条【涉水库范围项目规划及用地前规定】</w:t>
      </w:r>
      <w:bookmarkEnd w:id="89"/>
      <w:bookmarkEnd w:id="90"/>
      <w:bookmarkEnd w:id="91"/>
      <w:bookmarkEnd w:id="92"/>
      <w:bookmarkEnd w:id="93"/>
      <w:r>
        <w:rPr>
          <w:rFonts w:hint="eastAsia" w:ascii="仿宋_GB2312" w:hAnsi="宋体" w:eastAsia="仿宋_GB2312" w:cs="宋体"/>
          <w:kern w:val="0"/>
          <w:sz w:val="32"/>
          <w:szCs w:val="36"/>
          <w:lang w:val="en-US" w:eastAsia="zh-CN" w:bidi="ar-SA"/>
        </w:rPr>
        <w:t>规划和自然资源主管部门在办理建设项目的规划、用地方案核查时，涉及水库管理范围内的项目，应当征求水行政主管部门的意见。</w:t>
      </w:r>
    </w:p>
    <w:p>
      <w:pPr>
        <w:keepNext w:val="0"/>
        <w:keepLines w:val="0"/>
        <w:pageBreakBefore w:val="0"/>
        <w:widowControl w:val="0"/>
        <w:tabs>
          <w:tab w:val="left" w:pos="0"/>
        </w:tabs>
        <w:kinsoku/>
        <w:wordWrap/>
        <w:overflowPunct/>
        <w:topLinePunct w:val="0"/>
        <w:autoSpaceDN/>
        <w:bidi w:val="0"/>
        <w:adjustRightInd/>
        <w:snapToGrid/>
        <w:spacing w:before="0" w:beforeLines="0" w:after="0" w:afterLines="0" w:line="578" w:lineRule="exact"/>
        <w:ind w:firstLine="640" w:firstLineChars="200"/>
        <w:jc w:val="both"/>
        <w:textAlignment w:val="auto"/>
        <w:outlineLvl w:val="1"/>
        <w:rPr>
          <w:rFonts w:ascii="Times New Roman" w:hAnsi="Times New Roman" w:eastAsia="宋体" w:cs="Times New Roman"/>
          <w:b/>
          <w:kern w:val="2"/>
          <w:sz w:val="32"/>
          <w:szCs w:val="24"/>
          <w:lang w:val="en-US" w:eastAsia="zh-CN" w:bidi="ar-SA"/>
        </w:rPr>
      </w:pPr>
      <w:bookmarkStart w:id="94" w:name="_Toc20995"/>
      <w:bookmarkStart w:id="95" w:name="_Toc10036"/>
      <w:bookmarkStart w:id="96" w:name="_Toc12298"/>
      <w:bookmarkStart w:id="97" w:name="_Toc32590"/>
      <w:bookmarkStart w:id="98" w:name="_Toc14656"/>
      <w:r>
        <w:rPr>
          <w:rFonts w:hint="eastAsia" w:ascii="黑体" w:hAnsi="黑体" w:eastAsia="黑体" w:cs="宋体"/>
          <w:b w:val="0"/>
          <w:bCs/>
          <w:kern w:val="2"/>
          <w:sz w:val="32"/>
          <w:szCs w:val="32"/>
          <w:lang w:val="en-US" w:eastAsia="zh-CN" w:bidi="ar-SA"/>
        </w:rPr>
        <w:t>第十九条【涉水建设项目分类管理】</w:t>
      </w:r>
      <w:bookmarkEnd w:id="94"/>
      <w:bookmarkEnd w:id="95"/>
      <w:bookmarkEnd w:id="96"/>
      <w:bookmarkEnd w:id="97"/>
      <w:bookmarkEnd w:id="98"/>
      <w:r>
        <w:rPr>
          <w:rFonts w:hint="eastAsia" w:ascii="仿宋_GB2312" w:hAnsi="宋体" w:eastAsia="仿宋_GB2312" w:cs="宋体"/>
          <w:kern w:val="0"/>
          <w:sz w:val="32"/>
          <w:szCs w:val="36"/>
          <w:lang w:val="en-US" w:eastAsia="zh-CN" w:bidi="ar-SA"/>
        </w:rPr>
        <w:t>水库管理范围和保护范围内新建、改（扩）建的各类工程建设项目，其建设方案应当在开工前按市、区管理权限报水行政主管部门分类审批和备案。具体审批和备案管理实施细则由市水行政主管部门另行制定。</w:t>
      </w:r>
    </w:p>
    <w:p>
      <w:pPr>
        <w:keepNext w:val="0"/>
        <w:keepLines w:val="0"/>
        <w:pageBreakBefore w:val="0"/>
        <w:widowControl w:val="0"/>
        <w:tabs>
          <w:tab w:val="left" w:pos="0"/>
        </w:tabs>
        <w:kinsoku/>
        <w:wordWrap/>
        <w:overflowPunct/>
        <w:topLinePunct w:val="0"/>
        <w:autoSpaceDN/>
        <w:bidi w:val="0"/>
        <w:adjustRightInd/>
        <w:snapToGrid/>
        <w:spacing w:before="0" w:beforeLines="0" w:after="0" w:afterLines="0" w:line="578" w:lineRule="exact"/>
        <w:ind w:firstLine="640" w:firstLineChars="200"/>
        <w:jc w:val="both"/>
        <w:textAlignment w:val="auto"/>
        <w:outlineLvl w:val="1"/>
        <w:rPr>
          <w:rFonts w:ascii="仿宋_GB2312" w:hAnsi="宋体" w:eastAsia="仿宋_GB2312" w:cs="宋体"/>
          <w:kern w:val="0"/>
          <w:sz w:val="32"/>
          <w:szCs w:val="36"/>
          <w:lang w:val="en-US" w:eastAsia="zh-CN" w:bidi="ar-SA"/>
        </w:rPr>
      </w:pPr>
      <w:bookmarkStart w:id="99" w:name="_Toc19696"/>
      <w:bookmarkStart w:id="100" w:name="_Toc29871"/>
      <w:bookmarkStart w:id="101" w:name="_Toc10679"/>
      <w:bookmarkStart w:id="102" w:name="_Toc30241"/>
      <w:bookmarkStart w:id="103" w:name="_Toc15982"/>
      <w:r>
        <w:rPr>
          <w:rFonts w:hint="eastAsia" w:ascii="黑体" w:hAnsi="黑体" w:eastAsia="黑体" w:cs="宋体"/>
          <w:b w:val="0"/>
          <w:bCs/>
          <w:kern w:val="2"/>
          <w:sz w:val="32"/>
          <w:szCs w:val="32"/>
          <w:lang w:val="en-US" w:eastAsia="zh-CN" w:bidi="ar-SA"/>
        </w:rPr>
        <w:t>第二十条【涉水建设项目行政审批要求】</w:t>
      </w:r>
      <w:bookmarkEnd w:id="99"/>
      <w:bookmarkEnd w:id="100"/>
      <w:bookmarkEnd w:id="101"/>
      <w:bookmarkEnd w:id="102"/>
      <w:bookmarkEnd w:id="103"/>
      <w:r>
        <w:rPr>
          <w:rFonts w:hint="eastAsia" w:ascii="仿宋_GB2312" w:hAnsi="宋体" w:eastAsia="仿宋_GB2312" w:cs="宋体"/>
          <w:kern w:val="0"/>
          <w:sz w:val="32"/>
          <w:szCs w:val="36"/>
          <w:lang w:val="en-US" w:eastAsia="zh-CN" w:bidi="ar-SA"/>
        </w:rPr>
        <w:t>除本办法规定的属于备案管理的建设项目外，其他在水库管理范围和保护范围内的建设项目，建设单位应当编制涉水专项设计报告和涉水安全评估报告，在开工前将工程建设方案报水行政主管部门审查同意。</w:t>
      </w:r>
    </w:p>
    <w:p>
      <w:pPr>
        <w:pageBreakBefore w:val="0"/>
        <w:kinsoku/>
        <w:wordWrap/>
        <w:overflowPunct/>
        <w:topLinePunct w:val="0"/>
        <w:autoSpaceDN/>
        <w:bidi w:val="0"/>
        <w:adjustRightInd/>
        <w:snapToGrid/>
        <w:spacing w:line="578" w:lineRule="exact"/>
        <w:ind w:firstLine="640" w:firstLineChars="200"/>
        <w:textAlignment w:val="auto"/>
        <w:rPr>
          <w:rFonts w:ascii="仿宋_GB2312" w:hAnsi="宋体" w:eastAsia="仿宋_GB2312" w:cs="宋体"/>
          <w:kern w:val="0"/>
          <w:sz w:val="32"/>
          <w:szCs w:val="36"/>
          <w:lang w:val="en-US" w:eastAsia="zh-CN" w:bidi="ar-SA"/>
        </w:rPr>
      </w:pPr>
      <w:r>
        <w:rPr>
          <w:rFonts w:hint="eastAsia" w:ascii="仿宋_GB2312" w:hAnsi="宋体" w:eastAsia="仿宋_GB2312" w:cs="宋体"/>
          <w:kern w:val="0"/>
          <w:sz w:val="32"/>
          <w:szCs w:val="36"/>
          <w:lang w:val="en-US" w:eastAsia="zh-CN" w:bidi="ar-SA"/>
        </w:rPr>
        <w:t>建设项目涉水安全评估报告编制单位应当具备水利设计资质。建设项目涉及迁移、修复或者重建水利设施的，水利设施的迁移、修复、重建方案应当由不低于该水利工程设计资质要求的单位出具。</w:t>
      </w:r>
    </w:p>
    <w:p>
      <w:pPr>
        <w:keepNext w:val="0"/>
        <w:keepLines w:val="0"/>
        <w:pageBreakBefore w:val="0"/>
        <w:widowControl w:val="0"/>
        <w:tabs>
          <w:tab w:val="left" w:pos="0"/>
        </w:tabs>
        <w:kinsoku/>
        <w:wordWrap/>
        <w:overflowPunct/>
        <w:topLinePunct w:val="0"/>
        <w:autoSpaceDN/>
        <w:bidi w:val="0"/>
        <w:adjustRightInd/>
        <w:snapToGrid/>
        <w:spacing w:before="0" w:beforeLines="0" w:after="0" w:afterLines="0" w:line="578" w:lineRule="exact"/>
        <w:ind w:firstLine="640" w:firstLineChars="200"/>
        <w:jc w:val="both"/>
        <w:textAlignment w:val="auto"/>
        <w:outlineLvl w:val="1"/>
        <w:rPr>
          <w:rFonts w:ascii="仿宋_GB2312" w:hAnsi="宋体" w:eastAsia="仿宋_GB2312" w:cs="宋体"/>
          <w:kern w:val="0"/>
          <w:sz w:val="32"/>
          <w:szCs w:val="36"/>
          <w:lang w:val="en-US" w:eastAsia="zh-CN" w:bidi="ar-SA"/>
        </w:rPr>
      </w:pPr>
      <w:bookmarkStart w:id="104" w:name="_Toc15687"/>
      <w:bookmarkStart w:id="105" w:name="_Toc2092"/>
      <w:bookmarkStart w:id="106" w:name="_Toc8182"/>
      <w:bookmarkStart w:id="107" w:name="_Toc18259"/>
      <w:bookmarkStart w:id="108" w:name="_Toc25345"/>
      <w:r>
        <w:rPr>
          <w:rFonts w:hint="eastAsia" w:ascii="黑体" w:hAnsi="黑体" w:eastAsia="黑体" w:cs="宋体"/>
          <w:b w:val="0"/>
          <w:bCs/>
          <w:kern w:val="2"/>
          <w:sz w:val="32"/>
          <w:szCs w:val="32"/>
          <w:lang w:val="en-US" w:eastAsia="zh-CN" w:bidi="ar-SA"/>
        </w:rPr>
        <w:t>第二十一条【管理范围内禁入的项目类型】</w:t>
      </w:r>
      <w:bookmarkEnd w:id="104"/>
      <w:bookmarkEnd w:id="105"/>
      <w:bookmarkEnd w:id="106"/>
      <w:bookmarkEnd w:id="107"/>
      <w:bookmarkEnd w:id="108"/>
      <w:r>
        <w:rPr>
          <w:rFonts w:hint="eastAsia" w:ascii="仿宋_GB2312" w:hAnsi="宋体" w:eastAsia="仿宋_GB2312" w:cs="宋体"/>
          <w:kern w:val="0"/>
          <w:sz w:val="32"/>
          <w:szCs w:val="36"/>
          <w:lang w:val="en-US" w:eastAsia="zh-CN" w:bidi="ar-SA"/>
        </w:rPr>
        <w:t>以下建设项目，禁止进入水库管理范围：</w:t>
      </w:r>
    </w:p>
    <w:p>
      <w:pPr>
        <w:pageBreakBefore w:val="0"/>
        <w:kinsoku/>
        <w:wordWrap/>
        <w:overflowPunct/>
        <w:topLinePunct w:val="0"/>
        <w:autoSpaceDN/>
        <w:bidi w:val="0"/>
        <w:adjustRightInd/>
        <w:snapToGrid/>
        <w:spacing w:line="578" w:lineRule="exact"/>
        <w:ind w:firstLine="640" w:firstLineChars="200"/>
        <w:textAlignment w:val="auto"/>
        <w:rPr>
          <w:rFonts w:ascii="仿宋_GB2312" w:hAnsi="宋体" w:eastAsia="仿宋_GB2312" w:cs="宋体"/>
          <w:kern w:val="0"/>
          <w:sz w:val="32"/>
          <w:szCs w:val="36"/>
          <w:lang w:val="en-US" w:eastAsia="zh-CN" w:bidi="ar-SA"/>
        </w:rPr>
      </w:pPr>
      <w:r>
        <w:rPr>
          <w:rFonts w:hint="eastAsia" w:ascii="仿宋_GB2312" w:hAnsi="宋体" w:eastAsia="仿宋_GB2312" w:cs="宋体"/>
          <w:kern w:val="0"/>
          <w:sz w:val="32"/>
          <w:szCs w:val="36"/>
          <w:lang w:val="en-US" w:eastAsia="zh-CN" w:bidi="ar-SA"/>
        </w:rPr>
        <w:t>（一）餐饮、住宿、度假村、疗养院或者房地产开发等项目；</w:t>
      </w:r>
    </w:p>
    <w:p>
      <w:pPr>
        <w:pageBreakBefore w:val="0"/>
        <w:kinsoku/>
        <w:wordWrap/>
        <w:overflowPunct/>
        <w:topLinePunct w:val="0"/>
        <w:autoSpaceDN/>
        <w:bidi w:val="0"/>
        <w:adjustRightInd/>
        <w:snapToGrid/>
        <w:spacing w:line="578" w:lineRule="exact"/>
        <w:ind w:firstLine="640" w:firstLineChars="200"/>
        <w:textAlignment w:val="auto"/>
        <w:rPr>
          <w:rFonts w:ascii="仿宋_GB2312" w:hAnsi="宋体" w:eastAsia="仿宋_GB2312" w:cs="宋体"/>
          <w:kern w:val="0"/>
          <w:sz w:val="32"/>
          <w:szCs w:val="36"/>
          <w:lang w:val="en-US" w:eastAsia="zh-CN" w:bidi="ar-SA"/>
        </w:rPr>
      </w:pPr>
      <w:r>
        <w:rPr>
          <w:rFonts w:hint="eastAsia" w:ascii="仿宋_GB2312" w:hAnsi="宋体" w:eastAsia="仿宋_GB2312" w:cs="宋体"/>
          <w:kern w:val="0"/>
          <w:sz w:val="32"/>
          <w:szCs w:val="36"/>
          <w:lang w:val="en-US" w:eastAsia="zh-CN" w:bidi="ar-SA"/>
        </w:rPr>
        <w:t>（二）畜禽养殖业、屠宰场、造纸、制革、酿造、染料、印染、电镀以及其他可能污染水体的项目；</w:t>
      </w:r>
    </w:p>
    <w:p>
      <w:pPr>
        <w:pageBreakBefore w:val="0"/>
        <w:kinsoku/>
        <w:wordWrap/>
        <w:overflowPunct/>
        <w:topLinePunct w:val="0"/>
        <w:autoSpaceDN/>
        <w:bidi w:val="0"/>
        <w:adjustRightInd/>
        <w:snapToGrid/>
        <w:spacing w:line="578" w:lineRule="exact"/>
        <w:ind w:firstLine="640" w:firstLineChars="200"/>
        <w:textAlignment w:val="auto"/>
        <w:rPr>
          <w:rFonts w:ascii="仿宋_GB2312" w:hAnsi="宋体" w:eastAsia="仿宋_GB2312" w:cs="宋体"/>
          <w:kern w:val="0"/>
          <w:sz w:val="32"/>
          <w:szCs w:val="36"/>
          <w:lang w:val="en-US" w:eastAsia="zh-CN" w:bidi="ar-SA"/>
        </w:rPr>
      </w:pPr>
      <w:r>
        <w:rPr>
          <w:rFonts w:hint="eastAsia" w:ascii="仿宋_GB2312" w:hAnsi="宋体" w:eastAsia="仿宋_GB2312" w:cs="宋体"/>
          <w:kern w:val="0"/>
          <w:sz w:val="32"/>
          <w:szCs w:val="36"/>
          <w:lang w:val="en-US" w:eastAsia="zh-CN" w:bidi="ar-SA"/>
        </w:rPr>
        <w:t>（三）废弃物或者污染物填埋、焚烧以及其他处理措施的项目；</w:t>
      </w:r>
    </w:p>
    <w:p>
      <w:pPr>
        <w:pageBreakBefore w:val="0"/>
        <w:kinsoku/>
        <w:wordWrap/>
        <w:overflowPunct/>
        <w:topLinePunct w:val="0"/>
        <w:autoSpaceDN/>
        <w:bidi w:val="0"/>
        <w:adjustRightInd/>
        <w:snapToGrid/>
        <w:spacing w:line="578" w:lineRule="exact"/>
        <w:ind w:firstLine="640" w:firstLineChars="200"/>
        <w:textAlignment w:val="auto"/>
        <w:rPr>
          <w:rFonts w:ascii="仿宋_GB2312" w:hAnsi="宋体" w:eastAsia="仿宋_GB2312" w:cs="宋体"/>
          <w:kern w:val="0"/>
          <w:sz w:val="32"/>
          <w:szCs w:val="36"/>
          <w:lang w:val="en-US" w:eastAsia="zh-CN" w:bidi="ar-SA"/>
        </w:rPr>
      </w:pPr>
      <w:r>
        <w:rPr>
          <w:rFonts w:hint="eastAsia" w:ascii="仿宋_GB2312" w:hAnsi="宋体" w:eastAsia="仿宋_GB2312" w:cs="宋体"/>
          <w:kern w:val="0"/>
          <w:sz w:val="32"/>
          <w:szCs w:val="36"/>
          <w:lang w:val="en-US" w:eastAsia="zh-CN" w:bidi="ar-SA"/>
        </w:rPr>
        <w:t>（四）输送或者储存天然气、其他易燃易爆品等项目；</w:t>
      </w:r>
    </w:p>
    <w:p>
      <w:pPr>
        <w:pageBreakBefore w:val="0"/>
        <w:kinsoku/>
        <w:wordWrap/>
        <w:overflowPunct/>
        <w:topLinePunct w:val="0"/>
        <w:autoSpaceDN/>
        <w:bidi w:val="0"/>
        <w:adjustRightInd/>
        <w:snapToGrid/>
        <w:spacing w:line="578" w:lineRule="exact"/>
        <w:ind w:firstLine="640" w:firstLineChars="200"/>
        <w:textAlignment w:val="auto"/>
        <w:rPr>
          <w:rFonts w:ascii="仿宋_GB2312" w:hAnsi="宋体" w:eastAsia="仿宋_GB2312" w:cs="宋体"/>
          <w:kern w:val="0"/>
          <w:sz w:val="32"/>
          <w:szCs w:val="36"/>
          <w:lang w:val="en-US" w:eastAsia="zh-CN" w:bidi="ar-SA"/>
        </w:rPr>
      </w:pPr>
      <w:r>
        <w:rPr>
          <w:rFonts w:hint="eastAsia" w:ascii="仿宋_GB2312" w:hAnsi="宋体" w:eastAsia="仿宋_GB2312" w:cs="宋体"/>
          <w:kern w:val="0"/>
          <w:sz w:val="32"/>
          <w:szCs w:val="36"/>
          <w:lang w:val="en-US" w:eastAsia="zh-CN" w:bidi="ar-SA"/>
        </w:rPr>
        <w:t>（五）占用水库水域的非公益性市政基础设施建设项目；</w:t>
      </w:r>
    </w:p>
    <w:p>
      <w:pPr>
        <w:pageBreakBefore w:val="0"/>
        <w:kinsoku/>
        <w:wordWrap/>
        <w:overflowPunct/>
        <w:topLinePunct w:val="0"/>
        <w:autoSpaceDN/>
        <w:bidi w:val="0"/>
        <w:adjustRightInd/>
        <w:snapToGrid/>
        <w:spacing w:line="578" w:lineRule="exact"/>
        <w:ind w:firstLine="640" w:firstLineChars="200"/>
        <w:textAlignment w:val="auto"/>
        <w:rPr>
          <w:rFonts w:ascii="仿宋_GB2312" w:hAnsi="宋体" w:eastAsia="仿宋_GB2312" w:cs="宋体"/>
          <w:kern w:val="0"/>
          <w:sz w:val="32"/>
          <w:szCs w:val="36"/>
          <w:lang w:val="en-US" w:eastAsia="zh-CN" w:bidi="ar-SA"/>
        </w:rPr>
      </w:pPr>
      <w:r>
        <w:rPr>
          <w:rFonts w:hint="eastAsia" w:ascii="仿宋_GB2312" w:hAnsi="宋体" w:eastAsia="仿宋_GB2312" w:cs="宋体"/>
          <w:kern w:val="0"/>
          <w:sz w:val="32"/>
          <w:szCs w:val="36"/>
          <w:lang w:val="en-US" w:eastAsia="zh-CN" w:bidi="ar-SA"/>
        </w:rPr>
        <w:t>（六）其他影响水库正常运行或者危害水库主体安全的项目。</w:t>
      </w:r>
    </w:p>
    <w:p>
      <w:pPr>
        <w:keepNext w:val="0"/>
        <w:keepLines w:val="0"/>
        <w:pageBreakBefore w:val="0"/>
        <w:kinsoku/>
        <w:wordWrap/>
        <w:overflowPunct/>
        <w:topLinePunct w:val="0"/>
        <w:autoSpaceDN/>
        <w:bidi w:val="0"/>
        <w:adjustRightInd/>
        <w:snapToGrid/>
        <w:spacing w:line="578" w:lineRule="exact"/>
        <w:ind w:firstLine="640" w:firstLineChars="200"/>
        <w:textAlignment w:val="auto"/>
        <w:rPr>
          <w:rFonts w:ascii="仿宋_GB2312" w:hAnsi="宋体" w:eastAsia="仿宋_GB2312" w:cs="宋体"/>
          <w:kern w:val="0"/>
          <w:sz w:val="32"/>
          <w:szCs w:val="36"/>
        </w:rPr>
      </w:pPr>
      <w:bookmarkStart w:id="109" w:name="_Toc13820"/>
      <w:bookmarkStart w:id="110" w:name="_Toc268"/>
      <w:bookmarkStart w:id="111" w:name="_Toc8183"/>
      <w:bookmarkStart w:id="112" w:name="_Toc28575"/>
      <w:bookmarkStart w:id="113" w:name="_Toc32068"/>
      <w:r>
        <w:rPr>
          <w:rFonts w:hint="eastAsia" w:ascii="黑体" w:hAnsi="黑体" w:eastAsia="黑体" w:cs="宋体"/>
          <w:sz w:val="32"/>
          <w:szCs w:val="32"/>
        </w:rPr>
        <w:t>第二十二条【涉水库水域建设项目管理】</w:t>
      </w:r>
      <w:bookmarkEnd w:id="109"/>
      <w:bookmarkEnd w:id="110"/>
      <w:bookmarkEnd w:id="111"/>
      <w:bookmarkEnd w:id="112"/>
      <w:bookmarkEnd w:id="113"/>
      <w:r>
        <w:rPr>
          <w:rFonts w:hint="eastAsia" w:ascii="仿宋_GB2312" w:hAnsi="宋体" w:eastAsia="仿宋_GB2312" w:cs="宋体"/>
          <w:kern w:val="0"/>
          <w:sz w:val="32"/>
          <w:szCs w:val="36"/>
        </w:rPr>
        <w:t>除水务工程和水源保护工程外，其他建设项目一般不得占用水库水域。</w:t>
      </w:r>
    </w:p>
    <w:p>
      <w:pPr>
        <w:keepNext w:val="0"/>
        <w:keepLines w:val="0"/>
        <w:pageBreakBefore w:val="0"/>
        <w:kinsoku/>
        <w:wordWrap/>
        <w:overflowPunct/>
        <w:topLinePunct w:val="0"/>
        <w:autoSpaceDN/>
        <w:bidi w:val="0"/>
        <w:adjustRightInd/>
        <w:snapToGrid/>
        <w:spacing w:line="578" w:lineRule="exact"/>
        <w:ind w:firstLine="640" w:firstLineChars="200"/>
        <w:textAlignment w:val="auto"/>
        <w:rPr>
          <w:rFonts w:ascii="仿宋_GB2312" w:hAnsi="宋体" w:eastAsia="仿宋_GB2312" w:cs="宋体"/>
          <w:kern w:val="0"/>
          <w:sz w:val="32"/>
          <w:szCs w:val="36"/>
        </w:rPr>
      </w:pPr>
      <w:r>
        <w:rPr>
          <w:rFonts w:hint="eastAsia" w:ascii="仿宋_GB2312" w:hAnsi="宋体" w:eastAsia="仿宋_GB2312" w:cs="宋体"/>
          <w:kern w:val="0"/>
          <w:sz w:val="32"/>
          <w:szCs w:val="36"/>
        </w:rPr>
        <w:t>政府组织实施的能源、交通等基础设施建设项目确需占用水库水域的，应当经过论证后报市政府同意。建设项目占用水域的，应当依据有关规定对被占用水库水域的面积、容积和功能，采取功能补救措施或者建设等效替代水域工程。</w:t>
      </w:r>
    </w:p>
    <w:p>
      <w:pPr>
        <w:keepNext w:val="0"/>
        <w:keepLines w:val="0"/>
        <w:pageBreakBefore w:val="0"/>
        <w:widowControl w:val="0"/>
        <w:tabs>
          <w:tab w:val="left" w:pos="0"/>
        </w:tabs>
        <w:kinsoku/>
        <w:wordWrap/>
        <w:overflowPunct/>
        <w:topLinePunct w:val="0"/>
        <w:autoSpaceDN/>
        <w:bidi w:val="0"/>
        <w:adjustRightInd/>
        <w:snapToGrid/>
        <w:spacing w:before="0" w:beforeLines="0" w:after="0" w:afterLines="0" w:line="578" w:lineRule="exact"/>
        <w:ind w:firstLine="640" w:firstLineChars="200"/>
        <w:jc w:val="both"/>
        <w:textAlignment w:val="auto"/>
        <w:outlineLvl w:val="1"/>
        <w:rPr>
          <w:rFonts w:ascii="仿宋_GB2312" w:hAnsi="宋体" w:eastAsia="仿宋_GB2312" w:cs="宋体"/>
          <w:kern w:val="0"/>
          <w:sz w:val="32"/>
          <w:szCs w:val="36"/>
          <w:lang w:val="en-US" w:eastAsia="zh-CN" w:bidi="ar-SA"/>
        </w:rPr>
      </w:pPr>
      <w:bookmarkStart w:id="114" w:name="_Toc23511"/>
      <w:bookmarkStart w:id="115" w:name="_Toc14904"/>
      <w:bookmarkStart w:id="116" w:name="_Toc4638"/>
      <w:bookmarkStart w:id="117" w:name="_Toc19159"/>
      <w:bookmarkStart w:id="118" w:name="_Toc25506"/>
      <w:r>
        <w:rPr>
          <w:rFonts w:hint="eastAsia" w:ascii="黑体" w:hAnsi="黑体" w:eastAsia="黑体" w:cs="宋体"/>
          <w:b w:val="0"/>
          <w:bCs/>
          <w:kern w:val="2"/>
          <w:sz w:val="32"/>
          <w:szCs w:val="32"/>
          <w:lang w:val="en-US" w:eastAsia="zh-CN" w:bidi="ar-SA"/>
        </w:rPr>
        <w:t>第二十三条【涉水建设项目备案管理要求】</w:t>
      </w:r>
      <w:bookmarkEnd w:id="114"/>
      <w:bookmarkEnd w:id="115"/>
      <w:bookmarkEnd w:id="116"/>
      <w:bookmarkEnd w:id="117"/>
      <w:bookmarkEnd w:id="118"/>
      <w:r>
        <w:rPr>
          <w:rFonts w:hint="eastAsia" w:ascii="仿宋_GB2312" w:hAnsi="宋体" w:eastAsia="仿宋_GB2312" w:cs="宋体"/>
          <w:kern w:val="0"/>
          <w:sz w:val="32"/>
          <w:szCs w:val="36"/>
          <w:lang w:val="en-US" w:eastAsia="zh-CN" w:bidi="ar-SA"/>
        </w:rPr>
        <w:t>属于水库管理范围外保护范围内的以下类型的建设项目实行备案管理：</w:t>
      </w:r>
    </w:p>
    <w:p>
      <w:pPr>
        <w:pageBreakBefore w:val="0"/>
        <w:kinsoku/>
        <w:wordWrap/>
        <w:overflowPunct/>
        <w:topLinePunct w:val="0"/>
        <w:autoSpaceDN/>
        <w:bidi w:val="0"/>
        <w:adjustRightInd/>
        <w:snapToGrid/>
        <w:spacing w:line="578" w:lineRule="exact"/>
        <w:ind w:firstLine="640" w:firstLineChars="200"/>
        <w:textAlignment w:val="auto"/>
        <w:rPr>
          <w:rFonts w:ascii="仿宋_GB2312" w:hAnsi="宋体" w:eastAsia="仿宋_GB2312" w:cs="宋体"/>
          <w:kern w:val="0"/>
          <w:sz w:val="32"/>
          <w:szCs w:val="36"/>
          <w:lang w:val="en-US" w:eastAsia="zh-CN" w:bidi="ar-SA"/>
        </w:rPr>
      </w:pPr>
      <w:r>
        <w:rPr>
          <w:rFonts w:hint="eastAsia" w:ascii="仿宋_GB2312" w:hAnsi="宋体" w:eastAsia="仿宋_GB2312" w:cs="宋体"/>
          <w:kern w:val="0"/>
          <w:sz w:val="32"/>
          <w:szCs w:val="36"/>
          <w:lang w:val="en-US" w:eastAsia="zh-CN" w:bidi="ar-SA"/>
        </w:rPr>
        <w:t>（一）不需要征占用土地，且不影响水库安全及正常运行的地上工程或者设施；</w:t>
      </w:r>
    </w:p>
    <w:p>
      <w:pPr>
        <w:pageBreakBefore w:val="0"/>
        <w:kinsoku/>
        <w:wordWrap/>
        <w:overflowPunct/>
        <w:topLinePunct w:val="0"/>
        <w:autoSpaceDN/>
        <w:bidi w:val="0"/>
        <w:adjustRightInd/>
        <w:snapToGrid/>
        <w:spacing w:line="578" w:lineRule="exact"/>
        <w:ind w:firstLine="640" w:firstLineChars="200"/>
        <w:textAlignment w:val="auto"/>
        <w:rPr>
          <w:rFonts w:ascii="仿宋_GB2312" w:hAnsi="宋体" w:eastAsia="仿宋_GB2312" w:cs="宋体"/>
          <w:kern w:val="0"/>
          <w:sz w:val="32"/>
          <w:szCs w:val="36"/>
          <w:lang w:val="en-US" w:eastAsia="zh-CN" w:bidi="ar-SA"/>
        </w:rPr>
      </w:pPr>
      <w:r>
        <w:rPr>
          <w:rFonts w:hint="eastAsia" w:ascii="仿宋_GB2312" w:hAnsi="宋体" w:eastAsia="仿宋_GB2312" w:cs="宋体"/>
          <w:kern w:val="0"/>
          <w:sz w:val="32"/>
          <w:szCs w:val="36"/>
          <w:lang w:val="en-US" w:eastAsia="zh-CN" w:bidi="ar-SA"/>
        </w:rPr>
        <w:t>（二）已办理临时占用土地手续，且不影响水库安全及正常运行的地上工程或者设施；</w:t>
      </w:r>
    </w:p>
    <w:p>
      <w:pPr>
        <w:pageBreakBefore w:val="0"/>
        <w:kinsoku/>
        <w:wordWrap/>
        <w:overflowPunct/>
        <w:topLinePunct w:val="0"/>
        <w:autoSpaceDN/>
        <w:bidi w:val="0"/>
        <w:adjustRightInd/>
        <w:snapToGrid/>
        <w:spacing w:line="578" w:lineRule="exact"/>
        <w:ind w:firstLine="640" w:firstLineChars="200"/>
        <w:textAlignment w:val="auto"/>
        <w:rPr>
          <w:rFonts w:ascii="仿宋_GB2312" w:hAnsi="宋体" w:eastAsia="仿宋_GB2312" w:cs="宋体"/>
          <w:kern w:val="0"/>
          <w:sz w:val="32"/>
          <w:szCs w:val="36"/>
          <w:lang w:val="en-US" w:eastAsia="zh-CN" w:bidi="ar-SA"/>
        </w:rPr>
      </w:pPr>
      <w:r>
        <w:rPr>
          <w:rFonts w:hint="eastAsia" w:ascii="仿宋_GB2312" w:hAnsi="宋体" w:eastAsia="仿宋_GB2312" w:cs="宋体"/>
          <w:kern w:val="0"/>
          <w:sz w:val="32"/>
          <w:szCs w:val="36"/>
          <w:lang w:val="en-US" w:eastAsia="zh-CN" w:bidi="ar-SA"/>
        </w:rPr>
        <w:t>（三）其他不影响水库安全与正常运行的简易、低风险构筑物或者设施。</w:t>
      </w:r>
    </w:p>
    <w:p>
      <w:pPr>
        <w:pageBreakBefore w:val="0"/>
        <w:kinsoku/>
        <w:wordWrap/>
        <w:overflowPunct/>
        <w:topLinePunct w:val="0"/>
        <w:autoSpaceDN/>
        <w:bidi w:val="0"/>
        <w:adjustRightInd/>
        <w:snapToGrid/>
        <w:spacing w:line="578" w:lineRule="exact"/>
        <w:ind w:firstLine="640" w:firstLineChars="200"/>
        <w:textAlignment w:val="auto"/>
        <w:rPr>
          <w:rFonts w:ascii="仿宋_GB2312" w:hAnsi="宋体" w:eastAsia="仿宋_GB2312" w:cs="宋体"/>
          <w:kern w:val="0"/>
          <w:sz w:val="32"/>
          <w:szCs w:val="36"/>
          <w:lang w:val="en-US" w:eastAsia="zh-CN" w:bidi="ar-SA"/>
        </w:rPr>
      </w:pPr>
      <w:r>
        <w:rPr>
          <w:rFonts w:hint="eastAsia" w:ascii="仿宋_GB2312" w:hAnsi="宋体" w:eastAsia="仿宋_GB2312" w:cs="宋体"/>
          <w:kern w:val="0"/>
          <w:sz w:val="32"/>
          <w:szCs w:val="36"/>
          <w:lang w:val="en-US" w:eastAsia="zh-CN" w:bidi="ar-SA"/>
        </w:rPr>
        <w:t>建设单位应当在开工前编制《建设评估报告表》，经水库管理单位同意后，连同建设方案一并报水行政主管部门进行告知性备案。《建设评估报告表》编制单位应当具备水利设计资质。</w:t>
      </w:r>
    </w:p>
    <w:p>
      <w:pPr>
        <w:keepNext w:val="0"/>
        <w:keepLines w:val="0"/>
        <w:pageBreakBefore w:val="0"/>
        <w:widowControl w:val="0"/>
        <w:tabs>
          <w:tab w:val="left" w:pos="0"/>
        </w:tabs>
        <w:kinsoku/>
        <w:wordWrap/>
        <w:overflowPunct/>
        <w:topLinePunct w:val="0"/>
        <w:autoSpaceDN/>
        <w:bidi w:val="0"/>
        <w:adjustRightInd/>
        <w:snapToGrid/>
        <w:spacing w:before="0" w:beforeLines="0" w:after="0" w:afterLines="0" w:line="578" w:lineRule="exact"/>
        <w:ind w:firstLine="640" w:firstLineChars="200"/>
        <w:jc w:val="both"/>
        <w:textAlignment w:val="auto"/>
        <w:outlineLvl w:val="1"/>
        <w:rPr>
          <w:rFonts w:ascii="仿宋_GB2312" w:hAnsi="宋体" w:eastAsia="仿宋_GB2312" w:cs="宋体"/>
          <w:kern w:val="0"/>
          <w:sz w:val="32"/>
          <w:szCs w:val="36"/>
          <w:lang w:val="en-US" w:eastAsia="zh-CN" w:bidi="ar-SA"/>
        </w:rPr>
      </w:pPr>
      <w:bookmarkStart w:id="119" w:name="_Toc25474"/>
      <w:bookmarkStart w:id="120" w:name="_Toc20951"/>
      <w:bookmarkStart w:id="121" w:name="_Toc1369"/>
      <w:bookmarkStart w:id="122" w:name="_Toc15760"/>
      <w:bookmarkStart w:id="123" w:name="_Toc19427"/>
      <w:r>
        <w:rPr>
          <w:rFonts w:hint="eastAsia" w:ascii="黑体" w:hAnsi="黑体" w:eastAsia="黑体" w:cs="宋体"/>
          <w:b w:val="0"/>
          <w:bCs/>
          <w:kern w:val="2"/>
          <w:sz w:val="32"/>
          <w:szCs w:val="32"/>
          <w:lang w:val="en-US" w:eastAsia="zh-CN" w:bidi="ar-SA"/>
        </w:rPr>
        <w:t>第二十四条【涉水建设项目实施过程监管】</w:t>
      </w:r>
      <w:bookmarkEnd w:id="119"/>
      <w:bookmarkEnd w:id="120"/>
      <w:bookmarkEnd w:id="121"/>
      <w:bookmarkEnd w:id="122"/>
      <w:bookmarkEnd w:id="123"/>
      <w:r>
        <w:rPr>
          <w:rFonts w:hint="eastAsia" w:ascii="仿宋_GB2312" w:hAnsi="宋体" w:eastAsia="仿宋_GB2312" w:cs="宋体"/>
          <w:kern w:val="0"/>
          <w:sz w:val="32"/>
          <w:szCs w:val="36"/>
          <w:lang w:val="en-US" w:eastAsia="zh-CN" w:bidi="ar-SA"/>
        </w:rPr>
        <w:t>在水库管理范围和保护范围内的建设活动应当严格按照水行政主管部门批准或者备案的方案实施。建设项目开工前，建设单位应与水库管理单位签订涉水管理协议。建设过程应接受水行政主管部门和水库管理单位的检查监督。</w:t>
      </w:r>
    </w:p>
    <w:p>
      <w:pPr>
        <w:pageBreakBefore w:val="0"/>
        <w:kinsoku/>
        <w:wordWrap/>
        <w:overflowPunct/>
        <w:topLinePunct w:val="0"/>
        <w:autoSpaceDN/>
        <w:bidi w:val="0"/>
        <w:adjustRightInd/>
        <w:snapToGrid/>
        <w:spacing w:line="578" w:lineRule="exact"/>
        <w:ind w:firstLine="640" w:firstLineChars="200"/>
        <w:textAlignment w:val="auto"/>
        <w:rPr>
          <w:rFonts w:ascii="仿宋_GB2312" w:hAnsi="宋体" w:eastAsia="仿宋_GB2312" w:cs="宋体"/>
          <w:kern w:val="0"/>
          <w:sz w:val="32"/>
          <w:szCs w:val="36"/>
          <w:lang w:val="en-US" w:eastAsia="zh-CN" w:bidi="ar-SA"/>
        </w:rPr>
      </w:pPr>
      <w:r>
        <w:rPr>
          <w:rFonts w:hint="eastAsia" w:ascii="仿宋_GB2312" w:hAnsi="宋体" w:eastAsia="仿宋_GB2312" w:cs="宋体"/>
          <w:kern w:val="0"/>
          <w:sz w:val="32"/>
          <w:szCs w:val="36"/>
          <w:lang w:val="en-US" w:eastAsia="zh-CN" w:bidi="ar-SA"/>
        </w:rPr>
        <w:t>建设过程中发生影响水库工程安全的险情时，建设单位应当立即停止建设活动，采取应急处置措施，并将险情第一时间通报水库管理单位。损坏水库相关设施的，责任单位或者个人应当按照不低于原设计的标准限时修复或者重建，并承担相应费用。</w:t>
      </w:r>
    </w:p>
    <w:p>
      <w:pPr>
        <w:pageBreakBefore w:val="0"/>
        <w:kinsoku/>
        <w:wordWrap/>
        <w:overflowPunct/>
        <w:topLinePunct w:val="0"/>
        <w:autoSpaceDN/>
        <w:bidi w:val="0"/>
        <w:adjustRightInd/>
        <w:snapToGrid/>
        <w:spacing w:line="578" w:lineRule="exact"/>
        <w:ind w:firstLine="640" w:firstLineChars="200"/>
        <w:textAlignment w:val="auto"/>
        <w:rPr>
          <w:rFonts w:ascii="仿宋_GB2312" w:hAnsi="宋体" w:eastAsia="仿宋_GB2312" w:cs="宋体"/>
          <w:kern w:val="0"/>
          <w:sz w:val="32"/>
          <w:szCs w:val="36"/>
          <w:lang w:val="en-US" w:eastAsia="zh-CN" w:bidi="ar-SA"/>
        </w:rPr>
      </w:pPr>
      <w:r>
        <w:rPr>
          <w:rFonts w:hint="eastAsia" w:ascii="仿宋_GB2312" w:hAnsi="宋体" w:eastAsia="仿宋_GB2312" w:cs="宋体"/>
          <w:kern w:val="0"/>
          <w:sz w:val="32"/>
          <w:szCs w:val="36"/>
          <w:lang w:val="en-US" w:eastAsia="zh-CN" w:bidi="ar-SA"/>
        </w:rPr>
        <w:t>水库管理单位发现水库管理范围和保护范围内危害水库安全的建设行为，应当立即制止，要求建设单位或者个人采取措施消除安全隐患，并及时报告相关部门处置。</w:t>
      </w:r>
    </w:p>
    <w:p>
      <w:pPr>
        <w:keepNext w:val="0"/>
        <w:keepLines w:val="0"/>
        <w:pageBreakBefore w:val="0"/>
        <w:kinsoku/>
        <w:wordWrap/>
        <w:overflowPunct/>
        <w:topLinePunct w:val="0"/>
        <w:autoSpaceDN/>
        <w:bidi w:val="0"/>
        <w:adjustRightInd/>
        <w:snapToGrid/>
        <w:spacing w:line="578" w:lineRule="exact"/>
        <w:ind w:firstLine="640" w:firstLineChars="200"/>
        <w:textAlignment w:val="auto"/>
        <w:rPr>
          <w:rFonts w:ascii="仿宋_GB2312" w:hAnsi="宋体" w:eastAsia="仿宋_GB2312" w:cs="宋体"/>
          <w:kern w:val="0"/>
          <w:sz w:val="32"/>
          <w:szCs w:val="36"/>
        </w:rPr>
      </w:pPr>
      <w:bookmarkStart w:id="124" w:name="_Toc31331"/>
      <w:bookmarkStart w:id="125" w:name="_Toc32021"/>
      <w:bookmarkStart w:id="126" w:name="_Toc11779"/>
      <w:bookmarkStart w:id="127" w:name="_Toc18579"/>
      <w:bookmarkStart w:id="128" w:name="_Toc2625"/>
      <w:r>
        <w:rPr>
          <w:rFonts w:hint="eastAsia" w:ascii="黑体" w:hAnsi="黑体" w:eastAsia="黑体" w:cs="宋体"/>
          <w:sz w:val="32"/>
          <w:szCs w:val="32"/>
        </w:rPr>
        <w:t>第二十五条【坝顶道路使用要求】</w:t>
      </w:r>
      <w:bookmarkEnd w:id="124"/>
      <w:bookmarkEnd w:id="125"/>
      <w:bookmarkEnd w:id="126"/>
      <w:bookmarkEnd w:id="127"/>
      <w:bookmarkEnd w:id="128"/>
      <w:r>
        <w:rPr>
          <w:rFonts w:hint="eastAsia" w:ascii="仿宋_GB2312" w:hAnsi="宋体" w:eastAsia="仿宋_GB2312" w:cs="宋体"/>
          <w:kern w:val="0"/>
          <w:sz w:val="32"/>
          <w:szCs w:val="36"/>
        </w:rPr>
        <w:t>水库大坝坝顶、闸顶交通道、巡库路等，由水库管理单位设置机动车禁止通行标志，除执行防汛抢险、工程管理任务以及经水库管理单位同意的机动车外，其他机动车禁止通行。</w:t>
      </w:r>
    </w:p>
    <w:p>
      <w:pPr>
        <w:keepNext w:val="0"/>
        <w:keepLines w:val="0"/>
        <w:pageBreakBefore w:val="0"/>
        <w:kinsoku/>
        <w:wordWrap/>
        <w:overflowPunct/>
        <w:topLinePunct w:val="0"/>
        <w:autoSpaceDN/>
        <w:bidi w:val="0"/>
        <w:adjustRightInd/>
        <w:snapToGrid/>
        <w:spacing w:line="578" w:lineRule="exact"/>
        <w:ind w:firstLine="640" w:firstLineChars="200"/>
        <w:textAlignment w:val="auto"/>
        <w:rPr>
          <w:rFonts w:ascii="仿宋_GB2312" w:hAnsi="宋体" w:eastAsia="仿宋_GB2312" w:cs="宋体"/>
          <w:kern w:val="0"/>
          <w:sz w:val="32"/>
          <w:szCs w:val="36"/>
        </w:rPr>
      </w:pPr>
      <w:r>
        <w:rPr>
          <w:rFonts w:hint="eastAsia" w:ascii="仿宋_GB2312" w:hAnsi="宋体" w:eastAsia="仿宋_GB2312" w:cs="宋体"/>
          <w:kern w:val="0"/>
          <w:sz w:val="32"/>
          <w:szCs w:val="36"/>
        </w:rPr>
        <w:t>水库大坝坝顶确需兼作公路的，应当经过科学论证，报水行政主管部门批准。公路主管部门负责组织做好公路路面的维修养护管理，并结合水库安全要求设置交通标识。</w:t>
      </w:r>
    </w:p>
    <w:p>
      <w:pPr>
        <w:keepNext w:val="0"/>
        <w:keepLines w:val="0"/>
        <w:pageBreakBefore w:val="0"/>
        <w:widowControl w:val="0"/>
        <w:tabs>
          <w:tab w:val="left" w:pos="0"/>
        </w:tabs>
        <w:kinsoku/>
        <w:wordWrap/>
        <w:overflowPunct/>
        <w:topLinePunct w:val="0"/>
        <w:autoSpaceDN/>
        <w:bidi w:val="0"/>
        <w:adjustRightInd/>
        <w:snapToGrid/>
        <w:spacing w:before="0" w:beforeLines="0" w:after="0" w:afterLines="0" w:line="578" w:lineRule="exact"/>
        <w:ind w:firstLine="640" w:firstLineChars="200"/>
        <w:jc w:val="both"/>
        <w:textAlignment w:val="auto"/>
        <w:outlineLvl w:val="1"/>
        <w:rPr>
          <w:rFonts w:ascii="仿宋_GB2312" w:hAnsi="宋体" w:eastAsia="仿宋_GB2312" w:cs="宋体"/>
          <w:kern w:val="0"/>
          <w:sz w:val="32"/>
          <w:szCs w:val="36"/>
          <w:lang w:val="en-US" w:eastAsia="zh-CN" w:bidi="ar-SA"/>
        </w:rPr>
      </w:pPr>
      <w:bookmarkStart w:id="129" w:name="_Toc13093"/>
      <w:bookmarkStart w:id="130" w:name="_Toc20128"/>
      <w:bookmarkStart w:id="131" w:name="_Toc22745"/>
      <w:bookmarkStart w:id="132" w:name="_Toc23681"/>
      <w:bookmarkStart w:id="133" w:name="_Toc7670"/>
      <w:r>
        <w:rPr>
          <w:rFonts w:hint="eastAsia" w:ascii="黑体" w:hAnsi="黑体" w:eastAsia="黑体" w:cs="宋体"/>
          <w:b w:val="0"/>
          <w:bCs/>
          <w:kern w:val="2"/>
          <w:sz w:val="32"/>
          <w:szCs w:val="32"/>
          <w:lang w:val="en-US" w:eastAsia="zh-CN" w:bidi="ar-SA"/>
        </w:rPr>
        <w:t>第二十六条【开放共享】</w:t>
      </w:r>
      <w:bookmarkEnd w:id="129"/>
      <w:bookmarkEnd w:id="130"/>
      <w:bookmarkEnd w:id="131"/>
      <w:bookmarkEnd w:id="132"/>
      <w:bookmarkEnd w:id="133"/>
      <w:r>
        <w:rPr>
          <w:rFonts w:hint="eastAsia" w:ascii="仿宋_GB2312" w:hAnsi="宋体" w:eastAsia="仿宋_GB2312" w:cs="宋体"/>
          <w:kern w:val="0"/>
          <w:sz w:val="32"/>
          <w:szCs w:val="36"/>
          <w:lang w:val="en-US" w:eastAsia="zh-CN" w:bidi="ar-SA"/>
        </w:rPr>
        <w:t>水库的开放遵循安全第一、保护优先、有序开放的原则，服从防洪安全、水污染防治、水资源保护的总体要求。</w:t>
      </w:r>
    </w:p>
    <w:p>
      <w:pPr>
        <w:pageBreakBefore w:val="0"/>
        <w:kinsoku/>
        <w:wordWrap/>
        <w:overflowPunct/>
        <w:topLinePunct w:val="0"/>
        <w:autoSpaceDN/>
        <w:bidi w:val="0"/>
        <w:adjustRightInd/>
        <w:snapToGrid/>
        <w:spacing w:line="578" w:lineRule="exact"/>
        <w:ind w:firstLine="640" w:firstLineChars="200"/>
        <w:textAlignment w:val="auto"/>
        <w:rPr>
          <w:rFonts w:ascii="仿宋_GB2312" w:hAnsi="宋体" w:eastAsia="仿宋_GB2312" w:cs="宋体"/>
          <w:kern w:val="0"/>
          <w:sz w:val="32"/>
          <w:szCs w:val="36"/>
          <w:lang w:val="en-US" w:eastAsia="zh-CN" w:bidi="ar-SA"/>
        </w:rPr>
      </w:pPr>
      <w:r>
        <w:rPr>
          <w:rFonts w:hint="eastAsia" w:ascii="仿宋_GB2312" w:hAnsi="宋体" w:eastAsia="仿宋_GB2312" w:cs="宋体"/>
          <w:kern w:val="0"/>
          <w:sz w:val="32"/>
          <w:szCs w:val="36"/>
          <w:lang w:val="en-US" w:eastAsia="zh-CN" w:bidi="ar-SA"/>
        </w:rPr>
        <w:t>具有供水功能的水库，原则上封闭管理；以防洪、生态景观为主要功能的水库，在确保工程安全、生态安全、水域不萎缩、水质标准不降低、功能正常发挥的前提下，可向公众开放。</w:t>
      </w:r>
    </w:p>
    <w:p>
      <w:pPr>
        <w:pageBreakBefore w:val="0"/>
        <w:kinsoku/>
        <w:wordWrap/>
        <w:overflowPunct/>
        <w:topLinePunct w:val="0"/>
        <w:autoSpaceDN/>
        <w:bidi w:val="0"/>
        <w:adjustRightInd/>
        <w:snapToGrid/>
        <w:spacing w:line="578" w:lineRule="exact"/>
        <w:ind w:firstLine="640" w:firstLineChars="200"/>
        <w:textAlignment w:val="auto"/>
        <w:rPr>
          <w:rFonts w:ascii="仿宋_GB2312" w:hAnsi="宋体" w:eastAsia="仿宋_GB2312" w:cs="宋体"/>
          <w:kern w:val="0"/>
          <w:sz w:val="32"/>
          <w:szCs w:val="36"/>
          <w:lang w:val="en-US" w:eastAsia="zh-CN" w:bidi="ar-SA"/>
        </w:rPr>
      </w:pPr>
      <w:r>
        <w:rPr>
          <w:rFonts w:hint="eastAsia" w:ascii="仿宋_GB2312" w:hAnsi="宋体" w:eastAsia="仿宋_GB2312" w:cs="宋体"/>
          <w:kern w:val="0"/>
          <w:sz w:val="32"/>
          <w:szCs w:val="36"/>
          <w:lang w:val="en-US" w:eastAsia="zh-CN" w:bidi="ar-SA"/>
        </w:rPr>
        <w:t>水库的开放应当按规定进行研究论证，并充分征求水务、规划和自然资源、生态环境、林业等部门以及公众的意见。各责任主体依据各自职责做好水库开放区域的工程安全运行和人身财产安全的管理和保护工作。</w:t>
      </w:r>
    </w:p>
    <w:p>
      <w:pPr>
        <w:keepNext w:val="0"/>
        <w:keepLines w:val="0"/>
        <w:pageBreakBefore w:val="0"/>
        <w:widowControl w:val="0"/>
        <w:tabs>
          <w:tab w:val="left" w:pos="0"/>
        </w:tabs>
        <w:kinsoku/>
        <w:wordWrap/>
        <w:overflowPunct/>
        <w:topLinePunct w:val="0"/>
        <w:autoSpaceDN/>
        <w:bidi w:val="0"/>
        <w:adjustRightInd/>
        <w:snapToGrid/>
        <w:spacing w:before="0" w:beforeLines="0" w:after="0" w:afterLines="0" w:line="578" w:lineRule="exact"/>
        <w:ind w:firstLine="640" w:firstLineChars="200"/>
        <w:jc w:val="both"/>
        <w:textAlignment w:val="auto"/>
        <w:outlineLvl w:val="1"/>
        <w:rPr>
          <w:rFonts w:ascii="Times New Roman" w:hAnsi="Times New Roman" w:eastAsia="宋体" w:cs="Times New Roman"/>
          <w:b/>
          <w:kern w:val="2"/>
          <w:sz w:val="32"/>
          <w:szCs w:val="24"/>
          <w:lang w:val="en-US" w:eastAsia="zh-CN" w:bidi="ar-SA"/>
        </w:rPr>
      </w:pPr>
      <w:bookmarkStart w:id="134" w:name="_Toc12086"/>
      <w:bookmarkStart w:id="135" w:name="_Toc28808"/>
      <w:bookmarkStart w:id="136" w:name="_Toc30698"/>
      <w:bookmarkStart w:id="137" w:name="_Toc24842"/>
      <w:bookmarkStart w:id="138" w:name="_Toc10426"/>
      <w:r>
        <w:rPr>
          <w:rFonts w:hint="eastAsia" w:ascii="黑体" w:hAnsi="黑体" w:eastAsia="黑体" w:cs="宋体"/>
          <w:b w:val="0"/>
          <w:bCs/>
          <w:kern w:val="2"/>
          <w:sz w:val="32"/>
          <w:szCs w:val="32"/>
          <w:lang w:val="en-US" w:eastAsia="zh-CN" w:bidi="ar-SA"/>
        </w:rPr>
        <w:t>第二十七条【水库承包租赁要求】</w:t>
      </w:r>
      <w:bookmarkEnd w:id="134"/>
      <w:bookmarkEnd w:id="135"/>
      <w:bookmarkEnd w:id="136"/>
      <w:bookmarkEnd w:id="137"/>
      <w:bookmarkEnd w:id="138"/>
      <w:r>
        <w:rPr>
          <w:rFonts w:hint="eastAsia" w:ascii="仿宋_GB2312" w:hAnsi="宋体" w:eastAsia="仿宋_GB2312" w:cs="宋体"/>
          <w:kern w:val="0"/>
          <w:sz w:val="32"/>
          <w:szCs w:val="36"/>
          <w:lang w:val="en-US" w:eastAsia="zh-CN" w:bidi="ar-SA"/>
        </w:rPr>
        <w:t>全市国有水库禁止租赁、承包，已租赁、承包的，要依法解除或者终止租赁、承包关系。解除或者终止前，水库安全运行管理责任仍由水库业主单位和水库管理单位承担，水库承租方应当协助水库业主单位和水库管理单位做好水库安全运行管理有关工作，不得影响水库防洪调度、除险加固等安全管理工作。</w:t>
      </w:r>
    </w:p>
    <w:p>
      <w:pPr>
        <w:pageBreakBefore w:val="0"/>
        <w:kinsoku/>
        <w:wordWrap/>
        <w:overflowPunct/>
        <w:topLinePunct w:val="0"/>
        <w:autoSpaceDN/>
        <w:bidi w:val="0"/>
        <w:adjustRightInd/>
        <w:snapToGrid/>
        <w:spacing w:line="578" w:lineRule="exact"/>
        <w:ind w:firstLine="640" w:firstLineChars="200"/>
        <w:textAlignment w:val="auto"/>
        <w:rPr>
          <w:rFonts w:ascii="Times New Roman" w:hAnsi="Times New Roman" w:eastAsia="宋体" w:cs="Times New Roman"/>
          <w:sz w:val="32"/>
          <w:szCs w:val="32"/>
        </w:rPr>
      </w:pPr>
    </w:p>
    <w:p>
      <w:pPr>
        <w:pageBreakBefore w:val="0"/>
        <w:kinsoku/>
        <w:wordWrap/>
        <w:overflowPunct/>
        <w:topLinePunct w:val="0"/>
        <w:autoSpaceDN/>
        <w:bidi w:val="0"/>
        <w:adjustRightInd/>
        <w:snapToGrid/>
        <w:spacing w:line="578" w:lineRule="exact"/>
        <w:jc w:val="center"/>
        <w:textAlignment w:val="auto"/>
        <w:rPr>
          <w:rFonts w:ascii="黑体" w:hAnsi="黑体" w:eastAsia="黑体" w:cs="黑体"/>
          <w:sz w:val="32"/>
          <w:szCs w:val="28"/>
        </w:rPr>
      </w:pPr>
      <w:bookmarkStart w:id="139" w:name="_Toc9238"/>
      <w:bookmarkStart w:id="140" w:name="_Toc2519"/>
      <w:bookmarkStart w:id="141" w:name="_Toc26345"/>
      <w:bookmarkStart w:id="142" w:name="_Toc23973"/>
      <w:bookmarkStart w:id="143" w:name="_Toc30361"/>
      <w:r>
        <w:rPr>
          <w:rFonts w:hint="eastAsia" w:ascii="黑体" w:hAnsi="黑体" w:eastAsia="黑体" w:cs="黑体"/>
          <w:sz w:val="32"/>
          <w:szCs w:val="28"/>
        </w:rPr>
        <w:t>第三章 运行和维护</w:t>
      </w:r>
      <w:bookmarkEnd w:id="139"/>
      <w:bookmarkEnd w:id="140"/>
      <w:bookmarkEnd w:id="141"/>
      <w:bookmarkEnd w:id="142"/>
      <w:bookmarkEnd w:id="143"/>
    </w:p>
    <w:p>
      <w:pPr>
        <w:keepNext w:val="0"/>
        <w:keepLines w:val="0"/>
        <w:pageBreakBefore w:val="0"/>
        <w:widowControl w:val="0"/>
        <w:tabs>
          <w:tab w:val="left" w:pos="0"/>
        </w:tabs>
        <w:kinsoku/>
        <w:wordWrap/>
        <w:overflowPunct/>
        <w:topLinePunct w:val="0"/>
        <w:autoSpaceDN/>
        <w:bidi w:val="0"/>
        <w:adjustRightInd/>
        <w:snapToGrid/>
        <w:spacing w:before="0" w:beforeLines="0" w:after="0" w:afterLines="0" w:line="578" w:lineRule="exact"/>
        <w:ind w:firstLine="640" w:firstLineChars="200"/>
        <w:jc w:val="both"/>
        <w:textAlignment w:val="auto"/>
        <w:outlineLvl w:val="1"/>
        <w:rPr>
          <w:rFonts w:ascii="仿宋_GB2312" w:hAnsi="宋体" w:eastAsia="仿宋_GB2312" w:cs="宋体"/>
          <w:kern w:val="0"/>
          <w:sz w:val="32"/>
          <w:szCs w:val="36"/>
          <w:lang w:val="en-US" w:eastAsia="zh-CN" w:bidi="ar-SA"/>
        </w:rPr>
      </w:pPr>
      <w:bookmarkStart w:id="144" w:name="_Toc24565"/>
      <w:bookmarkStart w:id="145" w:name="_Toc7125"/>
      <w:bookmarkStart w:id="146" w:name="_Toc23844"/>
      <w:bookmarkStart w:id="147" w:name="_Toc19406"/>
      <w:bookmarkStart w:id="148" w:name="_Toc10629"/>
      <w:r>
        <w:rPr>
          <w:rFonts w:hint="eastAsia" w:ascii="黑体" w:hAnsi="黑体" w:eastAsia="黑体" w:cs="宋体"/>
          <w:b w:val="0"/>
          <w:bCs/>
          <w:kern w:val="2"/>
          <w:sz w:val="32"/>
          <w:szCs w:val="32"/>
          <w:lang w:val="en-US" w:eastAsia="zh-CN" w:bidi="ar-SA"/>
        </w:rPr>
        <w:t>第二十八条【水库及配套附属设施规划要求】</w:t>
      </w:r>
      <w:bookmarkEnd w:id="144"/>
      <w:bookmarkEnd w:id="145"/>
      <w:bookmarkEnd w:id="146"/>
      <w:r>
        <w:rPr>
          <w:rFonts w:hint="eastAsia" w:ascii="仿宋_GB2312" w:hAnsi="宋体" w:eastAsia="仿宋_GB2312" w:cs="宋体"/>
          <w:kern w:val="0"/>
          <w:sz w:val="32"/>
          <w:szCs w:val="36"/>
          <w:lang w:val="en-US" w:eastAsia="zh-CN" w:bidi="ar-SA"/>
        </w:rPr>
        <w:t>水行政主管部门应当将符合规范要求的水库及其配套附属设施纳入水务规划，并与国土空间规划做好衔接。符合规划的水库及其配套附属设施，规划和自然资源部门应当保障设施用地。</w:t>
      </w:r>
    </w:p>
    <w:p>
      <w:pPr>
        <w:keepNext w:val="0"/>
        <w:keepLines w:val="0"/>
        <w:pageBreakBefore w:val="0"/>
        <w:widowControl w:val="0"/>
        <w:tabs>
          <w:tab w:val="left" w:pos="0"/>
        </w:tabs>
        <w:kinsoku/>
        <w:wordWrap/>
        <w:overflowPunct/>
        <w:topLinePunct w:val="0"/>
        <w:autoSpaceDN/>
        <w:bidi w:val="0"/>
        <w:adjustRightInd/>
        <w:snapToGrid/>
        <w:spacing w:before="0" w:beforeLines="0" w:after="0" w:afterLines="0" w:line="578" w:lineRule="exact"/>
        <w:ind w:firstLine="640" w:firstLineChars="200"/>
        <w:jc w:val="both"/>
        <w:textAlignment w:val="auto"/>
        <w:outlineLvl w:val="1"/>
        <w:rPr>
          <w:rFonts w:ascii="仿宋_GB2312" w:hAnsi="宋体" w:eastAsia="仿宋_GB2312" w:cs="宋体"/>
          <w:kern w:val="0"/>
          <w:sz w:val="32"/>
          <w:szCs w:val="36"/>
          <w:lang w:val="en-US" w:eastAsia="zh-CN" w:bidi="ar-SA"/>
        </w:rPr>
      </w:pPr>
      <w:bookmarkStart w:id="149" w:name="_Toc28672"/>
      <w:bookmarkStart w:id="150" w:name="_Toc18552"/>
      <w:bookmarkStart w:id="151" w:name="_Toc28853"/>
      <w:r>
        <w:rPr>
          <w:rFonts w:hint="eastAsia" w:ascii="黑体" w:hAnsi="黑体" w:eastAsia="黑体" w:cs="宋体"/>
          <w:b w:val="0"/>
          <w:bCs/>
          <w:kern w:val="2"/>
          <w:sz w:val="32"/>
          <w:szCs w:val="32"/>
          <w:lang w:val="en-US" w:eastAsia="zh-CN" w:bidi="ar-SA"/>
        </w:rPr>
        <w:t>第二十九条【专业化管理】</w:t>
      </w:r>
      <w:bookmarkEnd w:id="147"/>
      <w:bookmarkEnd w:id="148"/>
      <w:bookmarkEnd w:id="149"/>
      <w:bookmarkEnd w:id="150"/>
      <w:bookmarkEnd w:id="151"/>
      <w:r>
        <w:rPr>
          <w:rFonts w:hint="eastAsia" w:ascii="仿宋_GB2312" w:hAnsi="宋体" w:eastAsia="仿宋_GB2312" w:cs="宋体"/>
          <w:kern w:val="0"/>
          <w:sz w:val="32"/>
          <w:szCs w:val="36"/>
          <w:lang w:val="en-US" w:eastAsia="zh-CN" w:bidi="ar-SA"/>
        </w:rPr>
        <w:t>市水行政主管部门负责组织编制水库运行维护、水库设施设置等相关规范，指导水库运行维护工作。</w:t>
      </w:r>
    </w:p>
    <w:p>
      <w:pPr>
        <w:pageBreakBefore w:val="0"/>
        <w:kinsoku/>
        <w:wordWrap/>
        <w:overflowPunct/>
        <w:topLinePunct w:val="0"/>
        <w:autoSpaceDN/>
        <w:bidi w:val="0"/>
        <w:adjustRightInd/>
        <w:snapToGrid/>
        <w:spacing w:line="578" w:lineRule="exact"/>
        <w:ind w:firstLine="640" w:firstLineChars="200"/>
        <w:textAlignment w:val="auto"/>
        <w:rPr>
          <w:rFonts w:ascii="仿宋_GB2312" w:hAnsi="宋体" w:eastAsia="仿宋_GB2312" w:cs="宋体"/>
          <w:kern w:val="0"/>
          <w:sz w:val="32"/>
          <w:szCs w:val="36"/>
          <w:lang w:val="en-US" w:eastAsia="zh-CN" w:bidi="ar-SA"/>
        </w:rPr>
      </w:pPr>
      <w:r>
        <w:rPr>
          <w:rFonts w:hint="eastAsia" w:ascii="仿宋_GB2312" w:hAnsi="宋体" w:eastAsia="仿宋_GB2312" w:cs="宋体"/>
          <w:kern w:val="0"/>
          <w:sz w:val="32"/>
          <w:szCs w:val="36"/>
          <w:lang w:val="en-US" w:eastAsia="zh-CN" w:bidi="ar-SA"/>
        </w:rPr>
        <w:t>市、区人民政府要积极推行水库专业化、标准化管理，可以按区域或者水系对多个小型水库实行统一管理。</w:t>
      </w:r>
    </w:p>
    <w:p>
      <w:pPr>
        <w:keepNext w:val="0"/>
        <w:keepLines w:val="0"/>
        <w:pageBreakBefore w:val="0"/>
        <w:widowControl w:val="0"/>
        <w:tabs>
          <w:tab w:val="left" w:pos="0"/>
        </w:tabs>
        <w:kinsoku/>
        <w:wordWrap/>
        <w:overflowPunct/>
        <w:topLinePunct w:val="0"/>
        <w:autoSpaceDN/>
        <w:bidi w:val="0"/>
        <w:adjustRightInd/>
        <w:snapToGrid/>
        <w:spacing w:before="0" w:beforeLines="0" w:after="0" w:afterLines="0" w:line="578" w:lineRule="exact"/>
        <w:ind w:firstLine="640" w:firstLineChars="200"/>
        <w:jc w:val="both"/>
        <w:textAlignment w:val="auto"/>
        <w:outlineLvl w:val="1"/>
        <w:rPr>
          <w:rFonts w:ascii="Times New Roman" w:hAnsi="Times New Roman" w:eastAsia="宋体" w:cs="Times New Roman"/>
          <w:b/>
          <w:kern w:val="2"/>
          <w:sz w:val="32"/>
          <w:szCs w:val="24"/>
          <w:lang w:val="en-US" w:eastAsia="zh-CN" w:bidi="ar-SA"/>
        </w:rPr>
      </w:pPr>
      <w:bookmarkStart w:id="152" w:name="_Toc31006"/>
      <w:bookmarkStart w:id="153" w:name="_Toc26322"/>
      <w:bookmarkStart w:id="154" w:name="_Toc12769"/>
      <w:bookmarkStart w:id="155" w:name="_Toc11108"/>
      <w:bookmarkStart w:id="156" w:name="_Toc21383"/>
      <w:r>
        <w:rPr>
          <w:rFonts w:hint="eastAsia" w:ascii="黑体" w:hAnsi="黑体" w:eastAsia="黑体" w:cs="宋体"/>
          <w:b w:val="0"/>
          <w:bCs/>
          <w:kern w:val="2"/>
          <w:sz w:val="32"/>
          <w:szCs w:val="32"/>
          <w:lang w:val="en-US" w:eastAsia="zh-CN" w:bidi="ar-SA"/>
        </w:rPr>
        <w:t>第三十条【经费落实】</w:t>
      </w:r>
      <w:bookmarkEnd w:id="152"/>
      <w:bookmarkEnd w:id="153"/>
      <w:bookmarkEnd w:id="154"/>
      <w:bookmarkEnd w:id="155"/>
      <w:bookmarkEnd w:id="156"/>
      <w:r>
        <w:rPr>
          <w:rFonts w:hint="eastAsia" w:ascii="仿宋_GB2312" w:hAnsi="宋体" w:eastAsia="仿宋_GB2312" w:cs="宋体"/>
          <w:kern w:val="0"/>
          <w:sz w:val="32"/>
          <w:szCs w:val="36"/>
          <w:lang w:val="en-US" w:eastAsia="zh-CN" w:bidi="ar-SA"/>
        </w:rPr>
        <w:t>水库管理单位按相关标准申报水库运行管理、维修养护、除险加固、应急抢险等经费，水库业主单位负责落实。国有水库的管理经费由市、区财政足额保障。企业、农村集体经济组织及自然人产权的水库涉及公共安全和公共利益的管理事项，市、区人民政府可给予财政支持或者协助管理。</w:t>
      </w:r>
    </w:p>
    <w:p>
      <w:pPr>
        <w:keepNext w:val="0"/>
        <w:keepLines w:val="0"/>
        <w:pageBreakBefore w:val="0"/>
        <w:widowControl w:val="0"/>
        <w:tabs>
          <w:tab w:val="left" w:pos="0"/>
        </w:tabs>
        <w:kinsoku/>
        <w:wordWrap/>
        <w:overflowPunct/>
        <w:topLinePunct w:val="0"/>
        <w:autoSpaceDN/>
        <w:bidi w:val="0"/>
        <w:adjustRightInd/>
        <w:snapToGrid/>
        <w:spacing w:before="0" w:beforeLines="0" w:after="0" w:afterLines="0" w:line="578" w:lineRule="exact"/>
        <w:ind w:firstLine="640" w:firstLineChars="200"/>
        <w:jc w:val="both"/>
        <w:textAlignment w:val="auto"/>
        <w:outlineLvl w:val="1"/>
        <w:rPr>
          <w:rFonts w:ascii="Times New Roman" w:hAnsi="Times New Roman" w:eastAsia="宋体" w:cs="Times New Roman"/>
          <w:b/>
          <w:kern w:val="2"/>
          <w:sz w:val="32"/>
          <w:szCs w:val="24"/>
          <w:lang w:val="en-US" w:eastAsia="zh-CN" w:bidi="ar-SA"/>
        </w:rPr>
      </w:pPr>
      <w:bookmarkStart w:id="157" w:name="_Toc8254"/>
      <w:bookmarkStart w:id="158" w:name="_Toc24779"/>
      <w:bookmarkStart w:id="159" w:name="_Toc16559"/>
      <w:bookmarkStart w:id="160" w:name="_Toc5094"/>
      <w:bookmarkStart w:id="161" w:name="_Toc12195"/>
      <w:r>
        <w:rPr>
          <w:rFonts w:hint="eastAsia" w:ascii="黑体" w:hAnsi="黑体" w:eastAsia="黑体" w:cs="宋体"/>
          <w:b w:val="0"/>
          <w:bCs/>
          <w:kern w:val="2"/>
          <w:sz w:val="32"/>
          <w:szCs w:val="32"/>
          <w:lang w:val="en-US" w:eastAsia="zh-CN" w:bidi="ar-SA"/>
        </w:rPr>
        <w:t>第三十一条【设施建设】</w:t>
      </w:r>
      <w:bookmarkEnd w:id="157"/>
      <w:bookmarkEnd w:id="158"/>
      <w:bookmarkEnd w:id="159"/>
      <w:bookmarkEnd w:id="160"/>
      <w:bookmarkEnd w:id="161"/>
      <w:r>
        <w:rPr>
          <w:rFonts w:hint="eastAsia" w:ascii="仿宋_GB2312" w:hAnsi="宋体" w:eastAsia="仿宋_GB2312" w:cs="宋体"/>
          <w:kern w:val="0"/>
          <w:sz w:val="32"/>
          <w:szCs w:val="36"/>
          <w:lang w:val="en-US" w:eastAsia="zh-CN" w:bidi="ar-SA"/>
        </w:rPr>
        <w:t>水库应当配套建设符合城市永久性建筑及行业相关标准的生产管理设施，包括生产办公和日常管理、维修维护、应急抢险及其他管理的设施。</w:t>
      </w:r>
    </w:p>
    <w:p>
      <w:pPr>
        <w:keepNext w:val="0"/>
        <w:keepLines w:val="0"/>
        <w:pageBreakBefore w:val="0"/>
        <w:widowControl w:val="0"/>
        <w:tabs>
          <w:tab w:val="left" w:pos="0"/>
        </w:tabs>
        <w:kinsoku/>
        <w:wordWrap/>
        <w:overflowPunct/>
        <w:topLinePunct w:val="0"/>
        <w:autoSpaceDN/>
        <w:bidi w:val="0"/>
        <w:adjustRightInd/>
        <w:snapToGrid/>
        <w:spacing w:before="0" w:beforeLines="0" w:after="0" w:afterLines="0" w:line="578" w:lineRule="exact"/>
        <w:ind w:firstLine="640" w:firstLineChars="200"/>
        <w:jc w:val="both"/>
        <w:textAlignment w:val="auto"/>
        <w:outlineLvl w:val="1"/>
        <w:rPr>
          <w:rFonts w:ascii="Times New Roman" w:hAnsi="Times New Roman" w:eastAsia="宋体" w:cs="Times New Roman"/>
          <w:b/>
          <w:kern w:val="2"/>
          <w:sz w:val="32"/>
          <w:szCs w:val="24"/>
          <w:lang w:val="en-US" w:eastAsia="zh-CN" w:bidi="ar-SA"/>
        </w:rPr>
      </w:pPr>
      <w:bookmarkStart w:id="162" w:name="_Toc8337"/>
      <w:bookmarkStart w:id="163" w:name="_Toc20350"/>
      <w:bookmarkStart w:id="164" w:name="_Toc11724"/>
      <w:bookmarkStart w:id="165" w:name="_Toc21592"/>
      <w:bookmarkStart w:id="166" w:name="_Toc25287"/>
      <w:r>
        <w:rPr>
          <w:rFonts w:hint="eastAsia" w:ascii="黑体" w:hAnsi="黑体" w:eastAsia="黑体" w:cs="宋体"/>
          <w:b w:val="0"/>
          <w:bCs/>
          <w:kern w:val="2"/>
          <w:sz w:val="32"/>
          <w:szCs w:val="32"/>
          <w:lang w:val="en-US" w:eastAsia="zh-CN" w:bidi="ar-SA"/>
        </w:rPr>
        <w:t>第三十二条【人员配置】</w:t>
      </w:r>
      <w:bookmarkEnd w:id="162"/>
      <w:bookmarkEnd w:id="163"/>
      <w:bookmarkEnd w:id="164"/>
      <w:bookmarkEnd w:id="165"/>
      <w:bookmarkEnd w:id="166"/>
      <w:r>
        <w:rPr>
          <w:rFonts w:hint="eastAsia" w:ascii="仿宋_GB2312" w:hAnsi="宋体" w:eastAsia="仿宋_GB2312" w:cs="宋体"/>
          <w:kern w:val="0"/>
          <w:sz w:val="32"/>
          <w:szCs w:val="36"/>
          <w:lang w:val="en-US" w:eastAsia="zh-CN" w:bidi="ar-SA"/>
        </w:rPr>
        <w:t>水库管理单位应当按照有关规定和规范，配备技术人员、管养人员和安保人员，可以委托第三方专业机构辅助开展日常维修养护工作。</w:t>
      </w:r>
    </w:p>
    <w:p>
      <w:pPr>
        <w:keepNext w:val="0"/>
        <w:keepLines w:val="0"/>
        <w:pageBreakBefore w:val="0"/>
        <w:widowControl w:val="0"/>
        <w:tabs>
          <w:tab w:val="left" w:pos="0"/>
        </w:tabs>
        <w:kinsoku/>
        <w:wordWrap/>
        <w:overflowPunct/>
        <w:topLinePunct w:val="0"/>
        <w:autoSpaceDN/>
        <w:bidi w:val="0"/>
        <w:adjustRightInd/>
        <w:snapToGrid/>
        <w:spacing w:before="0" w:beforeLines="0" w:after="0" w:afterLines="0" w:line="578" w:lineRule="exact"/>
        <w:ind w:firstLine="640" w:firstLineChars="200"/>
        <w:jc w:val="both"/>
        <w:textAlignment w:val="auto"/>
        <w:outlineLvl w:val="1"/>
        <w:rPr>
          <w:rFonts w:ascii="仿宋_GB2312" w:hAnsi="宋体" w:eastAsia="仿宋_GB2312" w:cs="宋体"/>
          <w:kern w:val="0"/>
          <w:sz w:val="32"/>
          <w:szCs w:val="36"/>
          <w:lang w:val="en-US" w:eastAsia="zh-CN" w:bidi="ar-SA"/>
        </w:rPr>
      </w:pPr>
      <w:bookmarkStart w:id="167" w:name="_Toc18207"/>
      <w:bookmarkStart w:id="168" w:name="_Toc16110"/>
      <w:bookmarkStart w:id="169" w:name="_Toc10345"/>
      <w:bookmarkStart w:id="170" w:name="_Toc29607"/>
      <w:bookmarkStart w:id="171" w:name="_Toc20224"/>
      <w:r>
        <w:rPr>
          <w:rFonts w:hint="eastAsia" w:ascii="黑体" w:hAnsi="黑体" w:eastAsia="黑体" w:cs="宋体"/>
          <w:b w:val="0"/>
          <w:bCs/>
          <w:kern w:val="2"/>
          <w:sz w:val="32"/>
          <w:szCs w:val="32"/>
          <w:lang w:val="en-US" w:eastAsia="zh-CN" w:bidi="ar-SA"/>
        </w:rPr>
        <w:t>第三十三条【日常管理制度】</w:t>
      </w:r>
      <w:bookmarkEnd w:id="167"/>
      <w:bookmarkEnd w:id="168"/>
      <w:bookmarkEnd w:id="169"/>
      <w:bookmarkEnd w:id="170"/>
      <w:bookmarkEnd w:id="171"/>
      <w:r>
        <w:rPr>
          <w:rFonts w:hint="eastAsia" w:ascii="仿宋_GB2312" w:hAnsi="宋体" w:eastAsia="仿宋_GB2312" w:cs="宋体"/>
          <w:kern w:val="0"/>
          <w:sz w:val="32"/>
          <w:szCs w:val="36"/>
          <w:lang w:val="en-US" w:eastAsia="zh-CN" w:bidi="ar-SA"/>
        </w:rPr>
        <w:t>市、区水行政主管部门监督和指导所管辖水库的标准化管理，加强水库运行管理和维修养护的监督检查和考核，提高水库运行管理水平。</w:t>
      </w:r>
    </w:p>
    <w:p>
      <w:pPr>
        <w:pageBreakBefore w:val="0"/>
        <w:kinsoku/>
        <w:wordWrap/>
        <w:overflowPunct/>
        <w:topLinePunct w:val="0"/>
        <w:autoSpaceDN/>
        <w:bidi w:val="0"/>
        <w:adjustRightInd/>
        <w:snapToGrid/>
        <w:spacing w:line="578" w:lineRule="exact"/>
        <w:ind w:firstLine="640" w:firstLineChars="200"/>
        <w:textAlignment w:val="auto"/>
        <w:rPr>
          <w:rFonts w:ascii="仿宋_GB2312" w:hAnsi="宋体" w:eastAsia="仿宋_GB2312" w:cs="宋体"/>
          <w:kern w:val="0"/>
          <w:sz w:val="32"/>
          <w:szCs w:val="36"/>
          <w:lang w:val="en-US" w:eastAsia="zh-CN" w:bidi="ar-SA"/>
        </w:rPr>
      </w:pPr>
      <w:r>
        <w:rPr>
          <w:rFonts w:hint="eastAsia" w:ascii="仿宋_GB2312" w:hAnsi="宋体" w:eastAsia="仿宋_GB2312" w:cs="宋体"/>
          <w:kern w:val="0"/>
          <w:sz w:val="32"/>
          <w:szCs w:val="36"/>
          <w:lang w:val="en-US" w:eastAsia="zh-CN" w:bidi="ar-SA"/>
        </w:rPr>
        <w:t>水库管理单位应当建立和完善岗位职责、调度运用、巡视检查、维修养护、防汛抢险、闸门操作、技术档案等管理制度，提高水库标准化管理水平。</w:t>
      </w:r>
    </w:p>
    <w:p>
      <w:pPr>
        <w:keepNext w:val="0"/>
        <w:keepLines w:val="0"/>
        <w:pageBreakBefore w:val="0"/>
        <w:widowControl w:val="0"/>
        <w:tabs>
          <w:tab w:val="left" w:pos="0"/>
        </w:tabs>
        <w:kinsoku/>
        <w:wordWrap/>
        <w:overflowPunct/>
        <w:topLinePunct w:val="0"/>
        <w:autoSpaceDN/>
        <w:bidi w:val="0"/>
        <w:adjustRightInd/>
        <w:snapToGrid/>
        <w:spacing w:before="0" w:beforeLines="0" w:after="0" w:afterLines="0" w:line="578" w:lineRule="exact"/>
        <w:ind w:firstLine="640" w:firstLineChars="200"/>
        <w:jc w:val="both"/>
        <w:textAlignment w:val="auto"/>
        <w:outlineLvl w:val="1"/>
        <w:rPr>
          <w:rFonts w:ascii="Times New Roman" w:hAnsi="Times New Roman" w:eastAsia="宋体" w:cs="Times New Roman"/>
          <w:b/>
          <w:kern w:val="2"/>
          <w:sz w:val="32"/>
          <w:szCs w:val="24"/>
          <w:lang w:val="en-US" w:eastAsia="zh-CN" w:bidi="ar-SA"/>
        </w:rPr>
      </w:pPr>
      <w:bookmarkStart w:id="172" w:name="_Toc20562"/>
      <w:bookmarkStart w:id="173" w:name="_Toc5030"/>
      <w:bookmarkStart w:id="174" w:name="_Toc29799"/>
      <w:bookmarkStart w:id="175" w:name="_Toc31427"/>
      <w:bookmarkStart w:id="176" w:name="_Toc11799"/>
      <w:r>
        <w:rPr>
          <w:rFonts w:hint="eastAsia" w:ascii="黑体" w:hAnsi="黑体" w:eastAsia="黑体" w:cs="宋体"/>
          <w:b w:val="0"/>
          <w:bCs/>
          <w:kern w:val="2"/>
          <w:sz w:val="32"/>
          <w:szCs w:val="32"/>
          <w:lang w:val="en-US" w:eastAsia="zh-CN" w:bidi="ar-SA"/>
        </w:rPr>
        <w:t>第三十四条【物资设施配备】</w:t>
      </w:r>
      <w:bookmarkEnd w:id="172"/>
      <w:bookmarkEnd w:id="173"/>
      <w:bookmarkEnd w:id="174"/>
      <w:bookmarkEnd w:id="175"/>
      <w:bookmarkEnd w:id="176"/>
      <w:r>
        <w:rPr>
          <w:rFonts w:hint="eastAsia" w:ascii="仿宋_GB2312" w:hAnsi="宋体" w:eastAsia="仿宋_GB2312" w:cs="宋体"/>
          <w:kern w:val="0"/>
          <w:sz w:val="32"/>
          <w:szCs w:val="36"/>
          <w:lang w:val="en-US" w:eastAsia="zh-CN" w:bidi="ar-SA"/>
        </w:rPr>
        <w:t>水库管理单位应当按标准配备满足水库正常运行所必要的防汛抢险物资和水雨情、大坝安全监测设施，提高水库运行管理信息化、智慧化能力。用于供水、灌溉、生态补水的水库还应当设置水质自动化监测设施、供水计量监测设施。</w:t>
      </w:r>
    </w:p>
    <w:p>
      <w:pPr>
        <w:keepNext w:val="0"/>
        <w:keepLines w:val="0"/>
        <w:pageBreakBefore w:val="0"/>
        <w:widowControl w:val="0"/>
        <w:tabs>
          <w:tab w:val="left" w:pos="0"/>
        </w:tabs>
        <w:kinsoku/>
        <w:wordWrap/>
        <w:overflowPunct/>
        <w:topLinePunct w:val="0"/>
        <w:autoSpaceDN/>
        <w:bidi w:val="0"/>
        <w:adjustRightInd/>
        <w:snapToGrid/>
        <w:spacing w:before="0" w:beforeLines="0" w:after="0" w:afterLines="0" w:line="578" w:lineRule="exact"/>
        <w:ind w:firstLine="640" w:firstLineChars="200"/>
        <w:jc w:val="both"/>
        <w:textAlignment w:val="auto"/>
        <w:outlineLvl w:val="1"/>
        <w:rPr>
          <w:rFonts w:ascii="Times New Roman" w:hAnsi="Times New Roman" w:eastAsia="宋体" w:cs="Times New Roman"/>
          <w:b/>
          <w:kern w:val="2"/>
          <w:sz w:val="32"/>
          <w:szCs w:val="24"/>
          <w:lang w:val="en-US" w:eastAsia="zh-CN" w:bidi="ar-SA"/>
        </w:rPr>
      </w:pPr>
      <w:bookmarkStart w:id="177" w:name="_Toc9169"/>
      <w:bookmarkStart w:id="178" w:name="_Toc32135"/>
      <w:bookmarkStart w:id="179" w:name="_Toc7649"/>
      <w:bookmarkStart w:id="180" w:name="_Toc18305"/>
      <w:bookmarkStart w:id="181" w:name="_Toc18769"/>
      <w:r>
        <w:rPr>
          <w:rFonts w:hint="eastAsia" w:ascii="黑体" w:hAnsi="黑体" w:eastAsia="黑体" w:cs="宋体"/>
          <w:b w:val="0"/>
          <w:bCs/>
          <w:kern w:val="2"/>
          <w:sz w:val="32"/>
          <w:szCs w:val="32"/>
          <w:lang w:val="en-US" w:eastAsia="zh-CN" w:bidi="ar-SA"/>
        </w:rPr>
        <w:t>第三十五条【运行维护要求】</w:t>
      </w:r>
      <w:bookmarkEnd w:id="177"/>
      <w:bookmarkEnd w:id="178"/>
      <w:bookmarkEnd w:id="179"/>
      <w:bookmarkEnd w:id="180"/>
      <w:bookmarkEnd w:id="181"/>
      <w:r>
        <w:rPr>
          <w:rFonts w:hint="eastAsia" w:ascii="仿宋_GB2312" w:hAnsi="宋体" w:eastAsia="仿宋_GB2312" w:cs="宋体"/>
          <w:kern w:val="0"/>
          <w:sz w:val="32"/>
          <w:szCs w:val="36"/>
          <w:lang w:val="en-US" w:eastAsia="zh-CN" w:bidi="ar-SA"/>
        </w:rPr>
        <w:t>水库管理单位负责按规定对水库大坝、溢洪道、放水涵闸等工程运行设施及启闭设备、通讯设施、大坝安全和水情监测设施、备用电源等控制和监测设施设备进行维修养护，保持水库工程和监控设施运行可靠。</w:t>
      </w:r>
    </w:p>
    <w:p>
      <w:pPr>
        <w:keepNext w:val="0"/>
        <w:keepLines w:val="0"/>
        <w:pageBreakBefore w:val="0"/>
        <w:widowControl w:val="0"/>
        <w:tabs>
          <w:tab w:val="left" w:pos="0"/>
        </w:tabs>
        <w:kinsoku/>
        <w:wordWrap/>
        <w:overflowPunct/>
        <w:topLinePunct w:val="0"/>
        <w:autoSpaceDN/>
        <w:bidi w:val="0"/>
        <w:adjustRightInd/>
        <w:snapToGrid/>
        <w:spacing w:before="0" w:beforeLines="0" w:after="0" w:afterLines="0" w:line="578" w:lineRule="exact"/>
        <w:ind w:firstLine="640" w:firstLineChars="200"/>
        <w:jc w:val="both"/>
        <w:textAlignment w:val="auto"/>
        <w:outlineLvl w:val="1"/>
        <w:rPr>
          <w:rFonts w:ascii="Times New Roman" w:hAnsi="Times New Roman" w:eastAsia="宋体" w:cs="Times New Roman"/>
          <w:b/>
          <w:kern w:val="2"/>
          <w:sz w:val="32"/>
          <w:szCs w:val="24"/>
          <w:lang w:val="en-US" w:eastAsia="zh-CN" w:bidi="ar-SA"/>
        </w:rPr>
      </w:pPr>
      <w:bookmarkStart w:id="182" w:name="_Toc27390"/>
      <w:bookmarkStart w:id="183" w:name="_Toc12640"/>
      <w:bookmarkStart w:id="184" w:name="_Toc5988"/>
      <w:bookmarkStart w:id="185" w:name="_Toc17361"/>
      <w:bookmarkStart w:id="186" w:name="_Toc10367"/>
      <w:r>
        <w:rPr>
          <w:rFonts w:hint="eastAsia" w:ascii="黑体" w:hAnsi="黑体" w:eastAsia="黑体" w:cs="宋体"/>
          <w:b w:val="0"/>
          <w:bCs/>
          <w:kern w:val="2"/>
          <w:sz w:val="32"/>
          <w:szCs w:val="32"/>
          <w:lang w:val="en-US" w:eastAsia="zh-CN" w:bidi="ar-SA"/>
        </w:rPr>
        <w:t>第三十六条【水库管理范围内生态保护要求】</w:t>
      </w:r>
      <w:bookmarkEnd w:id="182"/>
      <w:bookmarkEnd w:id="183"/>
      <w:bookmarkEnd w:id="184"/>
      <w:bookmarkEnd w:id="185"/>
      <w:bookmarkEnd w:id="186"/>
      <w:r>
        <w:rPr>
          <w:rFonts w:hint="eastAsia" w:ascii="仿宋_GB2312" w:hAnsi="宋体" w:eastAsia="仿宋_GB2312" w:cs="宋体"/>
          <w:kern w:val="0"/>
          <w:sz w:val="32"/>
          <w:szCs w:val="36"/>
          <w:lang w:val="en-US" w:eastAsia="zh-CN" w:bidi="ar-SA"/>
        </w:rPr>
        <w:t>水库管理单位应当注重水库管理范围内生态与城市生态环境建设的协调性，在法定职责范围内开展水源涵养林、水库消落区生态保护，切实做好水资源保护与水生态修复工作。</w:t>
      </w:r>
    </w:p>
    <w:p>
      <w:pPr>
        <w:pageBreakBefore w:val="0"/>
        <w:kinsoku/>
        <w:wordWrap/>
        <w:overflowPunct/>
        <w:topLinePunct w:val="0"/>
        <w:autoSpaceDN/>
        <w:bidi w:val="0"/>
        <w:adjustRightInd/>
        <w:snapToGrid/>
        <w:spacing w:line="578" w:lineRule="exact"/>
        <w:ind w:firstLine="640" w:firstLineChars="200"/>
        <w:textAlignment w:val="auto"/>
        <w:rPr>
          <w:rFonts w:ascii="Times New Roman" w:hAnsi="Times New Roman" w:eastAsia="宋体" w:cs="Times New Roman"/>
          <w:sz w:val="32"/>
          <w:szCs w:val="32"/>
        </w:rPr>
      </w:pPr>
    </w:p>
    <w:p>
      <w:pPr>
        <w:pageBreakBefore w:val="0"/>
        <w:kinsoku/>
        <w:wordWrap/>
        <w:overflowPunct/>
        <w:topLinePunct w:val="0"/>
        <w:autoSpaceDN/>
        <w:bidi w:val="0"/>
        <w:adjustRightInd/>
        <w:snapToGrid/>
        <w:spacing w:line="578" w:lineRule="exact"/>
        <w:jc w:val="center"/>
        <w:textAlignment w:val="auto"/>
        <w:rPr>
          <w:rFonts w:ascii="黑体" w:hAnsi="黑体" w:eastAsia="黑体" w:cs="黑体"/>
          <w:sz w:val="32"/>
          <w:szCs w:val="28"/>
        </w:rPr>
      </w:pPr>
      <w:bookmarkStart w:id="187" w:name="_Toc19145"/>
      <w:bookmarkStart w:id="188" w:name="_Toc25511"/>
      <w:bookmarkStart w:id="189" w:name="_Toc30563"/>
      <w:bookmarkStart w:id="190" w:name="_Toc731"/>
      <w:bookmarkStart w:id="191" w:name="_Toc25603"/>
      <w:r>
        <w:rPr>
          <w:rFonts w:hint="eastAsia" w:ascii="黑体" w:hAnsi="黑体" w:eastAsia="黑体" w:cs="黑体"/>
          <w:sz w:val="32"/>
          <w:szCs w:val="28"/>
        </w:rPr>
        <w:t>第四章 安全和管理</w:t>
      </w:r>
      <w:bookmarkEnd w:id="187"/>
      <w:bookmarkEnd w:id="188"/>
      <w:bookmarkEnd w:id="189"/>
      <w:bookmarkEnd w:id="190"/>
      <w:bookmarkEnd w:id="191"/>
    </w:p>
    <w:p>
      <w:pPr>
        <w:keepNext w:val="0"/>
        <w:keepLines w:val="0"/>
        <w:pageBreakBefore w:val="0"/>
        <w:widowControl w:val="0"/>
        <w:tabs>
          <w:tab w:val="left" w:pos="0"/>
        </w:tabs>
        <w:kinsoku/>
        <w:wordWrap/>
        <w:overflowPunct/>
        <w:topLinePunct w:val="0"/>
        <w:autoSpaceDN/>
        <w:bidi w:val="0"/>
        <w:adjustRightInd/>
        <w:snapToGrid/>
        <w:spacing w:before="0" w:beforeLines="0" w:after="0" w:afterLines="0" w:line="578" w:lineRule="exact"/>
        <w:ind w:firstLine="640" w:firstLineChars="200"/>
        <w:jc w:val="both"/>
        <w:textAlignment w:val="auto"/>
        <w:outlineLvl w:val="1"/>
        <w:rPr>
          <w:rFonts w:ascii="仿宋_GB2312" w:hAnsi="宋体" w:eastAsia="仿宋_GB2312" w:cs="宋体"/>
          <w:kern w:val="0"/>
          <w:sz w:val="32"/>
          <w:szCs w:val="36"/>
          <w:lang w:val="en-US" w:eastAsia="zh-CN" w:bidi="ar-SA"/>
        </w:rPr>
      </w:pPr>
      <w:bookmarkStart w:id="192" w:name="_Toc29409"/>
      <w:bookmarkStart w:id="193" w:name="_Toc3284"/>
      <w:bookmarkStart w:id="194" w:name="_Toc28018"/>
      <w:bookmarkStart w:id="195" w:name="_Toc14195"/>
      <w:bookmarkStart w:id="196" w:name="_Toc5520"/>
      <w:r>
        <w:rPr>
          <w:rFonts w:hint="eastAsia" w:ascii="黑体" w:hAnsi="黑体" w:eastAsia="黑体" w:cs="宋体"/>
          <w:b w:val="0"/>
          <w:bCs/>
          <w:kern w:val="2"/>
          <w:sz w:val="32"/>
          <w:szCs w:val="32"/>
          <w:lang w:val="en-US" w:eastAsia="zh-CN" w:bidi="ar-SA"/>
        </w:rPr>
        <w:t>第三十七条【大坝安全责任制】</w:t>
      </w:r>
      <w:bookmarkEnd w:id="192"/>
      <w:bookmarkEnd w:id="193"/>
      <w:bookmarkEnd w:id="194"/>
      <w:bookmarkEnd w:id="195"/>
      <w:bookmarkEnd w:id="196"/>
      <w:r>
        <w:rPr>
          <w:rFonts w:hint="eastAsia" w:ascii="仿宋_GB2312" w:hAnsi="宋体" w:eastAsia="仿宋_GB2312" w:cs="宋体"/>
          <w:kern w:val="0"/>
          <w:sz w:val="32"/>
          <w:szCs w:val="36"/>
          <w:lang w:val="en-US" w:eastAsia="zh-CN" w:bidi="ar-SA"/>
        </w:rPr>
        <w:t>市、区人民政府对其所管辖水库大坝的安全实行行政领导负责制。</w:t>
      </w:r>
    </w:p>
    <w:p>
      <w:pPr>
        <w:pageBreakBefore w:val="0"/>
        <w:kinsoku/>
        <w:wordWrap/>
        <w:overflowPunct/>
        <w:topLinePunct w:val="0"/>
        <w:autoSpaceDN/>
        <w:bidi w:val="0"/>
        <w:adjustRightInd/>
        <w:snapToGrid/>
        <w:spacing w:line="578" w:lineRule="exact"/>
        <w:ind w:firstLine="640" w:firstLineChars="200"/>
        <w:textAlignment w:val="auto"/>
        <w:rPr>
          <w:rFonts w:ascii="仿宋_GB2312" w:hAnsi="宋体" w:eastAsia="仿宋_GB2312" w:cs="宋体"/>
          <w:kern w:val="0"/>
          <w:sz w:val="32"/>
          <w:szCs w:val="36"/>
          <w:lang w:val="en-US" w:eastAsia="zh-CN" w:bidi="ar-SA"/>
        </w:rPr>
      </w:pPr>
      <w:r>
        <w:rPr>
          <w:rFonts w:hint="eastAsia" w:ascii="仿宋_GB2312" w:hAnsi="宋体" w:eastAsia="仿宋_GB2312" w:cs="宋体"/>
          <w:kern w:val="0"/>
          <w:sz w:val="32"/>
          <w:szCs w:val="36"/>
          <w:lang w:val="en-US" w:eastAsia="zh-CN" w:bidi="ar-SA"/>
        </w:rPr>
        <w:t>按照分级负责原则和责任制要求，逐库落实水库大坝安全管理责任人。市管辖水库的大坝安全政府责任人由市人民政府的分管负责人或者相关负责人担任，区管辖水库的大坝安全政府责任人由区人民政府的分管负责人或者相关负责人担任。</w:t>
      </w:r>
    </w:p>
    <w:p>
      <w:pPr>
        <w:keepNext w:val="0"/>
        <w:keepLines w:val="0"/>
        <w:pageBreakBefore w:val="0"/>
        <w:widowControl w:val="0"/>
        <w:tabs>
          <w:tab w:val="left" w:pos="0"/>
        </w:tabs>
        <w:kinsoku/>
        <w:wordWrap/>
        <w:overflowPunct/>
        <w:topLinePunct w:val="0"/>
        <w:autoSpaceDN/>
        <w:bidi w:val="0"/>
        <w:adjustRightInd/>
        <w:snapToGrid/>
        <w:spacing w:before="0" w:beforeLines="0" w:after="0" w:afterLines="0" w:line="578" w:lineRule="exact"/>
        <w:ind w:firstLine="640" w:firstLineChars="200"/>
        <w:jc w:val="both"/>
        <w:textAlignment w:val="auto"/>
        <w:outlineLvl w:val="1"/>
        <w:rPr>
          <w:rFonts w:ascii="仿宋_GB2312" w:hAnsi="宋体" w:eastAsia="仿宋_GB2312" w:cs="宋体"/>
          <w:kern w:val="0"/>
          <w:sz w:val="32"/>
          <w:szCs w:val="36"/>
          <w:lang w:val="en-US" w:eastAsia="zh-CN" w:bidi="ar-SA"/>
        </w:rPr>
      </w:pPr>
      <w:bookmarkStart w:id="197" w:name="_Toc12442"/>
      <w:bookmarkStart w:id="198" w:name="_Toc26865"/>
      <w:bookmarkStart w:id="199" w:name="_Toc32663"/>
      <w:bookmarkStart w:id="200" w:name="_Toc22747"/>
      <w:bookmarkStart w:id="201" w:name="_Toc2417"/>
      <w:r>
        <w:rPr>
          <w:rFonts w:hint="eastAsia" w:ascii="黑体" w:hAnsi="黑体" w:eastAsia="黑体" w:cs="宋体"/>
          <w:b w:val="0"/>
          <w:bCs/>
          <w:kern w:val="2"/>
          <w:sz w:val="32"/>
          <w:szCs w:val="32"/>
          <w:lang w:val="en-US" w:eastAsia="zh-CN" w:bidi="ar-SA"/>
        </w:rPr>
        <w:t>第三十八条【注册登记】</w:t>
      </w:r>
      <w:bookmarkEnd w:id="197"/>
      <w:bookmarkEnd w:id="198"/>
      <w:bookmarkEnd w:id="199"/>
      <w:bookmarkEnd w:id="200"/>
      <w:bookmarkEnd w:id="201"/>
      <w:r>
        <w:rPr>
          <w:rFonts w:hint="eastAsia" w:ascii="仿宋_GB2312" w:hAnsi="宋体" w:eastAsia="仿宋_GB2312" w:cs="宋体"/>
          <w:kern w:val="0"/>
          <w:sz w:val="32"/>
          <w:szCs w:val="36"/>
          <w:lang w:val="en-US" w:eastAsia="zh-CN" w:bidi="ar-SA"/>
        </w:rPr>
        <w:t>水库大坝实行注册登记制度。市水行政主管部门负责全市水库大坝注册登记的监督、指导工作。市、区水行政主管部门按照分级负责原则，负责所管辖水库大坝注册登记的管理工作。</w:t>
      </w:r>
    </w:p>
    <w:p>
      <w:pPr>
        <w:pageBreakBefore w:val="0"/>
        <w:kinsoku/>
        <w:wordWrap/>
        <w:overflowPunct/>
        <w:topLinePunct w:val="0"/>
        <w:autoSpaceDN/>
        <w:bidi w:val="0"/>
        <w:adjustRightInd/>
        <w:snapToGrid/>
        <w:spacing w:line="578" w:lineRule="exact"/>
        <w:ind w:firstLine="640" w:firstLineChars="200"/>
        <w:textAlignment w:val="auto"/>
        <w:rPr>
          <w:rFonts w:ascii="仿宋_GB2312" w:hAnsi="宋体" w:eastAsia="仿宋_GB2312" w:cs="宋体"/>
          <w:kern w:val="0"/>
          <w:sz w:val="32"/>
          <w:szCs w:val="36"/>
          <w:lang w:val="en-US" w:eastAsia="zh-CN" w:bidi="ar-SA"/>
        </w:rPr>
      </w:pPr>
      <w:r>
        <w:rPr>
          <w:rFonts w:hint="eastAsia" w:ascii="仿宋_GB2312" w:hAnsi="宋体" w:eastAsia="仿宋_GB2312" w:cs="宋体"/>
          <w:kern w:val="0"/>
          <w:sz w:val="32"/>
          <w:szCs w:val="36"/>
          <w:lang w:val="en-US" w:eastAsia="zh-CN" w:bidi="ar-SA"/>
        </w:rPr>
        <w:t>水库管理单位应当按有关规定向上级水行政主管部门申报水库大坝注册登记。市水行政主管部门负责申领和下发水库大坝注册登记证。</w:t>
      </w:r>
    </w:p>
    <w:p>
      <w:pPr>
        <w:pageBreakBefore w:val="0"/>
        <w:kinsoku/>
        <w:wordWrap/>
        <w:overflowPunct/>
        <w:topLinePunct w:val="0"/>
        <w:autoSpaceDN/>
        <w:bidi w:val="0"/>
        <w:adjustRightInd/>
        <w:snapToGrid/>
        <w:spacing w:line="578" w:lineRule="exact"/>
        <w:ind w:firstLine="640" w:firstLineChars="200"/>
        <w:textAlignment w:val="auto"/>
        <w:rPr>
          <w:rFonts w:ascii="仿宋_GB2312" w:hAnsi="宋体" w:eastAsia="仿宋_GB2312" w:cs="宋体"/>
          <w:kern w:val="0"/>
          <w:sz w:val="32"/>
          <w:szCs w:val="36"/>
          <w:lang w:val="en-US" w:eastAsia="zh-CN" w:bidi="ar-SA"/>
        </w:rPr>
      </w:pPr>
      <w:r>
        <w:rPr>
          <w:rFonts w:hint="eastAsia" w:ascii="仿宋_GB2312" w:hAnsi="宋体" w:eastAsia="仿宋_GB2312" w:cs="宋体"/>
          <w:kern w:val="0"/>
          <w:sz w:val="32"/>
          <w:szCs w:val="36"/>
          <w:lang w:val="en-US" w:eastAsia="zh-CN" w:bidi="ar-SA"/>
        </w:rPr>
        <w:t>水库大坝注册登记信息因改（扩）建、安全鉴定、除险加固、降等、报废或者隶属关系而发生变化的，水库管理单位应当在3个月内向水行政主管部门办理大坝注册登记变更及换证。</w:t>
      </w:r>
    </w:p>
    <w:p>
      <w:pPr>
        <w:keepNext w:val="0"/>
        <w:keepLines w:val="0"/>
        <w:pageBreakBefore w:val="0"/>
        <w:kinsoku/>
        <w:wordWrap/>
        <w:overflowPunct/>
        <w:topLinePunct w:val="0"/>
        <w:autoSpaceDN/>
        <w:bidi w:val="0"/>
        <w:adjustRightInd/>
        <w:snapToGrid/>
        <w:spacing w:line="578" w:lineRule="exact"/>
        <w:ind w:firstLine="640" w:firstLineChars="200"/>
        <w:textAlignment w:val="auto"/>
        <w:rPr>
          <w:rFonts w:ascii="仿宋_GB2312" w:hAnsi="宋体" w:eastAsia="仿宋_GB2312" w:cs="宋体"/>
          <w:kern w:val="0"/>
          <w:sz w:val="32"/>
          <w:szCs w:val="36"/>
        </w:rPr>
      </w:pPr>
      <w:bookmarkStart w:id="202" w:name="_Toc29907"/>
      <w:bookmarkStart w:id="203" w:name="_Toc15831"/>
      <w:bookmarkStart w:id="204" w:name="_Toc14845"/>
      <w:bookmarkStart w:id="205" w:name="_Toc2406"/>
      <w:bookmarkStart w:id="206" w:name="_Toc14707"/>
      <w:r>
        <w:rPr>
          <w:rFonts w:hint="eastAsia" w:ascii="黑体" w:hAnsi="黑体" w:eastAsia="黑体" w:cs="宋体"/>
          <w:sz w:val="32"/>
          <w:szCs w:val="32"/>
        </w:rPr>
        <w:t>第三十九条【安全鉴定】</w:t>
      </w:r>
      <w:bookmarkEnd w:id="202"/>
      <w:bookmarkEnd w:id="203"/>
      <w:bookmarkEnd w:id="204"/>
      <w:bookmarkEnd w:id="205"/>
      <w:bookmarkEnd w:id="206"/>
      <w:r>
        <w:rPr>
          <w:rFonts w:hint="eastAsia" w:ascii="仿宋_GB2312" w:hAnsi="宋体" w:eastAsia="仿宋_GB2312" w:cs="宋体"/>
          <w:kern w:val="0"/>
          <w:sz w:val="32"/>
          <w:szCs w:val="36"/>
        </w:rPr>
        <w:t>全市水库实行定期和应急相结合的水库大坝安全鉴定制度。</w:t>
      </w:r>
    </w:p>
    <w:p>
      <w:pPr>
        <w:keepNext w:val="0"/>
        <w:keepLines w:val="0"/>
        <w:pageBreakBefore w:val="0"/>
        <w:kinsoku/>
        <w:wordWrap/>
        <w:overflowPunct/>
        <w:topLinePunct w:val="0"/>
        <w:autoSpaceDN/>
        <w:bidi w:val="0"/>
        <w:adjustRightInd/>
        <w:snapToGrid/>
        <w:spacing w:line="578" w:lineRule="exact"/>
        <w:ind w:firstLine="640" w:firstLineChars="200"/>
        <w:textAlignment w:val="auto"/>
        <w:rPr>
          <w:rFonts w:ascii="仿宋_GB2312" w:hAnsi="宋体" w:eastAsia="仿宋_GB2312" w:cs="宋体"/>
          <w:kern w:val="0"/>
          <w:sz w:val="32"/>
          <w:szCs w:val="36"/>
        </w:rPr>
      </w:pPr>
      <w:r>
        <w:rPr>
          <w:rFonts w:hint="eastAsia" w:ascii="仿宋_GB2312" w:hAnsi="宋体" w:eastAsia="仿宋_GB2312" w:cs="宋体"/>
          <w:kern w:val="0"/>
          <w:sz w:val="32"/>
          <w:szCs w:val="36"/>
        </w:rPr>
        <w:t>水库坝高50米及以下的非重点防洪中型水库和坝高30米以上小型水库的大坝安全鉴定意见由市水行政主管部门审定；坝高30米及以下小型水库的大坝安全鉴定意见由各区水行政主管部门审定并报市水行政主管部门备案。</w:t>
      </w:r>
    </w:p>
    <w:p>
      <w:pPr>
        <w:keepNext w:val="0"/>
        <w:keepLines w:val="0"/>
        <w:pageBreakBefore w:val="0"/>
        <w:kinsoku/>
        <w:wordWrap/>
        <w:overflowPunct/>
        <w:topLinePunct w:val="0"/>
        <w:autoSpaceDN/>
        <w:bidi w:val="0"/>
        <w:adjustRightInd/>
        <w:snapToGrid/>
        <w:spacing w:line="578" w:lineRule="exact"/>
        <w:ind w:firstLine="640" w:firstLineChars="200"/>
        <w:textAlignment w:val="auto"/>
        <w:rPr>
          <w:rFonts w:ascii="仿宋_GB2312" w:hAnsi="宋体" w:eastAsia="仿宋_GB2312" w:cs="宋体"/>
          <w:kern w:val="0"/>
          <w:sz w:val="32"/>
          <w:szCs w:val="36"/>
        </w:rPr>
      </w:pPr>
      <w:r>
        <w:rPr>
          <w:rFonts w:hint="eastAsia" w:ascii="仿宋_GB2312" w:hAnsi="宋体" w:eastAsia="仿宋_GB2312" w:cs="宋体"/>
          <w:kern w:val="0"/>
          <w:sz w:val="32"/>
          <w:szCs w:val="36"/>
        </w:rPr>
        <w:t>有下列情形之一的，应当对水库大坝进行安全鉴定：</w:t>
      </w:r>
    </w:p>
    <w:p>
      <w:pPr>
        <w:keepNext w:val="0"/>
        <w:keepLines w:val="0"/>
        <w:pageBreakBefore w:val="0"/>
        <w:kinsoku/>
        <w:wordWrap/>
        <w:overflowPunct/>
        <w:topLinePunct w:val="0"/>
        <w:autoSpaceDN/>
        <w:bidi w:val="0"/>
        <w:adjustRightInd/>
        <w:snapToGrid/>
        <w:spacing w:line="578" w:lineRule="exact"/>
        <w:ind w:firstLine="640" w:firstLineChars="200"/>
        <w:textAlignment w:val="auto"/>
        <w:rPr>
          <w:rFonts w:ascii="仿宋_GB2312" w:hAnsi="宋体" w:eastAsia="仿宋_GB2312" w:cs="宋体"/>
          <w:kern w:val="0"/>
          <w:sz w:val="32"/>
          <w:szCs w:val="36"/>
        </w:rPr>
      </w:pPr>
      <w:r>
        <w:rPr>
          <w:rFonts w:hint="eastAsia" w:ascii="仿宋_GB2312" w:hAnsi="宋体" w:eastAsia="仿宋_GB2312" w:cs="宋体"/>
          <w:kern w:val="0"/>
          <w:sz w:val="32"/>
          <w:szCs w:val="36"/>
        </w:rPr>
        <w:t>（一）新建、改（扩）建、除险加固的水库完成蓄水验收后，大型、中型水库6年内，小型水库5年内进行一次；</w:t>
      </w:r>
    </w:p>
    <w:p>
      <w:pPr>
        <w:keepNext w:val="0"/>
        <w:keepLines w:val="0"/>
        <w:pageBreakBefore w:val="0"/>
        <w:kinsoku/>
        <w:wordWrap/>
        <w:overflowPunct/>
        <w:topLinePunct w:val="0"/>
        <w:autoSpaceDN/>
        <w:bidi w:val="0"/>
        <w:adjustRightInd/>
        <w:snapToGrid/>
        <w:spacing w:line="578" w:lineRule="exact"/>
        <w:ind w:firstLine="640" w:firstLineChars="200"/>
        <w:textAlignment w:val="auto"/>
        <w:rPr>
          <w:rFonts w:ascii="仿宋_GB2312" w:hAnsi="宋体" w:eastAsia="仿宋_GB2312" w:cs="宋体"/>
          <w:kern w:val="0"/>
          <w:sz w:val="32"/>
          <w:szCs w:val="36"/>
        </w:rPr>
      </w:pPr>
      <w:r>
        <w:rPr>
          <w:rFonts w:hint="eastAsia" w:ascii="仿宋_GB2312" w:hAnsi="宋体" w:eastAsia="仿宋_GB2312" w:cs="宋体"/>
          <w:kern w:val="0"/>
          <w:sz w:val="32"/>
          <w:szCs w:val="36"/>
        </w:rPr>
        <w:t>（二）水库投入运行起每隔5-6年内进行一次；</w:t>
      </w:r>
    </w:p>
    <w:p>
      <w:pPr>
        <w:keepNext w:val="0"/>
        <w:keepLines w:val="0"/>
        <w:pageBreakBefore w:val="0"/>
        <w:kinsoku/>
        <w:wordWrap/>
        <w:overflowPunct/>
        <w:topLinePunct w:val="0"/>
        <w:autoSpaceDN/>
        <w:bidi w:val="0"/>
        <w:adjustRightInd/>
        <w:snapToGrid/>
        <w:spacing w:line="578" w:lineRule="exact"/>
        <w:ind w:firstLine="640" w:firstLineChars="200"/>
        <w:textAlignment w:val="auto"/>
        <w:rPr>
          <w:rFonts w:ascii="仿宋_GB2312" w:hAnsi="宋体" w:eastAsia="仿宋_GB2312" w:cs="宋体"/>
          <w:kern w:val="0"/>
          <w:sz w:val="32"/>
          <w:szCs w:val="36"/>
        </w:rPr>
      </w:pPr>
      <w:r>
        <w:rPr>
          <w:rFonts w:hint="eastAsia" w:ascii="仿宋_GB2312" w:hAnsi="宋体" w:eastAsia="仿宋_GB2312" w:cs="宋体"/>
          <w:kern w:val="0"/>
          <w:sz w:val="32"/>
          <w:szCs w:val="36"/>
        </w:rPr>
        <w:t>（三）遭遇特大暴雨洪水、强烈地震等破坏性自然灾害，或者工程发生重大事故、出现影响安全的异常现象后3个月内。</w:t>
      </w:r>
    </w:p>
    <w:p>
      <w:pPr>
        <w:keepNext w:val="0"/>
        <w:keepLines w:val="0"/>
        <w:pageBreakBefore w:val="0"/>
        <w:kinsoku/>
        <w:wordWrap/>
        <w:overflowPunct/>
        <w:topLinePunct w:val="0"/>
        <w:autoSpaceDN/>
        <w:bidi w:val="0"/>
        <w:adjustRightInd/>
        <w:snapToGrid/>
        <w:spacing w:line="578" w:lineRule="exact"/>
        <w:ind w:firstLine="640" w:firstLineChars="200"/>
        <w:textAlignment w:val="auto"/>
        <w:rPr>
          <w:rFonts w:ascii="仿宋_GB2312" w:hAnsi="宋体" w:eastAsia="仿宋_GB2312" w:cs="宋体"/>
          <w:kern w:val="0"/>
          <w:sz w:val="32"/>
          <w:szCs w:val="36"/>
        </w:rPr>
      </w:pPr>
      <w:bookmarkStart w:id="207" w:name="_Toc22297"/>
      <w:bookmarkStart w:id="208" w:name="_Toc5239"/>
      <w:bookmarkStart w:id="209" w:name="_Toc30378"/>
      <w:bookmarkStart w:id="210" w:name="_Toc14396"/>
      <w:bookmarkStart w:id="211" w:name="_Toc21099"/>
      <w:r>
        <w:rPr>
          <w:rFonts w:hint="eastAsia" w:ascii="黑体" w:hAnsi="黑体" w:eastAsia="黑体" w:cs="宋体"/>
          <w:sz w:val="32"/>
          <w:szCs w:val="32"/>
        </w:rPr>
        <w:t>第四十条【病险水库处置】</w:t>
      </w:r>
      <w:bookmarkEnd w:id="207"/>
      <w:bookmarkEnd w:id="208"/>
      <w:bookmarkEnd w:id="209"/>
      <w:bookmarkEnd w:id="210"/>
      <w:bookmarkEnd w:id="211"/>
      <w:r>
        <w:rPr>
          <w:rFonts w:hint="eastAsia" w:ascii="仿宋_GB2312" w:hAnsi="宋体" w:eastAsia="仿宋_GB2312" w:cs="宋体"/>
          <w:kern w:val="0"/>
          <w:sz w:val="32"/>
          <w:szCs w:val="36"/>
        </w:rPr>
        <w:t>经大坝安全鉴定为二类坝、三类坝的水库，应当对可能出现的溃坝方式和对下游可能造成的损失进行评估。对于因安全监测等管理设施不完善、维修养护不到位、管理不规范等因素而评定为二类坝的水库，应当及时加强管控措施和控制运用。</w:t>
      </w:r>
    </w:p>
    <w:p>
      <w:pPr>
        <w:keepNext w:val="0"/>
        <w:keepLines w:val="0"/>
        <w:pageBreakBefore w:val="0"/>
        <w:kinsoku/>
        <w:wordWrap/>
        <w:overflowPunct/>
        <w:topLinePunct w:val="0"/>
        <w:autoSpaceDN/>
        <w:bidi w:val="0"/>
        <w:adjustRightInd/>
        <w:snapToGrid/>
        <w:spacing w:line="578" w:lineRule="exact"/>
        <w:ind w:firstLine="640" w:firstLineChars="200"/>
        <w:textAlignment w:val="auto"/>
        <w:rPr>
          <w:rFonts w:ascii="仿宋_GB2312" w:hAnsi="宋体" w:eastAsia="仿宋_GB2312" w:cs="宋体"/>
          <w:kern w:val="0"/>
          <w:sz w:val="32"/>
          <w:szCs w:val="36"/>
        </w:rPr>
      </w:pPr>
      <w:r>
        <w:rPr>
          <w:rFonts w:hint="eastAsia" w:ascii="仿宋_GB2312" w:hAnsi="宋体" w:eastAsia="仿宋_GB2312" w:cs="宋体"/>
          <w:kern w:val="0"/>
          <w:sz w:val="32"/>
          <w:szCs w:val="36"/>
        </w:rPr>
        <w:t>对于三类坝和存在工程质量缺陷的二类坝，应当采取必要强监管措施和除险加固、降等、报废或者重建等工程措施予以处置。在采取处置措施未完成之前，应当组织制定水库保坝应急措施，限制水库运用。</w:t>
      </w:r>
    </w:p>
    <w:p>
      <w:pPr>
        <w:keepNext w:val="0"/>
        <w:keepLines w:val="0"/>
        <w:pageBreakBefore w:val="0"/>
        <w:widowControl w:val="0"/>
        <w:tabs>
          <w:tab w:val="left" w:pos="0"/>
        </w:tabs>
        <w:kinsoku/>
        <w:wordWrap/>
        <w:overflowPunct/>
        <w:topLinePunct w:val="0"/>
        <w:autoSpaceDN/>
        <w:bidi w:val="0"/>
        <w:adjustRightInd/>
        <w:snapToGrid/>
        <w:spacing w:before="0" w:beforeLines="0" w:after="0" w:afterLines="0" w:line="578" w:lineRule="exact"/>
        <w:ind w:firstLine="640" w:firstLineChars="200"/>
        <w:jc w:val="both"/>
        <w:textAlignment w:val="auto"/>
        <w:outlineLvl w:val="1"/>
        <w:rPr>
          <w:rFonts w:ascii="仿宋_GB2312" w:hAnsi="宋体" w:eastAsia="仿宋_GB2312" w:cs="宋体"/>
          <w:kern w:val="0"/>
          <w:sz w:val="32"/>
          <w:szCs w:val="36"/>
          <w:lang w:val="en-US" w:eastAsia="zh-CN" w:bidi="ar-SA"/>
        </w:rPr>
      </w:pPr>
      <w:bookmarkStart w:id="212" w:name="_Toc14449"/>
      <w:bookmarkStart w:id="213" w:name="_Toc22976"/>
      <w:bookmarkStart w:id="214" w:name="_Toc25880"/>
      <w:bookmarkStart w:id="215" w:name="_Toc2379"/>
      <w:bookmarkStart w:id="216" w:name="_Toc9182"/>
      <w:r>
        <w:rPr>
          <w:rFonts w:hint="eastAsia" w:ascii="黑体" w:hAnsi="黑体" w:eastAsia="黑体" w:cs="宋体"/>
          <w:b w:val="0"/>
          <w:bCs/>
          <w:kern w:val="2"/>
          <w:sz w:val="32"/>
          <w:szCs w:val="32"/>
          <w:lang w:val="en-US" w:eastAsia="zh-CN" w:bidi="ar-SA"/>
        </w:rPr>
        <w:t>第四十一条【应急预案管理】</w:t>
      </w:r>
      <w:bookmarkEnd w:id="212"/>
      <w:bookmarkEnd w:id="213"/>
      <w:bookmarkEnd w:id="214"/>
      <w:bookmarkEnd w:id="215"/>
      <w:bookmarkEnd w:id="216"/>
      <w:r>
        <w:rPr>
          <w:rFonts w:hint="eastAsia" w:ascii="仿宋_GB2312" w:hAnsi="宋体" w:eastAsia="仿宋_GB2312" w:cs="宋体"/>
          <w:kern w:val="0"/>
          <w:sz w:val="32"/>
          <w:szCs w:val="36"/>
          <w:lang w:val="en-US" w:eastAsia="zh-CN" w:bidi="ar-SA"/>
        </w:rPr>
        <w:t>水库大坝安全管理应急预案、防汛抢险应急预案由其水行政主管部门会同同级应急管理部门按有关规定组织编制、修订、审核，由水库大坝安全政府责任人所在同级人民政府或其指定防汛指挥机构批准和发布，并报上级水行政主管部门和防汛指挥机构备案。</w:t>
      </w:r>
    </w:p>
    <w:p>
      <w:pPr>
        <w:pageBreakBefore w:val="0"/>
        <w:kinsoku/>
        <w:wordWrap/>
        <w:overflowPunct/>
        <w:topLinePunct w:val="0"/>
        <w:autoSpaceDN/>
        <w:bidi w:val="0"/>
        <w:adjustRightInd/>
        <w:snapToGrid/>
        <w:spacing w:line="578" w:lineRule="exact"/>
        <w:ind w:firstLine="640" w:firstLineChars="200"/>
        <w:textAlignment w:val="auto"/>
        <w:rPr>
          <w:rFonts w:ascii="仿宋_GB2312" w:hAnsi="宋体" w:eastAsia="仿宋_GB2312" w:cs="宋体"/>
          <w:kern w:val="0"/>
          <w:sz w:val="32"/>
          <w:szCs w:val="36"/>
          <w:lang w:val="en-US" w:eastAsia="zh-CN" w:bidi="ar-SA"/>
        </w:rPr>
      </w:pPr>
      <w:r>
        <w:rPr>
          <w:rFonts w:hint="eastAsia" w:ascii="仿宋_GB2312" w:hAnsi="宋体" w:eastAsia="仿宋_GB2312" w:cs="宋体"/>
          <w:kern w:val="0"/>
          <w:sz w:val="32"/>
          <w:szCs w:val="36"/>
          <w:lang w:val="en-US" w:eastAsia="zh-CN" w:bidi="ar-SA"/>
        </w:rPr>
        <w:t>水库大坝安全管理应急预案、防汛抢险应急预案应当与地方政府总体应急预案相衔接，根据实际需要适时修订应急预案。</w:t>
      </w:r>
    </w:p>
    <w:p>
      <w:pPr>
        <w:keepNext w:val="0"/>
        <w:keepLines w:val="0"/>
        <w:pageBreakBefore w:val="0"/>
        <w:widowControl w:val="0"/>
        <w:tabs>
          <w:tab w:val="left" w:pos="0"/>
        </w:tabs>
        <w:kinsoku/>
        <w:wordWrap/>
        <w:overflowPunct/>
        <w:topLinePunct w:val="0"/>
        <w:autoSpaceDN/>
        <w:bidi w:val="0"/>
        <w:adjustRightInd/>
        <w:snapToGrid/>
        <w:spacing w:before="0" w:beforeLines="0" w:after="0" w:afterLines="0" w:line="578" w:lineRule="exact"/>
        <w:ind w:firstLine="640" w:firstLineChars="200"/>
        <w:jc w:val="both"/>
        <w:textAlignment w:val="auto"/>
        <w:outlineLvl w:val="1"/>
        <w:rPr>
          <w:rFonts w:ascii="仿宋_GB2312" w:hAnsi="宋体" w:eastAsia="仿宋_GB2312" w:cs="宋体"/>
          <w:kern w:val="0"/>
          <w:sz w:val="32"/>
          <w:szCs w:val="36"/>
          <w:lang w:val="en-US" w:eastAsia="zh-CN" w:bidi="ar-SA"/>
        </w:rPr>
      </w:pPr>
      <w:bookmarkStart w:id="217" w:name="_Toc21634"/>
      <w:bookmarkStart w:id="218" w:name="_Toc11139"/>
      <w:bookmarkStart w:id="219" w:name="_Toc32005"/>
      <w:bookmarkStart w:id="220" w:name="_Toc25696"/>
      <w:bookmarkStart w:id="221" w:name="_Toc6123"/>
      <w:r>
        <w:rPr>
          <w:rFonts w:hint="eastAsia" w:ascii="黑体" w:hAnsi="黑体" w:eastAsia="黑体" w:cs="宋体"/>
          <w:b w:val="0"/>
          <w:bCs/>
          <w:kern w:val="2"/>
          <w:sz w:val="32"/>
          <w:szCs w:val="32"/>
          <w:lang w:val="en-US" w:eastAsia="zh-CN" w:bidi="ar-SA"/>
        </w:rPr>
        <w:t>第四十二条【泄洪管理】</w:t>
      </w:r>
      <w:bookmarkEnd w:id="217"/>
      <w:bookmarkEnd w:id="218"/>
      <w:bookmarkEnd w:id="219"/>
      <w:bookmarkEnd w:id="220"/>
      <w:bookmarkEnd w:id="221"/>
      <w:r>
        <w:rPr>
          <w:rFonts w:hint="eastAsia" w:ascii="仿宋_GB2312" w:hAnsi="宋体" w:eastAsia="仿宋_GB2312" w:cs="宋体"/>
          <w:kern w:val="0"/>
          <w:sz w:val="32"/>
          <w:szCs w:val="36"/>
          <w:lang w:val="en-US" w:eastAsia="zh-CN" w:bidi="ar-SA"/>
        </w:rPr>
        <w:t>水库管理单位按照经批准的调度运用方案、汛期调度运用计划、大坝安全管理应急预案和防汛抢险应急预案调度洪水，服从有管辖权的防汛指挥机构的统一调度。</w:t>
      </w:r>
    </w:p>
    <w:p>
      <w:pPr>
        <w:keepNext w:val="0"/>
        <w:keepLines w:val="0"/>
        <w:pageBreakBefore w:val="0"/>
        <w:widowControl w:val="0"/>
        <w:tabs>
          <w:tab w:val="left" w:pos="0"/>
        </w:tabs>
        <w:kinsoku/>
        <w:wordWrap/>
        <w:overflowPunct/>
        <w:topLinePunct w:val="0"/>
        <w:autoSpaceDN/>
        <w:bidi w:val="0"/>
        <w:adjustRightInd/>
        <w:snapToGrid/>
        <w:spacing w:before="0" w:beforeLines="0" w:after="0" w:afterLines="0" w:line="578" w:lineRule="exact"/>
        <w:ind w:firstLine="640" w:firstLineChars="200"/>
        <w:jc w:val="both"/>
        <w:textAlignment w:val="auto"/>
        <w:outlineLvl w:val="1"/>
        <w:rPr>
          <w:rFonts w:ascii="仿宋_GB2312" w:hAnsi="宋体" w:eastAsia="仿宋_GB2312" w:cs="宋体"/>
          <w:kern w:val="0"/>
          <w:sz w:val="32"/>
          <w:szCs w:val="36"/>
          <w:lang w:val="en-US" w:eastAsia="zh-CN" w:bidi="ar-SA"/>
        </w:rPr>
      </w:pPr>
      <w:r>
        <w:rPr>
          <w:rFonts w:hint="eastAsia" w:ascii="仿宋_GB2312" w:hAnsi="宋体" w:eastAsia="仿宋_GB2312" w:cs="宋体"/>
          <w:kern w:val="0"/>
          <w:sz w:val="32"/>
          <w:szCs w:val="36"/>
          <w:lang w:val="en-US" w:eastAsia="zh-CN" w:bidi="ar-SA"/>
        </w:rPr>
        <w:t>水库按照有关规定下泄洪水时，下游人民政府、街道办事处应当做好预警、转移撤退、分洪等相关安全工作，险情发生后要组织对险情进行限期处置，把影响和损失减少到最小程度。</w:t>
      </w:r>
    </w:p>
    <w:p>
      <w:pPr>
        <w:keepNext w:val="0"/>
        <w:keepLines w:val="0"/>
        <w:pageBreakBefore w:val="0"/>
        <w:widowControl w:val="0"/>
        <w:tabs>
          <w:tab w:val="left" w:pos="0"/>
        </w:tabs>
        <w:kinsoku/>
        <w:wordWrap/>
        <w:overflowPunct/>
        <w:topLinePunct w:val="0"/>
        <w:autoSpaceDN/>
        <w:bidi w:val="0"/>
        <w:adjustRightInd/>
        <w:snapToGrid/>
        <w:spacing w:before="0" w:beforeLines="0" w:after="0" w:afterLines="0" w:line="578" w:lineRule="exact"/>
        <w:ind w:firstLine="640" w:firstLineChars="200"/>
        <w:jc w:val="both"/>
        <w:textAlignment w:val="auto"/>
        <w:outlineLvl w:val="1"/>
        <w:rPr>
          <w:rFonts w:ascii="仿宋_GB2312" w:hAnsi="宋体" w:eastAsia="仿宋_GB2312" w:cs="宋体"/>
          <w:kern w:val="0"/>
          <w:sz w:val="32"/>
          <w:szCs w:val="36"/>
          <w:lang w:val="en-US" w:eastAsia="zh-CN" w:bidi="ar-SA"/>
        </w:rPr>
      </w:pPr>
      <w:bookmarkStart w:id="222" w:name="_Toc14121"/>
      <w:bookmarkStart w:id="223" w:name="_Toc9115"/>
      <w:bookmarkStart w:id="224" w:name="_Toc13325"/>
      <w:bookmarkStart w:id="225" w:name="_Toc31584"/>
      <w:bookmarkStart w:id="226" w:name="_Toc23971"/>
      <w:r>
        <w:rPr>
          <w:rFonts w:hint="eastAsia" w:ascii="黑体" w:hAnsi="黑体" w:eastAsia="黑体" w:cs="宋体"/>
          <w:b w:val="0"/>
          <w:bCs/>
          <w:kern w:val="2"/>
          <w:sz w:val="32"/>
          <w:szCs w:val="32"/>
          <w:lang w:val="en-US" w:eastAsia="zh-CN" w:bidi="ar-SA"/>
        </w:rPr>
        <w:t>第四十三条【行洪通道规划要求】</w:t>
      </w:r>
      <w:bookmarkEnd w:id="222"/>
      <w:bookmarkEnd w:id="223"/>
      <w:bookmarkEnd w:id="224"/>
      <w:bookmarkEnd w:id="225"/>
      <w:bookmarkEnd w:id="226"/>
      <w:r>
        <w:rPr>
          <w:rFonts w:hint="eastAsia" w:ascii="仿宋_GB2312" w:hAnsi="宋体" w:eastAsia="仿宋_GB2312" w:cs="宋体"/>
          <w:kern w:val="0"/>
          <w:sz w:val="32"/>
          <w:szCs w:val="36"/>
          <w:lang w:val="en-US" w:eastAsia="zh-CN" w:bidi="ar-SA"/>
        </w:rPr>
        <w:t>市、区人民政府加强水库下游行洪通道的规划、建设与运行管理，对不满足行洪要求的行洪通道进行整治，确保水库下游通道行洪能力与水库设计泄洪能力相适应。</w:t>
      </w:r>
    </w:p>
    <w:p>
      <w:pPr>
        <w:pageBreakBefore w:val="0"/>
        <w:kinsoku/>
        <w:wordWrap/>
        <w:overflowPunct/>
        <w:topLinePunct w:val="0"/>
        <w:autoSpaceDN/>
        <w:bidi w:val="0"/>
        <w:adjustRightInd/>
        <w:snapToGrid/>
        <w:spacing w:line="578" w:lineRule="exact"/>
        <w:ind w:firstLine="640" w:firstLineChars="200"/>
        <w:textAlignment w:val="auto"/>
        <w:rPr>
          <w:rFonts w:ascii="仿宋_GB2312" w:hAnsi="宋体" w:eastAsia="仿宋_GB2312" w:cs="宋体"/>
          <w:kern w:val="0"/>
          <w:sz w:val="32"/>
          <w:szCs w:val="36"/>
          <w:lang w:val="en-US" w:eastAsia="zh-CN" w:bidi="ar-SA"/>
        </w:rPr>
      </w:pPr>
      <w:r>
        <w:rPr>
          <w:rFonts w:hint="eastAsia" w:ascii="仿宋_GB2312" w:hAnsi="宋体" w:eastAsia="仿宋_GB2312" w:cs="宋体"/>
          <w:kern w:val="0"/>
          <w:sz w:val="32"/>
          <w:szCs w:val="36"/>
          <w:lang w:val="en-US" w:eastAsia="zh-CN" w:bidi="ar-SA"/>
        </w:rPr>
        <w:t>任何单位和个人不得在水库下游的行洪通道内设障阻水和垦殖。</w:t>
      </w:r>
    </w:p>
    <w:p>
      <w:pPr>
        <w:keepNext w:val="0"/>
        <w:keepLines w:val="0"/>
        <w:pageBreakBefore w:val="0"/>
        <w:widowControl w:val="0"/>
        <w:tabs>
          <w:tab w:val="left" w:pos="0"/>
        </w:tabs>
        <w:kinsoku/>
        <w:wordWrap/>
        <w:overflowPunct/>
        <w:topLinePunct w:val="0"/>
        <w:autoSpaceDN/>
        <w:bidi w:val="0"/>
        <w:adjustRightInd/>
        <w:snapToGrid/>
        <w:spacing w:before="0" w:beforeLines="0" w:after="0" w:afterLines="0" w:line="578" w:lineRule="exact"/>
        <w:ind w:firstLine="640" w:firstLineChars="200"/>
        <w:jc w:val="both"/>
        <w:textAlignment w:val="auto"/>
        <w:outlineLvl w:val="1"/>
        <w:rPr>
          <w:rFonts w:ascii="Times New Roman" w:hAnsi="Times New Roman" w:eastAsia="宋体" w:cs="Times New Roman"/>
          <w:b/>
          <w:kern w:val="2"/>
          <w:sz w:val="32"/>
          <w:szCs w:val="24"/>
          <w:lang w:val="en-US" w:eastAsia="zh-CN" w:bidi="ar-SA"/>
        </w:rPr>
      </w:pPr>
      <w:bookmarkStart w:id="227" w:name="_Toc18041"/>
      <w:bookmarkStart w:id="228" w:name="_Toc24500"/>
      <w:bookmarkStart w:id="229" w:name="_Toc14375"/>
      <w:bookmarkStart w:id="230" w:name="_Toc32470"/>
      <w:bookmarkStart w:id="231" w:name="_Toc6111"/>
      <w:r>
        <w:rPr>
          <w:rFonts w:hint="eastAsia" w:ascii="黑体" w:hAnsi="黑体" w:eastAsia="黑体" w:cs="宋体"/>
          <w:b w:val="0"/>
          <w:bCs/>
          <w:kern w:val="2"/>
          <w:sz w:val="32"/>
          <w:szCs w:val="32"/>
          <w:lang w:val="en-US" w:eastAsia="zh-CN" w:bidi="ar-SA"/>
        </w:rPr>
        <w:t>第四十四条【水库防汛道路连通管理要求】</w:t>
      </w:r>
      <w:bookmarkEnd w:id="227"/>
      <w:bookmarkEnd w:id="228"/>
      <w:bookmarkEnd w:id="229"/>
      <w:bookmarkEnd w:id="230"/>
      <w:bookmarkEnd w:id="231"/>
      <w:r>
        <w:rPr>
          <w:rFonts w:hint="eastAsia" w:ascii="仿宋_GB2312" w:hAnsi="宋体" w:eastAsia="仿宋_GB2312" w:cs="宋体"/>
          <w:kern w:val="0"/>
          <w:sz w:val="32"/>
          <w:szCs w:val="36"/>
          <w:lang w:val="en-US" w:eastAsia="zh-CN" w:bidi="ar-SA"/>
        </w:rPr>
        <w:t>水库的防汛道路应当与城市道路进行连通。城市道路主管部门应当保障与防汛道路连通的城市道路畅通。</w:t>
      </w:r>
    </w:p>
    <w:p>
      <w:pPr>
        <w:pageBreakBefore w:val="0"/>
        <w:widowControl w:val="0"/>
        <w:kinsoku/>
        <w:wordWrap/>
        <w:overflowPunct/>
        <w:topLinePunct w:val="0"/>
        <w:autoSpaceDN/>
        <w:bidi w:val="0"/>
        <w:adjustRightInd/>
        <w:snapToGrid/>
        <w:spacing w:line="578" w:lineRule="exact"/>
        <w:ind w:firstLine="640" w:firstLineChars="200"/>
        <w:jc w:val="both"/>
        <w:textAlignment w:val="auto"/>
        <w:rPr>
          <w:rFonts w:hint="eastAsia" w:ascii="Times New Roman" w:hAnsi="Times New Roman" w:eastAsia="宋体" w:cs="Times New Roman"/>
          <w:kern w:val="2"/>
          <w:sz w:val="32"/>
          <w:szCs w:val="32"/>
          <w:lang w:val="en-US" w:eastAsia="zh-CN" w:bidi="ar-SA"/>
        </w:rPr>
      </w:pPr>
    </w:p>
    <w:p>
      <w:pPr>
        <w:pageBreakBefore w:val="0"/>
        <w:kinsoku/>
        <w:wordWrap/>
        <w:overflowPunct/>
        <w:topLinePunct w:val="0"/>
        <w:autoSpaceDN/>
        <w:bidi w:val="0"/>
        <w:adjustRightInd/>
        <w:snapToGrid/>
        <w:spacing w:line="578" w:lineRule="exact"/>
        <w:jc w:val="center"/>
        <w:textAlignment w:val="auto"/>
        <w:rPr>
          <w:rFonts w:ascii="黑体" w:hAnsi="黑体" w:eastAsia="黑体" w:cs="黑体"/>
          <w:sz w:val="32"/>
          <w:szCs w:val="28"/>
        </w:rPr>
      </w:pPr>
      <w:bookmarkStart w:id="232" w:name="_Toc23856"/>
      <w:bookmarkStart w:id="233" w:name="_Toc30559"/>
      <w:bookmarkStart w:id="234" w:name="_Toc21724"/>
      <w:bookmarkStart w:id="235" w:name="_Toc25047"/>
      <w:bookmarkStart w:id="236" w:name="_Toc6023"/>
      <w:r>
        <w:rPr>
          <w:rFonts w:hint="eastAsia" w:ascii="黑体" w:hAnsi="黑体" w:eastAsia="黑体" w:cs="黑体"/>
          <w:sz w:val="32"/>
          <w:szCs w:val="28"/>
        </w:rPr>
        <w:t>第五章 法律责任</w:t>
      </w:r>
      <w:bookmarkEnd w:id="232"/>
      <w:bookmarkEnd w:id="233"/>
      <w:bookmarkEnd w:id="234"/>
      <w:bookmarkEnd w:id="235"/>
      <w:bookmarkEnd w:id="236"/>
    </w:p>
    <w:p>
      <w:pPr>
        <w:keepNext w:val="0"/>
        <w:keepLines w:val="0"/>
        <w:pageBreakBefore w:val="0"/>
        <w:widowControl w:val="0"/>
        <w:tabs>
          <w:tab w:val="left" w:pos="0"/>
        </w:tabs>
        <w:kinsoku/>
        <w:wordWrap/>
        <w:overflowPunct/>
        <w:topLinePunct w:val="0"/>
        <w:autoSpaceDN/>
        <w:bidi w:val="0"/>
        <w:adjustRightInd/>
        <w:snapToGrid/>
        <w:spacing w:before="0" w:beforeLines="0" w:after="0" w:afterLines="0" w:line="578" w:lineRule="exact"/>
        <w:ind w:firstLine="640" w:firstLineChars="200"/>
        <w:jc w:val="both"/>
        <w:textAlignment w:val="auto"/>
        <w:outlineLvl w:val="1"/>
        <w:rPr>
          <w:rFonts w:ascii="Times New Roman" w:hAnsi="Times New Roman" w:eastAsia="宋体" w:cs="Times New Roman"/>
          <w:b/>
          <w:kern w:val="2"/>
          <w:sz w:val="32"/>
          <w:szCs w:val="24"/>
          <w:lang w:val="en-US" w:eastAsia="zh-CN" w:bidi="ar-SA"/>
        </w:rPr>
      </w:pPr>
      <w:bookmarkStart w:id="237" w:name="_Toc28200"/>
      <w:bookmarkStart w:id="238" w:name="_Toc12011"/>
      <w:bookmarkStart w:id="239" w:name="_Toc24665"/>
      <w:bookmarkStart w:id="240" w:name="_Toc10863"/>
      <w:bookmarkStart w:id="241" w:name="_Toc4938"/>
      <w:r>
        <w:rPr>
          <w:rFonts w:hint="eastAsia" w:ascii="黑体" w:hAnsi="黑体" w:eastAsia="黑体" w:cs="宋体"/>
          <w:b w:val="0"/>
          <w:bCs/>
          <w:kern w:val="2"/>
          <w:sz w:val="32"/>
          <w:szCs w:val="32"/>
          <w:lang w:val="en-US" w:eastAsia="zh-CN" w:bidi="ar-SA"/>
        </w:rPr>
        <w:t>第四十五条【破坏界桩的行为处罚】</w:t>
      </w:r>
      <w:bookmarkEnd w:id="237"/>
      <w:bookmarkEnd w:id="238"/>
      <w:bookmarkEnd w:id="239"/>
      <w:bookmarkEnd w:id="240"/>
      <w:bookmarkEnd w:id="241"/>
      <w:r>
        <w:rPr>
          <w:rFonts w:hint="eastAsia" w:ascii="仿宋_GB2312" w:hAnsi="宋体" w:eastAsia="仿宋_GB2312" w:cs="宋体"/>
          <w:kern w:val="0"/>
          <w:sz w:val="32"/>
          <w:szCs w:val="36"/>
          <w:lang w:val="en-US" w:eastAsia="zh-CN" w:bidi="ar-SA"/>
        </w:rPr>
        <w:t>违反本办法第十条第三款规定，擅自损坏、拆除、覆盖、移动、涂改界桩或者标识的，由市、区水行政主管部门责令其停止违法行为，恢复原状。造成损失的，依法承担赔偿责任，并采取补救措施。</w:t>
      </w:r>
    </w:p>
    <w:p>
      <w:pPr>
        <w:keepNext w:val="0"/>
        <w:keepLines w:val="0"/>
        <w:pageBreakBefore w:val="0"/>
        <w:widowControl w:val="0"/>
        <w:tabs>
          <w:tab w:val="left" w:pos="0"/>
        </w:tabs>
        <w:kinsoku/>
        <w:wordWrap/>
        <w:overflowPunct/>
        <w:topLinePunct w:val="0"/>
        <w:autoSpaceDN/>
        <w:bidi w:val="0"/>
        <w:adjustRightInd/>
        <w:snapToGrid/>
        <w:spacing w:before="0" w:beforeLines="0" w:after="0" w:afterLines="0" w:line="578" w:lineRule="exact"/>
        <w:ind w:firstLine="640" w:firstLineChars="200"/>
        <w:jc w:val="both"/>
        <w:textAlignment w:val="auto"/>
        <w:outlineLvl w:val="1"/>
        <w:rPr>
          <w:rFonts w:ascii="仿宋_GB2312" w:hAnsi="宋体" w:eastAsia="仿宋_GB2312" w:cs="宋体"/>
          <w:kern w:val="0"/>
          <w:sz w:val="32"/>
          <w:szCs w:val="36"/>
          <w:lang w:val="en-US" w:eastAsia="zh-CN" w:bidi="ar-SA"/>
        </w:rPr>
      </w:pPr>
      <w:bookmarkStart w:id="242" w:name="_Toc11104"/>
      <w:bookmarkStart w:id="243" w:name="_Toc9289"/>
      <w:bookmarkStart w:id="244" w:name="_Toc22916"/>
      <w:bookmarkStart w:id="245" w:name="_Toc30864"/>
      <w:bookmarkStart w:id="246" w:name="_Toc18036"/>
      <w:r>
        <w:rPr>
          <w:rFonts w:hint="eastAsia" w:ascii="黑体" w:hAnsi="黑体" w:eastAsia="黑体" w:cs="宋体"/>
          <w:b w:val="0"/>
          <w:bCs/>
          <w:kern w:val="2"/>
          <w:sz w:val="32"/>
          <w:szCs w:val="32"/>
          <w:lang w:val="en-US" w:eastAsia="zh-CN" w:bidi="ar-SA"/>
        </w:rPr>
        <w:t>第四十六条【管理范围内的行为处罚】</w:t>
      </w:r>
      <w:bookmarkEnd w:id="242"/>
      <w:bookmarkEnd w:id="243"/>
      <w:bookmarkEnd w:id="244"/>
      <w:bookmarkEnd w:id="245"/>
      <w:bookmarkEnd w:id="246"/>
      <w:r>
        <w:rPr>
          <w:rFonts w:hint="eastAsia" w:ascii="仿宋_GB2312" w:hAnsi="宋体" w:eastAsia="仿宋_GB2312" w:cs="宋体"/>
          <w:kern w:val="0"/>
          <w:sz w:val="32"/>
          <w:szCs w:val="36"/>
          <w:lang w:val="en-US" w:eastAsia="zh-CN" w:bidi="ar-SA"/>
        </w:rPr>
        <w:t>违反本办法第十三条第一、二项规定的，由市、区水行政主管部门责令其停止违法行为，限期拆除违法建筑物或者设施，可处一万元以上十万元以下的罚款。</w:t>
      </w:r>
    </w:p>
    <w:p>
      <w:pPr>
        <w:pageBreakBefore w:val="0"/>
        <w:kinsoku/>
        <w:wordWrap/>
        <w:overflowPunct/>
        <w:topLinePunct w:val="0"/>
        <w:autoSpaceDN/>
        <w:bidi w:val="0"/>
        <w:adjustRightInd/>
        <w:snapToGrid/>
        <w:spacing w:line="578" w:lineRule="exact"/>
        <w:ind w:firstLine="640" w:firstLineChars="200"/>
        <w:textAlignment w:val="auto"/>
        <w:rPr>
          <w:rFonts w:ascii="仿宋_GB2312" w:hAnsi="宋体" w:eastAsia="仿宋_GB2312" w:cs="宋体"/>
          <w:kern w:val="0"/>
          <w:sz w:val="32"/>
          <w:szCs w:val="36"/>
          <w:lang w:val="en-US" w:eastAsia="zh-CN" w:bidi="ar-SA"/>
        </w:rPr>
      </w:pPr>
      <w:r>
        <w:rPr>
          <w:rFonts w:hint="eastAsia" w:ascii="仿宋_GB2312" w:hAnsi="宋体" w:eastAsia="仿宋_GB2312" w:cs="宋体"/>
          <w:kern w:val="0"/>
          <w:sz w:val="32"/>
          <w:szCs w:val="36"/>
          <w:lang w:val="en-US" w:eastAsia="zh-CN" w:bidi="ar-SA"/>
        </w:rPr>
        <w:t>违反本办法第十三条第三至七项及第十一项规定的，由市、区水行政主管部门责令其停止违法行为，赔偿损失，采取补救措施，可处二千元以上五万元以下的罚款。</w:t>
      </w:r>
    </w:p>
    <w:p>
      <w:pPr>
        <w:pageBreakBefore w:val="0"/>
        <w:kinsoku/>
        <w:wordWrap/>
        <w:overflowPunct/>
        <w:topLinePunct w:val="0"/>
        <w:autoSpaceDN/>
        <w:bidi w:val="0"/>
        <w:adjustRightInd/>
        <w:snapToGrid/>
        <w:spacing w:line="578" w:lineRule="exact"/>
        <w:ind w:firstLine="640" w:firstLineChars="200"/>
        <w:textAlignment w:val="auto"/>
        <w:rPr>
          <w:rFonts w:ascii="仿宋_GB2312" w:hAnsi="宋体" w:eastAsia="仿宋_GB2312" w:cs="宋体"/>
          <w:kern w:val="0"/>
          <w:sz w:val="32"/>
          <w:szCs w:val="36"/>
          <w:lang w:val="en-US" w:eastAsia="zh-CN" w:bidi="ar-SA"/>
        </w:rPr>
      </w:pPr>
      <w:r>
        <w:rPr>
          <w:rFonts w:hint="eastAsia" w:ascii="仿宋_GB2312" w:hAnsi="宋体" w:eastAsia="仿宋_GB2312" w:cs="宋体"/>
          <w:kern w:val="0"/>
          <w:sz w:val="32"/>
          <w:szCs w:val="36"/>
          <w:lang w:val="en-US" w:eastAsia="zh-CN" w:bidi="ar-SA"/>
        </w:rPr>
        <w:t>违反本办法第十三条第八至十项规定的，由市、区水行政主管部门责令停止违法行为，对个人可处以二百元、对单位或者组织可处以三千元罚款。</w:t>
      </w:r>
    </w:p>
    <w:p>
      <w:pPr>
        <w:keepNext w:val="0"/>
        <w:keepLines w:val="0"/>
        <w:pageBreakBefore w:val="0"/>
        <w:widowControl w:val="0"/>
        <w:tabs>
          <w:tab w:val="left" w:pos="0"/>
        </w:tabs>
        <w:kinsoku/>
        <w:wordWrap/>
        <w:overflowPunct/>
        <w:topLinePunct w:val="0"/>
        <w:autoSpaceDN/>
        <w:bidi w:val="0"/>
        <w:adjustRightInd/>
        <w:snapToGrid/>
        <w:spacing w:before="0" w:beforeLines="0" w:after="0" w:afterLines="0" w:line="578" w:lineRule="exact"/>
        <w:ind w:firstLine="640" w:firstLineChars="200"/>
        <w:jc w:val="both"/>
        <w:textAlignment w:val="auto"/>
        <w:outlineLvl w:val="1"/>
        <w:rPr>
          <w:rFonts w:ascii="Times New Roman" w:hAnsi="Times New Roman" w:eastAsia="宋体" w:cs="Times New Roman"/>
          <w:b/>
          <w:kern w:val="2"/>
          <w:sz w:val="32"/>
          <w:szCs w:val="24"/>
          <w:lang w:val="en-US" w:eastAsia="zh-CN" w:bidi="ar-SA"/>
        </w:rPr>
      </w:pPr>
      <w:bookmarkStart w:id="247" w:name="_Toc10927"/>
      <w:bookmarkStart w:id="248" w:name="_Toc32599"/>
      <w:bookmarkStart w:id="249" w:name="_Toc17822"/>
      <w:bookmarkStart w:id="250" w:name="_Toc3185"/>
      <w:bookmarkStart w:id="251" w:name="_Toc12735"/>
      <w:r>
        <w:rPr>
          <w:rFonts w:hint="eastAsia" w:ascii="黑体" w:hAnsi="黑体" w:eastAsia="黑体" w:cs="宋体"/>
          <w:b w:val="0"/>
          <w:bCs/>
          <w:kern w:val="2"/>
          <w:sz w:val="32"/>
          <w:szCs w:val="32"/>
          <w:lang w:val="en-US" w:eastAsia="zh-CN" w:bidi="ar-SA"/>
        </w:rPr>
        <w:t>第四十七条【禁止准入项目的行为处罚】</w:t>
      </w:r>
      <w:bookmarkEnd w:id="247"/>
      <w:bookmarkEnd w:id="248"/>
      <w:bookmarkEnd w:id="249"/>
      <w:bookmarkEnd w:id="250"/>
      <w:bookmarkEnd w:id="251"/>
      <w:r>
        <w:rPr>
          <w:rFonts w:hint="eastAsia" w:ascii="仿宋_GB2312" w:hAnsi="宋体" w:eastAsia="仿宋_GB2312" w:cs="宋体"/>
          <w:kern w:val="0"/>
          <w:sz w:val="32"/>
          <w:szCs w:val="36"/>
          <w:lang w:val="en-US" w:eastAsia="zh-CN" w:bidi="ar-SA"/>
        </w:rPr>
        <w:t>违反本办法第十四条在水库水域进行经营性开发建设，或者违反第二十一条规定在水库管理范围实施建设项目的，由市、区水行政主管部门责令改正，限期拆除违法建筑物或者设施，可处一万元以上十万元以下的罚款。</w:t>
      </w:r>
    </w:p>
    <w:p>
      <w:pPr>
        <w:keepNext w:val="0"/>
        <w:keepLines w:val="0"/>
        <w:pageBreakBefore w:val="0"/>
        <w:widowControl w:val="0"/>
        <w:tabs>
          <w:tab w:val="left" w:pos="0"/>
        </w:tabs>
        <w:kinsoku/>
        <w:wordWrap/>
        <w:overflowPunct/>
        <w:topLinePunct w:val="0"/>
        <w:autoSpaceDN/>
        <w:bidi w:val="0"/>
        <w:adjustRightInd/>
        <w:snapToGrid/>
        <w:spacing w:before="0" w:beforeLines="0" w:after="0" w:afterLines="0" w:line="578" w:lineRule="exact"/>
        <w:ind w:firstLine="640" w:firstLineChars="200"/>
        <w:jc w:val="both"/>
        <w:textAlignment w:val="auto"/>
        <w:outlineLvl w:val="1"/>
        <w:rPr>
          <w:rFonts w:ascii="仿宋_GB2312" w:hAnsi="宋体" w:eastAsia="仿宋_GB2312" w:cs="宋体"/>
          <w:kern w:val="0"/>
          <w:sz w:val="32"/>
          <w:szCs w:val="36"/>
          <w:lang w:val="en-US" w:eastAsia="zh-CN" w:bidi="ar-SA"/>
        </w:rPr>
      </w:pPr>
      <w:bookmarkStart w:id="252" w:name="_Toc17479"/>
      <w:bookmarkStart w:id="253" w:name="_Toc8219"/>
      <w:bookmarkStart w:id="254" w:name="_Toc13922"/>
      <w:bookmarkStart w:id="255" w:name="_Toc29903"/>
      <w:bookmarkStart w:id="256" w:name="_Toc6510"/>
      <w:r>
        <w:rPr>
          <w:rFonts w:hint="eastAsia" w:ascii="黑体" w:hAnsi="黑体" w:eastAsia="黑体" w:cs="宋体"/>
          <w:b w:val="0"/>
          <w:bCs/>
          <w:kern w:val="2"/>
          <w:sz w:val="32"/>
          <w:szCs w:val="32"/>
          <w:lang w:val="en-US" w:eastAsia="zh-CN" w:bidi="ar-SA"/>
        </w:rPr>
        <w:t>第四十八条【建设项目的行为处罚】</w:t>
      </w:r>
      <w:bookmarkEnd w:id="252"/>
      <w:bookmarkEnd w:id="253"/>
      <w:bookmarkEnd w:id="254"/>
      <w:bookmarkEnd w:id="255"/>
      <w:bookmarkEnd w:id="256"/>
      <w:r>
        <w:rPr>
          <w:rFonts w:hint="eastAsia" w:ascii="仿宋_GB2312" w:hAnsi="宋体" w:eastAsia="仿宋_GB2312" w:cs="宋体"/>
          <w:kern w:val="0"/>
          <w:sz w:val="32"/>
          <w:szCs w:val="36"/>
          <w:lang w:val="en-US" w:eastAsia="zh-CN" w:bidi="ar-SA"/>
        </w:rPr>
        <w:t>违反本办法第十九条、第二十条、第二十三条规定，未经水行政主管部门批准或者备案，擅自在水库管理范围和保护范围内开工建设的，由市、区水行政主管部门责令其停止违法行为，限期补办审批或者备案手续，可处一万元以上十万元以下的罚款；逾期不补办或者补办未批准的，责令限期拆除违法建筑物或者工程设施。</w:t>
      </w:r>
    </w:p>
    <w:p>
      <w:pPr>
        <w:pageBreakBefore w:val="0"/>
        <w:kinsoku/>
        <w:wordWrap/>
        <w:overflowPunct/>
        <w:topLinePunct w:val="0"/>
        <w:autoSpaceDN/>
        <w:bidi w:val="0"/>
        <w:adjustRightInd/>
        <w:snapToGrid/>
        <w:spacing w:line="578" w:lineRule="exact"/>
        <w:ind w:firstLine="640" w:firstLineChars="200"/>
        <w:textAlignment w:val="auto"/>
        <w:rPr>
          <w:rFonts w:ascii="仿宋_GB2312" w:hAnsi="宋体" w:eastAsia="仿宋_GB2312" w:cs="宋体"/>
          <w:kern w:val="0"/>
          <w:sz w:val="32"/>
          <w:szCs w:val="36"/>
          <w:lang w:val="en-US" w:eastAsia="zh-CN" w:bidi="ar-SA"/>
        </w:rPr>
      </w:pPr>
      <w:r>
        <w:rPr>
          <w:rFonts w:hint="eastAsia" w:ascii="仿宋_GB2312" w:hAnsi="宋体" w:eastAsia="仿宋_GB2312" w:cs="宋体"/>
          <w:kern w:val="0"/>
          <w:sz w:val="32"/>
          <w:szCs w:val="36"/>
          <w:lang w:val="en-US" w:eastAsia="zh-CN" w:bidi="ar-SA"/>
        </w:rPr>
        <w:t>违反本办法第二十四条规定的，由市、区水行政主管部门责令限期改正，可处以一万元以上十万元以下的罚款。</w:t>
      </w:r>
    </w:p>
    <w:p>
      <w:pPr>
        <w:keepNext w:val="0"/>
        <w:keepLines w:val="0"/>
        <w:pageBreakBefore w:val="0"/>
        <w:widowControl w:val="0"/>
        <w:tabs>
          <w:tab w:val="left" w:pos="0"/>
        </w:tabs>
        <w:kinsoku/>
        <w:wordWrap/>
        <w:overflowPunct/>
        <w:topLinePunct w:val="0"/>
        <w:autoSpaceDN/>
        <w:bidi w:val="0"/>
        <w:adjustRightInd/>
        <w:snapToGrid/>
        <w:spacing w:before="0" w:beforeLines="0" w:after="0" w:afterLines="0" w:line="578" w:lineRule="exact"/>
        <w:ind w:firstLine="640" w:firstLineChars="200"/>
        <w:jc w:val="both"/>
        <w:textAlignment w:val="auto"/>
        <w:outlineLvl w:val="1"/>
        <w:rPr>
          <w:rFonts w:ascii="Times New Roman" w:hAnsi="Times New Roman" w:eastAsia="宋体" w:cs="Times New Roman"/>
          <w:b/>
          <w:kern w:val="2"/>
          <w:sz w:val="32"/>
          <w:szCs w:val="24"/>
          <w:lang w:val="en-US" w:eastAsia="zh-CN" w:bidi="ar-SA"/>
        </w:rPr>
      </w:pPr>
      <w:bookmarkStart w:id="257" w:name="_Toc14200"/>
      <w:bookmarkStart w:id="258" w:name="_Toc14546"/>
      <w:bookmarkStart w:id="259" w:name="_Toc13765"/>
      <w:bookmarkStart w:id="260" w:name="_Toc12927"/>
      <w:bookmarkStart w:id="261" w:name="_Toc9055"/>
      <w:r>
        <w:rPr>
          <w:rFonts w:hint="eastAsia" w:ascii="黑体" w:hAnsi="黑体" w:eastAsia="黑体" w:cs="宋体"/>
          <w:b w:val="0"/>
          <w:bCs/>
          <w:kern w:val="2"/>
          <w:sz w:val="32"/>
          <w:szCs w:val="32"/>
          <w:lang w:val="en-US" w:eastAsia="zh-CN" w:bidi="ar-SA"/>
        </w:rPr>
        <w:t>第四十九条【行政主体违法行为处罚】</w:t>
      </w:r>
      <w:bookmarkEnd w:id="257"/>
      <w:bookmarkEnd w:id="258"/>
      <w:bookmarkEnd w:id="259"/>
      <w:bookmarkEnd w:id="260"/>
      <w:bookmarkEnd w:id="261"/>
      <w:r>
        <w:rPr>
          <w:rFonts w:hint="eastAsia" w:ascii="仿宋_GB2312" w:hAnsi="宋体" w:eastAsia="仿宋_GB2312" w:cs="宋体"/>
          <w:kern w:val="0"/>
          <w:sz w:val="32"/>
          <w:szCs w:val="36"/>
          <w:lang w:val="en-US" w:eastAsia="zh-CN" w:bidi="ar-SA"/>
        </w:rPr>
        <w:t>水行政主管部门、其他政府相关主管部门及水库管理单位的工作人员在水库管理工作中滥用职权、玩忽职守、徇私舞弊的，依法给予处分；构成犯罪的，依法追究刑事责任。</w:t>
      </w:r>
    </w:p>
    <w:p>
      <w:pPr>
        <w:keepNext w:val="0"/>
        <w:keepLines w:val="0"/>
        <w:pageBreakBefore w:val="0"/>
        <w:widowControl w:val="0"/>
        <w:tabs>
          <w:tab w:val="left" w:pos="0"/>
        </w:tabs>
        <w:kinsoku/>
        <w:wordWrap/>
        <w:overflowPunct/>
        <w:topLinePunct w:val="0"/>
        <w:autoSpaceDN/>
        <w:bidi w:val="0"/>
        <w:adjustRightInd/>
        <w:snapToGrid/>
        <w:spacing w:before="0" w:beforeLines="0" w:after="0" w:afterLines="0" w:line="578" w:lineRule="exact"/>
        <w:ind w:firstLine="640" w:firstLineChars="200"/>
        <w:jc w:val="both"/>
        <w:textAlignment w:val="auto"/>
        <w:outlineLvl w:val="1"/>
        <w:rPr>
          <w:rFonts w:ascii="Times New Roman" w:hAnsi="Times New Roman" w:eastAsia="宋体" w:cs="Times New Roman"/>
          <w:b/>
          <w:kern w:val="2"/>
          <w:sz w:val="32"/>
          <w:szCs w:val="24"/>
          <w:lang w:val="en-US" w:eastAsia="zh-CN" w:bidi="ar-SA"/>
        </w:rPr>
      </w:pPr>
      <w:bookmarkStart w:id="262" w:name="_Toc15830"/>
      <w:bookmarkStart w:id="263" w:name="_Toc24783"/>
      <w:bookmarkStart w:id="264" w:name="_Toc8349"/>
      <w:bookmarkStart w:id="265" w:name="_Toc17994"/>
      <w:bookmarkStart w:id="266" w:name="_Toc30244"/>
      <w:r>
        <w:rPr>
          <w:rFonts w:hint="eastAsia" w:ascii="黑体" w:hAnsi="黑体" w:eastAsia="黑体" w:cs="宋体"/>
          <w:b w:val="0"/>
          <w:bCs/>
          <w:kern w:val="2"/>
          <w:sz w:val="32"/>
          <w:szCs w:val="32"/>
          <w:lang w:val="en-US" w:eastAsia="zh-CN" w:bidi="ar-SA"/>
        </w:rPr>
        <w:t>第五十条【其他规定】</w:t>
      </w:r>
      <w:bookmarkEnd w:id="262"/>
      <w:bookmarkEnd w:id="263"/>
      <w:bookmarkEnd w:id="264"/>
      <w:bookmarkEnd w:id="265"/>
      <w:bookmarkEnd w:id="266"/>
      <w:r>
        <w:rPr>
          <w:rFonts w:hint="eastAsia" w:ascii="仿宋_GB2312" w:hAnsi="宋体" w:eastAsia="仿宋_GB2312" w:cs="宋体"/>
          <w:kern w:val="0"/>
          <w:sz w:val="32"/>
          <w:szCs w:val="36"/>
          <w:lang w:val="en-US" w:eastAsia="zh-CN" w:bidi="ar-SA"/>
        </w:rPr>
        <w:t>违反本办法规定的行为涉及其他法律、法规、规章规定的，由相关行政主管部门依照其规定处罚。</w:t>
      </w:r>
    </w:p>
    <w:p>
      <w:pPr>
        <w:pageBreakBefore w:val="0"/>
        <w:kinsoku/>
        <w:wordWrap/>
        <w:overflowPunct/>
        <w:topLinePunct w:val="0"/>
        <w:autoSpaceDN/>
        <w:bidi w:val="0"/>
        <w:adjustRightInd/>
        <w:snapToGrid/>
        <w:spacing w:line="578" w:lineRule="exact"/>
        <w:ind w:firstLine="640" w:firstLineChars="200"/>
        <w:textAlignment w:val="auto"/>
        <w:rPr>
          <w:rFonts w:ascii="Times New Roman" w:hAnsi="Times New Roman" w:eastAsia="宋体" w:cs="Times New Roman"/>
          <w:sz w:val="32"/>
          <w:szCs w:val="32"/>
        </w:rPr>
      </w:pPr>
    </w:p>
    <w:p>
      <w:pPr>
        <w:pageBreakBefore w:val="0"/>
        <w:kinsoku/>
        <w:wordWrap/>
        <w:overflowPunct/>
        <w:topLinePunct w:val="0"/>
        <w:autoSpaceDN/>
        <w:bidi w:val="0"/>
        <w:adjustRightInd/>
        <w:snapToGrid/>
        <w:spacing w:line="578" w:lineRule="exact"/>
        <w:jc w:val="center"/>
        <w:textAlignment w:val="auto"/>
        <w:rPr>
          <w:rFonts w:ascii="黑体" w:hAnsi="黑体" w:eastAsia="黑体" w:cs="黑体"/>
          <w:sz w:val="32"/>
          <w:szCs w:val="28"/>
        </w:rPr>
      </w:pPr>
      <w:bookmarkStart w:id="267" w:name="_Toc5855"/>
      <w:bookmarkStart w:id="268" w:name="_Toc21382"/>
      <w:bookmarkStart w:id="269" w:name="_Toc5127"/>
      <w:bookmarkStart w:id="270" w:name="_Toc32545"/>
      <w:bookmarkStart w:id="271" w:name="_Toc891"/>
      <w:r>
        <w:rPr>
          <w:rFonts w:hint="eastAsia" w:ascii="黑体" w:hAnsi="黑体" w:eastAsia="黑体" w:cs="黑体"/>
          <w:sz w:val="32"/>
          <w:szCs w:val="28"/>
        </w:rPr>
        <w:t>第六章 附则</w:t>
      </w:r>
      <w:bookmarkEnd w:id="267"/>
      <w:bookmarkEnd w:id="268"/>
      <w:bookmarkEnd w:id="269"/>
      <w:bookmarkEnd w:id="270"/>
      <w:bookmarkEnd w:id="271"/>
    </w:p>
    <w:p>
      <w:pPr>
        <w:keepNext w:val="0"/>
        <w:keepLines w:val="0"/>
        <w:pageBreakBefore w:val="0"/>
        <w:widowControl w:val="0"/>
        <w:tabs>
          <w:tab w:val="left" w:pos="0"/>
        </w:tabs>
        <w:kinsoku/>
        <w:wordWrap/>
        <w:overflowPunct/>
        <w:topLinePunct w:val="0"/>
        <w:autoSpaceDN/>
        <w:bidi w:val="0"/>
        <w:adjustRightInd/>
        <w:snapToGrid/>
        <w:spacing w:before="0" w:beforeLines="0" w:after="0" w:afterLines="0" w:line="578" w:lineRule="exact"/>
        <w:ind w:firstLine="640" w:firstLineChars="200"/>
        <w:jc w:val="both"/>
        <w:textAlignment w:val="auto"/>
        <w:outlineLvl w:val="1"/>
        <w:rPr>
          <w:rFonts w:ascii="仿宋_GB2312" w:hAnsi="宋体" w:eastAsia="仿宋_GB2312" w:cs="宋体"/>
          <w:kern w:val="0"/>
          <w:sz w:val="32"/>
          <w:szCs w:val="36"/>
          <w:lang w:val="en-US" w:eastAsia="zh-CN" w:bidi="ar-SA"/>
        </w:rPr>
      </w:pPr>
      <w:bookmarkStart w:id="272" w:name="_Toc11773"/>
      <w:bookmarkStart w:id="273" w:name="_Toc858"/>
      <w:bookmarkStart w:id="274" w:name="_Toc10012"/>
      <w:bookmarkStart w:id="275" w:name="_Toc2374"/>
      <w:bookmarkStart w:id="276" w:name="_Toc30427"/>
      <w:r>
        <w:rPr>
          <w:rFonts w:hint="eastAsia" w:ascii="黑体" w:hAnsi="黑体" w:eastAsia="黑体" w:cs="宋体"/>
          <w:b w:val="0"/>
          <w:bCs/>
          <w:kern w:val="2"/>
          <w:sz w:val="32"/>
          <w:szCs w:val="32"/>
          <w:lang w:val="en-US" w:eastAsia="zh-CN" w:bidi="ar-SA"/>
        </w:rPr>
        <w:t>第五十一条【名词释义】</w:t>
      </w:r>
      <w:bookmarkEnd w:id="272"/>
      <w:bookmarkEnd w:id="273"/>
      <w:r>
        <w:rPr>
          <w:rFonts w:hint="eastAsia" w:ascii="仿宋_GB2312" w:hAnsi="宋体" w:eastAsia="仿宋_GB2312" w:cs="宋体"/>
          <w:kern w:val="0"/>
          <w:sz w:val="32"/>
          <w:szCs w:val="36"/>
          <w:lang w:val="en-US" w:eastAsia="zh-CN" w:bidi="ar-SA"/>
        </w:rPr>
        <w:t>本办法所称大型水库分为大（1）型和大（2）型，大（1）型水库是指总库容大于10亿立方米的水库，大（2）型水库是指总库容在1亿立方米及以上且不超过10亿立方米的水库；中型水库是指总库容在1000万立方米及以上且小于1亿立方米的水库；小型水库分为小（1）型和小（2）型，小（1）型水库是指总库容在100万立方米及以上且小于1000万立方米的水库，小（2）型水库是指总库容在10万立方米及以上且小于100万立方米的水库。</w:t>
      </w:r>
    </w:p>
    <w:p>
      <w:pPr>
        <w:pageBreakBefore w:val="0"/>
        <w:kinsoku/>
        <w:wordWrap/>
        <w:overflowPunct/>
        <w:topLinePunct w:val="0"/>
        <w:autoSpaceDN/>
        <w:bidi w:val="0"/>
        <w:adjustRightInd/>
        <w:snapToGrid/>
        <w:spacing w:line="578" w:lineRule="exact"/>
        <w:ind w:firstLine="640" w:firstLineChars="200"/>
        <w:textAlignment w:val="auto"/>
        <w:rPr>
          <w:rFonts w:ascii="仿宋_GB2312" w:hAnsi="宋体" w:eastAsia="仿宋_GB2312" w:cs="宋体"/>
          <w:kern w:val="0"/>
          <w:sz w:val="32"/>
          <w:szCs w:val="36"/>
          <w:lang w:val="en-US" w:eastAsia="zh-CN" w:bidi="ar-SA"/>
        </w:rPr>
      </w:pPr>
      <w:r>
        <w:rPr>
          <w:rFonts w:hint="eastAsia" w:ascii="仿宋_GB2312" w:hAnsi="宋体" w:eastAsia="仿宋_GB2312" w:cs="宋体"/>
          <w:kern w:val="0"/>
          <w:sz w:val="32"/>
          <w:szCs w:val="36"/>
          <w:lang w:val="en-US" w:eastAsia="zh-CN" w:bidi="ar-SA"/>
        </w:rPr>
        <w:t>本办法所称水库业主单位，是指水库产权的所有者，包括拥有水库产权的规划和自然资源、生态环境、水务、农业、林业、城管等相关部门，相关街道办事处，企、事业单位、农村集体经济组织及自然人。</w:t>
      </w:r>
    </w:p>
    <w:p>
      <w:pPr>
        <w:pageBreakBefore w:val="0"/>
        <w:kinsoku/>
        <w:wordWrap/>
        <w:overflowPunct/>
        <w:topLinePunct w:val="0"/>
        <w:autoSpaceDN/>
        <w:bidi w:val="0"/>
        <w:adjustRightInd/>
        <w:snapToGrid/>
        <w:spacing w:line="578" w:lineRule="exact"/>
        <w:ind w:firstLine="640" w:firstLineChars="200"/>
        <w:textAlignment w:val="auto"/>
        <w:rPr>
          <w:rFonts w:ascii="仿宋_GB2312" w:hAnsi="宋体" w:eastAsia="仿宋_GB2312" w:cs="宋体"/>
          <w:kern w:val="0"/>
          <w:sz w:val="32"/>
          <w:szCs w:val="36"/>
          <w:lang w:val="en-US" w:eastAsia="zh-CN" w:bidi="ar-SA"/>
        </w:rPr>
      </w:pPr>
      <w:r>
        <w:rPr>
          <w:rFonts w:hint="eastAsia" w:ascii="仿宋_GB2312" w:hAnsi="宋体" w:eastAsia="仿宋_GB2312" w:cs="宋体"/>
          <w:kern w:val="0"/>
          <w:sz w:val="32"/>
          <w:szCs w:val="36"/>
          <w:lang w:val="en-US" w:eastAsia="zh-CN" w:bidi="ar-SA"/>
        </w:rPr>
        <w:t>本办法所称水库管理单位，是指水库业主单位成立或者委托的专门管理所属水库的企、事业单位等，水库业主单位自行管理的，则指水库业主单位自身。</w:t>
      </w:r>
    </w:p>
    <w:p>
      <w:pPr>
        <w:keepNext w:val="0"/>
        <w:keepLines w:val="0"/>
        <w:pageBreakBefore w:val="0"/>
        <w:widowControl w:val="0"/>
        <w:tabs>
          <w:tab w:val="left" w:pos="0"/>
        </w:tabs>
        <w:kinsoku/>
        <w:wordWrap/>
        <w:overflowPunct/>
        <w:topLinePunct w:val="0"/>
        <w:autoSpaceDN/>
        <w:bidi w:val="0"/>
        <w:adjustRightInd/>
        <w:snapToGrid/>
        <w:spacing w:before="0" w:beforeLines="0" w:after="0" w:afterLines="0" w:line="578" w:lineRule="exact"/>
        <w:ind w:firstLine="640" w:firstLineChars="200"/>
        <w:jc w:val="both"/>
        <w:textAlignment w:val="auto"/>
        <w:outlineLvl w:val="1"/>
        <w:rPr>
          <w:rFonts w:ascii="Times New Roman" w:hAnsi="Times New Roman" w:eastAsia="宋体" w:cs="Times New Roman"/>
          <w:b/>
          <w:kern w:val="2"/>
          <w:sz w:val="32"/>
          <w:szCs w:val="24"/>
          <w:lang w:val="en-US" w:eastAsia="zh-CN" w:bidi="ar-SA"/>
        </w:rPr>
      </w:pPr>
      <w:bookmarkStart w:id="277" w:name="_Toc15066"/>
      <w:bookmarkStart w:id="278" w:name="_Toc25808"/>
      <w:r>
        <w:rPr>
          <w:rFonts w:hint="eastAsia" w:ascii="黑体" w:hAnsi="黑体" w:eastAsia="黑体" w:cs="宋体"/>
          <w:b w:val="0"/>
          <w:bCs/>
          <w:kern w:val="2"/>
          <w:sz w:val="32"/>
          <w:szCs w:val="32"/>
          <w:lang w:val="en-US" w:eastAsia="zh-CN" w:bidi="ar-SA"/>
        </w:rPr>
        <w:t>第五十二条【办法实施时间】</w:t>
      </w:r>
      <w:bookmarkEnd w:id="274"/>
      <w:bookmarkEnd w:id="275"/>
      <w:bookmarkEnd w:id="276"/>
      <w:bookmarkEnd w:id="277"/>
      <w:bookmarkEnd w:id="278"/>
      <w:r>
        <w:rPr>
          <w:rFonts w:hint="eastAsia" w:ascii="仿宋_GB2312" w:hAnsi="宋体" w:eastAsia="仿宋_GB2312" w:cs="宋体"/>
          <w:kern w:val="0"/>
          <w:sz w:val="32"/>
          <w:szCs w:val="36"/>
          <w:lang w:val="en-US" w:eastAsia="zh-CN" w:bidi="ar-SA"/>
        </w:rPr>
        <w:t>本办法自  年  月  日起施行。</w:t>
      </w:r>
    </w:p>
    <w:p>
      <w:pPr>
        <w:keepNext w:val="0"/>
        <w:keepLines w:val="0"/>
        <w:pageBreakBefore w:val="0"/>
        <w:kinsoku/>
        <w:wordWrap/>
        <w:overflowPunct/>
        <w:topLinePunct w:val="0"/>
        <w:autoSpaceDN/>
        <w:bidi w:val="0"/>
        <w:adjustRightInd/>
        <w:snapToGrid/>
        <w:spacing w:line="578" w:lineRule="exact"/>
        <w:ind w:firstLine="640" w:firstLineChars="200"/>
        <w:textAlignment w:val="auto"/>
        <w:outlineLvl w:val="1"/>
        <w:rPr>
          <w:rFonts w:hint="eastAsia" w:ascii="仿宋_GB2312" w:hAnsi="仿宋" w:eastAsia="仿宋_GB2312" w:cs="Times New Roman"/>
          <w:color w:val="000000"/>
          <w:sz w:val="32"/>
          <w:szCs w:val="32"/>
        </w:rPr>
      </w:pPr>
    </w:p>
    <w:p>
      <w:bookmarkStart w:id="279" w:name="_GoBack"/>
      <w:bookmarkEnd w:id="27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72AE51D-430E-4D4A-AA0A-475644ABE42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C8CD2D08-7ED9-4D33-8DA8-BF1047EA6B17}"/>
  </w:font>
  <w:font w:name="仿宋_GB2312">
    <w:panose1 w:val="02010609030101010101"/>
    <w:charset w:val="86"/>
    <w:family w:val="modern"/>
    <w:pitch w:val="default"/>
    <w:sig w:usb0="00000001" w:usb1="080E0000" w:usb2="00000000" w:usb3="00000000" w:csb0="00040000" w:csb1="00000000"/>
    <w:embedRegular r:id="rId3" w:fontKey="{D6F193CA-1420-4CCA-B69B-84EBB5254E8F}"/>
  </w:font>
  <w:font w:name="方正小标宋简体">
    <w:panose1 w:val="02000000000000000000"/>
    <w:charset w:val="86"/>
    <w:family w:val="script"/>
    <w:pitch w:val="default"/>
    <w:sig w:usb0="00000001" w:usb1="08000000" w:usb2="00000000" w:usb3="00000000" w:csb0="00040000" w:csb1="00000000"/>
    <w:embedRegular r:id="rId4" w:fontKey="{21F6CA13-6F0D-46A4-B8F9-D92031B956E8}"/>
  </w:font>
  <w:font w:name="楷体">
    <w:panose1 w:val="02010609060101010101"/>
    <w:charset w:val="86"/>
    <w:family w:val="modern"/>
    <w:pitch w:val="default"/>
    <w:sig w:usb0="800002BF" w:usb1="38CF7CFA" w:usb2="00000016" w:usb3="00000000" w:csb0="00040001" w:csb1="00000000"/>
    <w:embedRegular r:id="rId5" w:fontKey="{84735C71-C078-468D-9032-158384047880}"/>
  </w:font>
  <w:font w:name="仿宋">
    <w:panose1 w:val="02010609060101010101"/>
    <w:charset w:val="86"/>
    <w:family w:val="modern"/>
    <w:pitch w:val="default"/>
    <w:sig w:usb0="800002BF" w:usb1="38CF7CFA" w:usb2="00000016" w:usb3="00000000" w:csb0="00040001" w:csb1="00000000"/>
    <w:embedRegular r:id="rId6" w:fontKey="{CC5FF485-0048-4887-B500-59595CD6146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5MGUyN2E3NzM2MGExODZlOWY3N2U1NWY5MzA5MTcifQ=="/>
  </w:docVars>
  <w:rsids>
    <w:rsidRoot w:val="366460DB"/>
    <w:rsid w:val="36646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8396</Words>
  <Characters>8438</Characters>
  <Lines>0</Lines>
  <Paragraphs>0</Paragraphs>
  <TotalTime>0</TotalTime>
  <ScaleCrop>false</ScaleCrop>
  <LinksUpToDate>false</LinksUpToDate>
  <CharactersWithSpaces>8450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2023-04-06T02:27:00Z</dcterms:created>
  <dc:creator>阿营</dc:creator>
  <cp:lastModifiedBy>阿营</cp:lastModifiedBy>
  <dcterms:modified xsi:type="dcterms:W3CDTF">2023-04-06T02:28:10Z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74925BAFC7EB4C66BBDC6B6A237EA4A4_11</vt:lpwstr>
  </property>
</Properties>
</file>