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1043" w:hanging="1043"/>
      </w:pPr>
      <w:r>
        <w:rPr>
          <w:rFonts w:hint="eastAsia"/>
        </w:rPr>
        <w:t>附件</w:t>
      </w:r>
    </w:p>
    <w:p>
      <w:pPr>
        <w:pStyle w:val="2"/>
      </w:pPr>
      <w:r>
        <w:rPr>
          <w:rFonts w:hint="eastAsia" w:hAnsi="仿宋_GB2312"/>
        </w:rPr>
        <w:t>《</w:t>
      </w:r>
      <w:r>
        <w:rPr>
          <w:rFonts w:hint="eastAsia"/>
        </w:rPr>
        <w:t>深圳市工业和信息化局专精特新中小企业遴选办法</w:t>
      </w:r>
    </w:p>
    <w:p>
      <w:pPr>
        <w:pStyle w:val="2"/>
        <w:rPr>
          <w:rFonts w:ascii="仿宋_GB2312" w:hAnsi="仿宋_GB2312" w:eastAsia="仿宋_GB2312"/>
          <w:sz w:val="13"/>
          <w:szCs w:val="13"/>
        </w:rPr>
      </w:pPr>
      <w:r>
        <w:rPr>
          <w:rFonts w:hint="eastAsia"/>
        </w:rPr>
        <w:t>（征求意见稿）</w:t>
      </w:r>
      <w:r>
        <w:rPr>
          <w:rFonts w:hint="eastAsia" w:hAnsi="仿宋_GB2312"/>
        </w:rPr>
        <w:t>》意见采纳情况表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51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7513" w:type="dxa"/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意见和建议</w:t>
            </w:r>
          </w:p>
        </w:tc>
        <w:tc>
          <w:tcPr>
            <w:tcW w:w="5670" w:type="dxa"/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采纳情况及理由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top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因为第四条（四）内对企业近两年的营业收入增长有一定要求，因此建议在第四条（一）条中增加两年期限更加合理。即第四条（一）改为：依法在深圳市（含深汕特别合作区）登记设立两年及以上，具有独立企业法人资格的中小企业</w:t>
            </w:r>
          </w:p>
        </w:tc>
        <w:tc>
          <w:tcPr>
            <w:tcW w:w="5670" w:type="dxa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采纳，与第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四条（四）相对应。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top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遴选的企业应为“专精特新”综合发展的企业，建立评分制度更易评价，建议第五条“申报“专精特新”企业还应满足以下至少一类评价指标，建议修改为：“第五条“专精特新”企业评价指标具体包括专业化、精细化、特色化、新颖化四类，满分100分。据此指标综合评价所得分值不低于60分。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专业化评价指标（满分30分）。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A. 从事特定细分市场时间达到两年及以上（10分）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B. 主营业务收入占营业收入的75%及以上，主导产品享有一定知名度（10分）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C. 拥有行业领军人才、省市引进的高层次人才，企业本科以上学历或中级以上职称员工数占企业职工总数的40%及以上（10分）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2.精细化评价指标（满分30分）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A. 精细化生产：产品生产执行标准达到国际或国内先进水平，未有国际或国内标准除外，或产品取得质量管理体系、知识产权管理体系等国际国内通行的管理体系认证（10分）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B. 精细化管理：采用5S管理、卓越绩效、ERP、CRM、SCM等先进的管理方式（10分）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C. 精细化服务：已建立规范化的顾客满意测评机制或产品追溯体系（10分）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3.特色化评价指标（满分20分）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A. 掌握独有、可持续的工艺、技术或配方，以提供地域特色的产品或服务，且能利用特有的资源进行研发生产（10分）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B. 有效期内的“中华老字号”、驰名商标、省级以上名牌产品（10分）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4.新颖化评价指标（满分20）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A. 获得2项及以上与主要产品相关的发明专利或集成电路布图设计专有权（5分）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B. 获得10项及以上与主要产品相关的使用新型专利（5分）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C. 主持（参与）制（修）订相关业务领域国际标准、国家标准、行业标准、团体标准（5分）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D. 设立博士后工作站，市级（含）以上企业技术中心、技术研究院、企业工程中心等（5分）</w:t>
            </w:r>
          </w:p>
        </w:tc>
        <w:tc>
          <w:tcPr>
            <w:tcW w:w="5670" w:type="dxa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采纳。理由：一、国家、省及各地相关的政策中，鼓励中小企业向“专业化、精细化、特色化、新颖化”四个发展，考虑到各个行业不同，不要求“专精特新”综合发展。二、评价指标将另行制定，不在此遴选办法中做出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建议增加相关评价指标的说明。</w:t>
            </w:r>
          </w:p>
        </w:tc>
        <w:tc>
          <w:tcPr>
            <w:tcW w:w="5670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不采纳，评价指标将另行制定并进行说明，不在此遴选办法中做出规定。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top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四条（五）要求“企业近两年的研发投入占销售收入的比重达到3%以上”。该标准是国家高新技术企业认定标准研发投入的最低水平（最近一年销售收入在2亿元以上的企业，比例不低于3%），而深圳市国家高新技术企业有1.7万家，门槛偏低，建议适当提高门槛，如将研发投入标准提高至4%。</w:t>
            </w:r>
          </w:p>
        </w:tc>
        <w:tc>
          <w:tcPr>
            <w:tcW w:w="5670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采纳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, 第四条中所列条件为基本条件，基本条件不宜过高，全国各地类似政策及省级遴选办法中，相关要求都是3%，拟与省级遴选办法中保持一致。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7513" w:type="dxa"/>
            <w:vAlign w:val="top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第五条（一）要求“主营业务收入占营业收入的75%以上”，专精特新企业中制造业企业可能占相当高比例，制造业企业主营业务收入75%的标准偏高，建议调整为70%。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采纳。国家专精特新“小巨人”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也要求是主营业务收入占本企业营业收入的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top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第五条（一）要求“主导产品享有一定的知名度，且细分市场占有率在全国或省市前列”，关于“前列”的标准不够明确，为增强操作性，建议制定明确标准。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不采纳。对于不同细分行业，前列含义也不同，在另行制定评价指标时将进行明确。</w:t>
            </w:r>
          </w:p>
        </w:tc>
      </w:tr>
    </w:tbl>
    <w:p/>
    <w:sectPr>
      <w:pgSz w:w="16838" w:h="11906" w:orient="landscape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UyN2E3NzM2MGExODZlOWY3N2U1NWY5MzA5MTcifQ=="/>
  </w:docVars>
  <w:rsids>
    <w:rsidRoot w:val="4F940E9D"/>
    <w:rsid w:val="357B16FA"/>
    <w:rsid w:val="4F94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8">
    <w:name w:val="附件"/>
    <w:basedOn w:val="1"/>
    <w:qFormat/>
    <w:uiPriority w:val="3"/>
    <w:pPr>
      <w:spacing w:line="540" w:lineRule="exact"/>
      <w:ind w:left="1014" w:hanging="1014" w:hangingChars="326"/>
    </w:pPr>
    <w:rPr>
      <w:rFonts w:ascii="黑体" w:hAnsi="黑体" w:eastAsia="黑体"/>
      <w:sz w:val="32"/>
      <w:szCs w:val="32"/>
    </w:rPr>
  </w:style>
  <w:style w:type="paragraph" w:customStyle="1" w:styleId="9">
    <w:name w:val="文件正文"/>
    <w:basedOn w:val="5"/>
    <w:qFormat/>
    <w:uiPriority w:val="2"/>
    <w:pPr>
      <w:spacing w:before="0" w:after="0" w:line="560" w:lineRule="exact"/>
      <w:ind w:firstLine="622" w:firstLineChars="200"/>
      <w:jc w:val="both"/>
      <w:outlineLvl w:val="9"/>
    </w:pPr>
    <w:rPr>
      <w:rFonts w:ascii="仿宋_GB2312" w:hAnsi="仿宋_GB2312" w:eastAsia="仿宋_GB2312" w:cs="仿宋_GB2312"/>
      <w:b w:val="0"/>
      <w:bCs w:val="0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1402</Words>
  <Characters>1459</Characters>
  <Lines>0</Lines>
  <Paragraphs>0</Paragraphs>
  <TotalTime>1</TotalTime>
  <ScaleCrop>false</ScaleCrop>
  <LinksUpToDate>false</LinksUpToDate>
  <CharactersWithSpaces>1473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2020-04-23T03:15:00Z</dcterms:created>
  <dc:creator>好饭友</dc:creator>
  <cp:lastModifiedBy>阿营</cp:lastModifiedBy>
  <dcterms:modified xsi:type="dcterms:W3CDTF">2023-04-14T06:18:34Z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74A7D34826424B83B1431F972B82B72D_12</vt:lpwstr>
  </property>
</Properties>
</file>