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t>深圳市医疗保障局</w:t>
      </w:r>
      <w:r>
        <w:rPr>
          <w:rFonts w:hint="default" w:ascii="方正小标宋_GBK" w:hAnsi="方正小标宋_GBK" w:eastAsia="方正小标宋_GBK" w:cs="方正小标宋_GBK"/>
          <w:b w:val="0"/>
          <w:bCs w:val="0"/>
          <w:color w:val="000000" w:themeColor="text1"/>
          <w:sz w:val="44"/>
          <w:szCs w:val="44"/>
          <w:u w:val="none"/>
          <w:lang w:val="en-US" w:eastAsia="zh-CN"/>
          <w14:textFill>
            <w14:solidFill>
              <w14:schemeClr w14:val="tx1"/>
            </w14:solidFill>
          </w14:textFill>
        </w:rPr>
        <w:t>关于定点零售药店纳入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color w:val="000000" w:themeColor="text1"/>
          <w:sz w:val="44"/>
          <w:szCs w:val="44"/>
          <w:u w:val="none"/>
          <w:lang w:val="en-US" w:eastAsia="zh-CN"/>
          <w14:textFill>
            <w14:solidFill>
              <w14:schemeClr w14:val="tx1"/>
            </w14:solidFill>
          </w14:textFill>
        </w:rPr>
      </w:pPr>
      <w:r>
        <w:rPr>
          <w:rFonts w:hint="default" w:ascii="方正小标宋_GBK" w:hAnsi="方正小标宋_GBK" w:eastAsia="方正小标宋_GBK" w:cs="方正小标宋_GBK"/>
          <w:b w:val="0"/>
          <w:bCs w:val="0"/>
          <w:color w:val="000000" w:themeColor="text1"/>
          <w:sz w:val="44"/>
          <w:szCs w:val="44"/>
          <w:u w:val="none"/>
          <w:lang w:val="en-US" w:eastAsia="zh-CN"/>
          <w14:textFill>
            <w14:solidFill>
              <w14:schemeClr w14:val="tx1"/>
            </w14:solidFill>
          </w14:textFill>
        </w:rPr>
        <w:t>门诊统筹管理的通知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根据</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广东省医疗保障局</w:t>
      </w:r>
      <w:r>
        <w:rPr>
          <w:rFonts w:hint="default" w:ascii="仿宋_GB2312" w:hAnsi="仿宋_GB2312" w:eastAsia="仿宋_GB2312" w:cs="仿宋_GB2312"/>
          <w:kern w:val="2"/>
          <w:sz w:val="32"/>
          <w:szCs w:val="32"/>
          <w:lang w:val="en-US" w:eastAsia="zh-CN" w:bidi="ar-SA"/>
        </w:rPr>
        <w:t>关于进一步做好定点零售药店纳入门诊统筹管理的通知》</w:t>
      </w:r>
      <w:r>
        <w:rPr>
          <w:rFonts w:hint="eastAsia" w:ascii="仿宋_GB2312" w:hAnsi="仿宋_GB2312" w:eastAsia="仿宋_GB2312" w:cs="仿宋_GB2312"/>
          <w:kern w:val="2"/>
          <w:sz w:val="32"/>
          <w:szCs w:val="32"/>
          <w:lang w:val="en-US" w:eastAsia="zh-CN" w:bidi="ar-SA"/>
        </w:rPr>
        <w:t>（粤医保函</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89号</w:t>
      </w:r>
      <w:r>
        <w:rPr>
          <w:rFonts w:hint="eastAsia" w:ascii="仿宋_GB2312" w:hAnsi="仿宋_GB2312" w:eastAsia="仿宋_GB2312" w:cs="仿宋_GB2312"/>
          <w:kern w:val="2"/>
          <w:sz w:val="32"/>
          <w:szCs w:val="32"/>
          <w:lang w:val="en-US" w:eastAsia="zh-CN" w:bidi="ar-SA"/>
        </w:rPr>
        <w:t>）有关规定，为做好定点管理工作，现将有关事项通知如下</w:t>
      </w:r>
      <w:r>
        <w:rPr>
          <w:rFonts w:hint="default"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一、本市定点零售药店申请纳入普通门诊统筹管理，应当同时符合以下条件：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（一）按照国家和广东省有关要求以及医保信息技术规范，实现与医疗保障信息平台电子处方中心（以下简称医保电子处方中心）有效对接的；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（二）实现与国家医保平台智能监管子系统的进销存功能模块有效对接的</w:t>
      </w:r>
      <w:r>
        <w:rPr>
          <w:rFonts w:hint="default" w:ascii="仿宋_GB2312" w:hAnsi="仿宋_GB2312" w:eastAsia="仿宋_GB2312" w:cs="仿宋_GB2312"/>
          <w:kern w:val="2"/>
          <w:sz w:val="32"/>
          <w:szCs w:val="3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（三）配备支持医保人脸核验身份的</w:t>
      </w:r>
      <w:r>
        <w:rPr>
          <w:rFonts w:hint="eastAsia" w:ascii="仿宋_GB2312" w:hAnsi="仿宋_GB2312" w:eastAsia="仿宋_GB2312" w:cs="仿宋_GB2312"/>
          <w:kern w:val="2"/>
          <w:sz w:val="32"/>
          <w:szCs w:val="32"/>
          <w:lang w:val="en-US" w:eastAsia="zh-CN" w:bidi="ar-SA"/>
        </w:rPr>
        <w:t>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（四）保证营业时间内至少1名执业药师在岗审方。</w:t>
      </w:r>
    </w:p>
    <w:p>
      <w:pPr>
        <w:pStyle w:val="2"/>
        <w:pBdr>
          <w:top w:val="none" w:color="auto" w:sz="0" w:space="0"/>
          <w:left w:val="none" w:color="auto" w:sz="0" w:space="0"/>
          <w:bottom w:val="none" w:color="auto" w:sz="0" w:space="0"/>
          <w:right w:val="none" w:color="auto" w:sz="0" w:space="0"/>
        </w:pBdr>
        <w:wordWrap w:val="0"/>
        <w:spacing w:beforeAutospacing="0" w:afterAutospacing="0" w:line="560" w:lineRule="exact"/>
        <w:ind w:firstLine="640" w:firstLineChars="200"/>
        <w:jc w:val="left"/>
        <w:rPr>
          <w:rFonts w:hint="default" w:ascii="仿宋_GB2312" w:hAnsi="仿宋_GB2312" w:eastAsia="仿宋_GB2312" w:cs="仿宋_GB2312"/>
          <w:kern w:val="2"/>
          <w:sz w:val="32"/>
          <w:szCs w:val="32"/>
          <w:lang w:bidi="ar-SA"/>
        </w:rPr>
      </w:pPr>
      <w:r>
        <w:rPr>
          <w:rFonts w:hint="eastAsia" w:ascii="仿宋_GB2312" w:hAnsi="仿宋_GB2312" w:eastAsia="仿宋_GB2312" w:cs="仿宋_GB2312"/>
          <w:i w:val="0"/>
          <w:iCs w:val="0"/>
          <w:caps w:val="0"/>
          <w:spacing w:val="0"/>
          <w:kern w:val="2"/>
          <w:sz w:val="32"/>
          <w:szCs w:val="32"/>
          <w:shd w:val="clear"/>
          <w:lang w:val="en-US" w:eastAsia="zh-CN" w:bidi="ar-SA"/>
        </w:rPr>
        <w:t>符合以上条件的本市定点零售药店，可向市医疗保障经办机构提交申请，经双方协商谈判，达成一致的，双方自愿签订医保补充协议，并按规定提供普通门诊统筹结算服务。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lang w:val="en-US" w:eastAsia="zh-CN" w:bidi="ar-SA"/>
        </w:rPr>
        <w:t>二、参保人凭选定的普通门诊统筹就医定点医疗机构（含互联网医院）通</w:t>
      </w:r>
      <w:r>
        <w:rPr>
          <w:rFonts w:hint="eastAsia" w:ascii="仿宋_GB2312" w:hAnsi="仿宋_GB2312" w:eastAsia="仿宋_GB2312" w:cs="仿宋_GB2312"/>
          <w:kern w:val="2"/>
          <w:sz w:val="32"/>
          <w:szCs w:val="32"/>
          <w:u w:val="none"/>
          <w:lang w:val="en-US" w:eastAsia="zh-CN" w:bidi="ar-SA"/>
        </w:rPr>
        <w:t>过医保电子处方中心流转的外配处方，在门诊统筹定点药店购买基本医疗保险</w:t>
      </w:r>
      <w:r>
        <w:rPr>
          <w:rFonts w:hint="default" w:ascii="仿宋_GB2312" w:hAnsi="仿宋_GB2312" w:eastAsia="仿宋_GB2312" w:cs="仿宋_GB2312"/>
          <w:kern w:val="2"/>
          <w:sz w:val="32"/>
          <w:szCs w:val="32"/>
          <w:u w:val="none"/>
          <w:lang w:val="en-US" w:eastAsia="zh-CN" w:bidi="ar-SA"/>
        </w:rPr>
        <w:t>目录内药品</w:t>
      </w:r>
      <w:r>
        <w:rPr>
          <w:rFonts w:hint="eastAsia" w:ascii="仿宋_GB2312" w:hAnsi="仿宋_GB2312" w:eastAsia="仿宋_GB2312" w:cs="仿宋_GB2312"/>
          <w:kern w:val="2"/>
          <w:sz w:val="32"/>
          <w:szCs w:val="32"/>
          <w:u w:val="none"/>
          <w:lang w:val="en-US" w:eastAsia="zh-CN" w:bidi="ar-SA"/>
        </w:rPr>
        <w:t>发生的基本医疗费用</w:t>
      </w:r>
      <w:r>
        <w:rPr>
          <w:rFonts w:hint="default" w:ascii="仿宋_GB2312" w:hAnsi="仿宋_GB2312" w:eastAsia="仿宋_GB2312" w:cs="仿宋_GB2312"/>
          <w:kern w:val="2"/>
          <w:sz w:val="32"/>
          <w:szCs w:val="32"/>
          <w:u w:val="none"/>
          <w:lang w:val="en-US" w:eastAsia="zh-CN" w:bidi="ar-SA"/>
        </w:rPr>
        <w:t>，</w:t>
      </w:r>
      <w:r>
        <w:rPr>
          <w:rFonts w:hint="eastAsia" w:ascii="仿宋_GB2312" w:hAnsi="仿宋_GB2312" w:eastAsia="仿宋_GB2312" w:cs="仿宋_GB2312"/>
          <w:kern w:val="2"/>
          <w:sz w:val="32"/>
          <w:szCs w:val="32"/>
          <w:u w:val="none"/>
          <w:lang w:val="en-US" w:eastAsia="zh-CN" w:bidi="ar-SA"/>
        </w:rPr>
        <w:t xml:space="preserve">统筹基金按开具外配处方的定点医疗机构的普通门诊支付比例支付，纳入参保人员普通门诊年度支付限额计算。 </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u w:val="none"/>
          <w:lang w:val="en-US" w:eastAsia="zh-CN" w:bidi="ar-SA"/>
        </w:rPr>
        <w:t>外配处方未通过医保电子处方中心流</w:t>
      </w:r>
      <w:r>
        <w:rPr>
          <w:rFonts w:hint="eastAsia" w:ascii="仿宋_GB2312" w:hAnsi="仿宋_GB2312" w:eastAsia="仿宋_GB2312" w:cs="仿宋_GB2312"/>
          <w:kern w:val="2"/>
          <w:sz w:val="32"/>
          <w:szCs w:val="32"/>
          <w:lang w:val="en-US" w:eastAsia="zh-CN" w:bidi="ar-SA"/>
        </w:rPr>
        <w:t>转的，参保人不享受普通门诊统筹待遇。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lang w:val="en-US" w:eastAsia="zh-CN" w:bidi="ar-SA"/>
        </w:rPr>
        <w:t>三、定点医疗机构</w:t>
      </w:r>
      <w:r>
        <w:rPr>
          <w:rFonts w:hint="eastAsia" w:ascii="仿宋_GB2312" w:hAnsi="仿宋_GB2312" w:eastAsia="仿宋_GB2312" w:cs="仿宋_GB2312"/>
          <w:kern w:val="2"/>
          <w:sz w:val="32"/>
          <w:szCs w:val="32"/>
          <w:lang w:val="en-US" w:eastAsia="zh-CN" w:bidi="ar-SA"/>
        </w:rPr>
        <w:t>普通门诊统筹</w:t>
      </w:r>
      <w:r>
        <w:rPr>
          <w:rFonts w:hint="default" w:ascii="仿宋_GB2312" w:hAnsi="仿宋_GB2312" w:eastAsia="仿宋_GB2312" w:cs="仿宋_GB2312"/>
          <w:kern w:val="2"/>
          <w:sz w:val="32"/>
          <w:szCs w:val="32"/>
          <w:lang w:val="en-US" w:eastAsia="zh-CN" w:bidi="ar-SA"/>
        </w:rPr>
        <w:t>外配处方发生的</w:t>
      </w:r>
      <w:r>
        <w:rPr>
          <w:rFonts w:hint="eastAsia" w:ascii="仿宋_GB2312" w:hAnsi="仿宋_GB2312" w:eastAsia="仿宋_GB2312" w:cs="仿宋_GB2312"/>
          <w:kern w:val="2"/>
          <w:sz w:val="32"/>
          <w:szCs w:val="32"/>
          <w:lang w:val="en-US" w:eastAsia="zh-CN" w:bidi="ar-SA"/>
        </w:rPr>
        <w:t>基本医疗保险目录内药品</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国家和广东省、本市已制定医保支付标准的，</w:t>
      </w:r>
      <w:r>
        <w:rPr>
          <w:rFonts w:hint="default" w:ascii="仿宋_GB2312" w:hAnsi="仿宋_GB2312" w:eastAsia="仿宋_GB2312" w:cs="仿宋_GB2312"/>
          <w:kern w:val="2"/>
          <w:sz w:val="32"/>
          <w:szCs w:val="32"/>
          <w:lang w:val="en-US" w:eastAsia="zh-CN" w:bidi="ar-SA"/>
        </w:rPr>
        <w:t>在定点医疗机构和</w:t>
      </w:r>
      <w:r>
        <w:rPr>
          <w:rFonts w:hint="eastAsia" w:ascii="仿宋_GB2312" w:hAnsi="仿宋_GB2312" w:eastAsia="仿宋_GB2312" w:cs="仿宋_GB2312"/>
          <w:kern w:val="2"/>
          <w:sz w:val="32"/>
          <w:szCs w:val="32"/>
          <w:lang w:val="en-US" w:eastAsia="zh-CN" w:bidi="ar-SA"/>
        </w:rPr>
        <w:t>开通普通门诊统筹结算服务的定点零售药店（以下简称门诊统筹定点药店）</w:t>
      </w:r>
      <w:r>
        <w:rPr>
          <w:rFonts w:hint="default" w:ascii="仿宋_GB2312" w:hAnsi="仿宋_GB2312" w:eastAsia="仿宋_GB2312" w:cs="仿宋_GB2312"/>
          <w:kern w:val="2"/>
          <w:sz w:val="32"/>
          <w:szCs w:val="32"/>
          <w:lang w:val="en-US" w:eastAsia="zh-CN" w:bidi="ar-SA"/>
        </w:rPr>
        <w:t>执</w:t>
      </w:r>
      <w:r>
        <w:rPr>
          <w:rFonts w:hint="default" w:ascii="仿宋_GB2312" w:hAnsi="仿宋_GB2312" w:eastAsia="仿宋_GB2312" w:cs="仿宋_GB2312"/>
          <w:kern w:val="2"/>
          <w:sz w:val="32"/>
          <w:szCs w:val="32"/>
          <w:highlight w:val="none"/>
          <w:lang w:val="en-US" w:eastAsia="zh-CN" w:bidi="ar-SA"/>
        </w:rPr>
        <w:t>行统一的支付标准</w:t>
      </w:r>
      <w:r>
        <w:rPr>
          <w:rFonts w:hint="eastAsia" w:ascii="仿宋_GB2312" w:hAnsi="仿宋_GB2312" w:eastAsia="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实际销售价格低于医保支付标准的，以实际销售价格作为该药品的医保支付标准。门诊统筹定点零售药店根据参保人员需要可提供配送服务，配送费用不纳入医保支付范围。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参保人员在门诊统筹定点药店购药直接结算时，只需支付应由个人负担的费用，应由统筹基金支付的费用由市医疗保障经办机构与门诊统筹定点药店直接结算，直接结算的费用纳入处方开具的门诊统筹定点医疗机构付费额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门诊统筹定点药店应当遵循公平合法、诚实信用和质价相符的原则，为参保人员提供价格适宜的药品。市医疗保障经办机构可与门诊统筹定点药店通过医疗保障服务协议，协商约定医保结算药品的价格加成限制。</w:t>
      </w:r>
      <w:r>
        <w:rPr>
          <w:rFonts w:hint="default" w:ascii="仿宋_GB2312" w:hAnsi="仿宋_GB2312" w:eastAsia="仿宋_GB2312" w:cs="仿宋_GB2312"/>
          <w:kern w:val="2"/>
          <w:sz w:val="32"/>
          <w:szCs w:val="32"/>
          <w:lang w:val="en-US" w:eastAsia="zh-CN" w:bidi="ar-SA"/>
        </w:rPr>
        <w:t>加强药品价格协同，</w:t>
      </w:r>
      <w:r>
        <w:rPr>
          <w:rFonts w:hint="eastAsia" w:ascii="仿宋_GB2312" w:hAnsi="仿宋_GB2312" w:eastAsia="仿宋_GB2312" w:cs="仿宋_GB2312"/>
          <w:kern w:val="2"/>
          <w:sz w:val="32"/>
          <w:szCs w:val="32"/>
          <w:lang w:val="en-US" w:eastAsia="zh-CN" w:bidi="ar-SA"/>
        </w:rPr>
        <w:t>深圳药品交易平台</w:t>
      </w:r>
      <w:r>
        <w:rPr>
          <w:rFonts w:hint="default" w:ascii="仿宋_GB2312" w:hAnsi="仿宋_GB2312" w:eastAsia="仿宋_GB2312" w:cs="仿宋_GB2312"/>
          <w:kern w:val="2"/>
          <w:sz w:val="32"/>
          <w:szCs w:val="32"/>
          <w:lang w:val="en-US" w:eastAsia="zh-CN" w:bidi="ar-SA"/>
        </w:rPr>
        <w:t>向社会公开挂网交易价格（含集采品种）。</w:t>
      </w:r>
      <w:r>
        <w:rPr>
          <w:rFonts w:hint="eastAsia" w:ascii="仿宋_GB2312" w:hAnsi="仿宋_GB2312" w:eastAsia="仿宋_GB2312" w:cs="仿宋_GB2312"/>
          <w:kern w:val="2"/>
          <w:sz w:val="32"/>
          <w:szCs w:val="32"/>
          <w:lang w:val="en-US" w:eastAsia="zh-CN" w:bidi="ar-SA"/>
        </w:rPr>
        <w:t>我市医疗保障部门</w:t>
      </w:r>
      <w:r>
        <w:rPr>
          <w:rFonts w:hint="default" w:ascii="仿宋_GB2312" w:hAnsi="仿宋_GB2312" w:eastAsia="仿宋_GB2312" w:cs="仿宋_GB2312"/>
          <w:kern w:val="2"/>
          <w:sz w:val="32"/>
          <w:szCs w:val="32"/>
          <w:lang w:val="en-US" w:eastAsia="zh-CN" w:bidi="ar-SA"/>
        </w:rPr>
        <w:t>通过官网、公众号、微信小程序等多种渠道，逐步将</w:t>
      </w:r>
      <w:r>
        <w:rPr>
          <w:rFonts w:hint="eastAsia" w:ascii="仿宋_GB2312" w:hAnsi="仿宋_GB2312" w:eastAsia="仿宋_GB2312" w:cs="仿宋_GB2312"/>
          <w:kern w:val="2"/>
          <w:sz w:val="32"/>
          <w:szCs w:val="32"/>
          <w:lang w:val="en-US" w:eastAsia="zh-CN" w:bidi="ar-SA"/>
        </w:rPr>
        <w:t>门诊统筹定点药店</w:t>
      </w:r>
      <w:r>
        <w:rPr>
          <w:rFonts w:hint="default" w:ascii="仿宋_GB2312" w:hAnsi="仿宋_GB2312" w:eastAsia="仿宋_GB2312" w:cs="仿宋_GB2312"/>
          <w:kern w:val="2"/>
          <w:sz w:val="32"/>
          <w:szCs w:val="32"/>
          <w:lang w:val="en-US" w:eastAsia="zh-CN" w:bidi="ar-SA"/>
        </w:rPr>
        <w:t>销售的处方流转药品价格等信息</w:t>
      </w:r>
      <w:r>
        <w:rPr>
          <w:rFonts w:hint="eastAsia" w:ascii="仿宋_GB2312" w:hAnsi="仿宋_GB2312" w:eastAsia="仿宋_GB2312" w:cs="仿宋_GB2312"/>
          <w:kern w:val="2"/>
          <w:sz w:val="32"/>
          <w:szCs w:val="32"/>
          <w:lang w:val="en-US" w:eastAsia="zh-CN" w:bidi="ar-SA"/>
        </w:rPr>
        <w:t>按规定</w:t>
      </w:r>
      <w:r>
        <w:rPr>
          <w:rFonts w:hint="default" w:ascii="仿宋_GB2312" w:hAnsi="仿宋_GB2312" w:eastAsia="仿宋_GB2312" w:cs="仿宋_GB2312"/>
          <w:kern w:val="2"/>
          <w:sz w:val="32"/>
          <w:szCs w:val="32"/>
          <w:lang w:val="en-US" w:eastAsia="zh-CN" w:bidi="ar-SA"/>
        </w:rPr>
        <w:t>予以公开，引导参保人就医购药。</w:t>
      </w:r>
    </w:p>
    <w:p>
      <w:pPr>
        <w:pStyle w:val="2"/>
        <w:pBdr>
          <w:top w:val="none" w:color="auto" w:sz="0" w:space="0"/>
          <w:left w:val="none" w:color="auto" w:sz="0" w:space="0"/>
          <w:bottom w:val="none" w:color="auto" w:sz="0" w:space="0"/>
          <w:right w:val="none" w:color="auto" w:sz="0" w:space="0"/>
        </w:pBdr>
        <w:wordWrap w:val="0"/>
        <w:spacing w:beforeAutospacing="0" w:afterAutospacing="0" w:line="560" w:lineRule="exact"/>
        <w:ind w:firstLine="640"/>
        <w:jc w:val="left"/>
        <w:rPr>
          <w:rFonts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val="en-US" w:eastAsia="zh-CN" w:bidi="ar-SA"/>
        </w:rPr>
        <w:t>六、</w:t>
      </w:r>
      <w:r>
        <w:rPr>
          <w:rFonts w:hint="default" w:ascii="仿宋_GB2312" w:hAnsi="仿宋_GB2312" w:eastAsia="仿宋_GB2312" w:cs="仿宋_GB2312"/>
          <w:i w:val="0"/>
          <w:iCs w:val="0"/>
          <w:caps w:val="0"/>
          <w:spacing w:val="0"/>
          <w:kern w:val="2"/>
          <w:sz w:val="32"/>
          <w:szCs w:val="32"/>
          <w:lang w:val="en-US" w:eastAsia="zh-CN" w:bidi="ar-SA"/>
        </w:rPr>
        <w:t>本通知自2023年  月   日起施行，有效期</w:t>
      </w:r>
      <w:r>
        <w:rPr>
          <w:rFonts w:hint="eastAsia" w:ascii="仿宋_GB2312" w:hAnsi="仿宋_GB2312" w:eastAsia="仿宋_GB2312" w:cs="仿宋_GB2312"/>
          <w:i w:val="0"/>
          <w:iCs w:val="0"/>
          <w:caps w:val="0"/>
          <w:spacing w:val="0"/>
          <w:kern w:val="2"/>
          <w:sz w:val="32"/>
          <w:szCs w:val="32"/>
          <w:lang w:val="en-US" w:eastAsia="zh-CN" w:bidi="ar-SA"/>
        </w:rPr>
        <w:t>5</w:t>
      </w:r>
      <w:r>
        <w:rPr>
          <w:rFonts w:hint="default" w:ascii="仿宋_GB2312" w:hAnsi="仿宋_GB2312" w:eastAsia="仿宋_GB2312" w:cs="仿宋_GB2312"/>
          <w:i w:val="0"/>
          <w:iCs w:val="0"/>
          <w:caps w:val="0"/>
          <w:spacing w:val="0"/>
          <w:kern w:val="2"/>
          <w:sz w:val="32"/>
          <w:szCs w:val="32"/>
          <w:lang w:val="en-US" w:eastAsia="zh-CN" w:bidi="ar-SA"/>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xml:space="preserve">                           深圳市</w:t>
      </w:r>
      <w:r>
        <w:rPr>
          <w:rFonts w:hint="default" w:ascii="仿宋_GB2312" w:hAnsi="仿宋_GB2312" w:eastAsia="仿宋_GB2312" w:cs="仿宋_GB2312"/>
          <w:kern w:val="2"/>
          <w:sz w:val="32"/>
          <w:szCs w:val="32"/>
          <w:lang w:val="en-US" w:eastAsia="zh-CN" w:bidi="ar-SA"/>
        </w:rPr>
        <w:t>医疗保障局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　2023年</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仿宋_GB2312" w:eastAsia="仿宋_GB2312" w:cs="仿宋_GB2312"/>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99B92B0-58C2-415E-97A4-66BACFD2C7C3}"/>
  </w:font>
  <w:font w:name="方正小标宋_GBK">
    <w:panose1 w:val="02000000000000000000"/>
    <w:charset w:val="86"/>
    <w:family w:val="auto"/>
    <w:pitch w:val="default"/>
    <w:sig w:usb0="A00002BF" w:usb1="38CF7CFA" w:usb2="00082016" w:usb3="00000000" w:csb0="00040001" w:csb1="00000000"/>
    <w:embedRegular r:id="rId2" w:fontKey="{D05D3800-B1EF-4A4F-A32E-62E0E1F70BC1}"/>
  </w:font>
  <w:font w:name="楷体_GB2312">
    <w:altName w:val="楷体"/>
    <w:panose1 w:val="02010609030101010101"/>
    <w:charset w:val="86"/>
    <w:family w:val="auto"/>
    <w:pitch w:val="default"/>
    <w:sig w:usb0="00000000" w:usb1="00000000" w:usb2="00000000" w:usb3="00000000" w:csb0="00040000" w:csb1="00000000"/>
    <w:embedRegular r:id="rId3" w:fontKey="{D2A4B6FF-C041-4186-8319-32A3FB968C64}"/>
  </w:font>
  <w:font w:name="仿宋_GB2312">
    <w:panose1 w:val="02010609030101010101"/>
    <w:charset w:val="86"/>
    <w:family w:val="auto"/>
    <w:pitch w:val="default"/>
    <w:sig w:usb0="00000001" w:usb1="080E0000" w:usb2="00000000" w:usb3="00000000" w:csb0="00040000" w:csb1="00000000"/>
    <w:embedRegular r:id="rId4" w:fontKey="{4723D0AC-DD78-49C8-9327-8ECB5FA7B91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426D3C8D"/>
    <w:rsid w:val="426D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2023-06-25T07:24:00Z</dcterms:created>
  <dc:creator>阿营</dc:creator>
  <cp:lastModifiedBy>阿营</cp:lastModifiedBy>
  <dcterms:modified xsi:type="dcterms:W3CDTF">2023-06-25T07:25:51Z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0543A58AC1D64909BCB301C74B94527F_11</vt:lpwstr>
  </property>
</Properties>
</file>