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0" w:line="560" w:lineRule="exact"/>
        <w:jc w:val="both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afterLines="0" w:line="560" w:lineRule="exact"/>
        <w:jc w:val="both"/>
        <w:rPr>
          <w:rFonts w:hint="eastAsia" w:ascii="方正黑体_GBK" w:hAnsi="方正黑体_GBK" w:eastAsia="方正黑体_GBK" w:cs="方正黑体_GBK"/>
          <w:spacing w:val="0"/>
          <w:kern w:val="0"/>
          <w:sz w:val="32"/>
          <w:szCs w:val="32"/>
        </w:rPr>
      </w:pPr>
    </w:p>
    <w:p>
      <w:pPr>
        <w:adjustRightInd w:val="0"/>
        <w:snapToGrid w:val="0"/>
        <w:spacing w:afterLines="0" w:line="72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深圳市节地生态安葬奖励办法（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）</w:t>
      </w:r>
    </w:p>
    <w:p>
      <w:pPr>
        <w:adjustRightInd w:val="0"/>
        <w:snapToGrid w:val="0"/>
        <w:spacing w:afterLines="0" w:line="720" w:lineRule="exact"/>
        <w:jc w:val="center"/>
        <w:rPr>
          <w:rFonts w:ascii="方正小标宋简体" w:hAnsi="方正小标宋简体" w:eastAsia="方正小标宋简体" w:cs="方正小标宋简体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起草说明</w:t>
      </w:r>
    </w:p>
    <w:p>
      <w:pPr>
        <w:adjustRightInd w:val="0"/>
        <w:snapToGrid w:val="0"/>
        <w:spacing w:afterLines="0" w:line="560" w:lineRule="exact"/>
        <w:rPr>
          <w:kern w:val="0"/>
        </w:rPr>
      </w:pPr>
    </w:p>
    <w:p>
      <w:pPr>
        <w:adjustRightInd w:val="0"/>
        <w:snapToGrid w:val="0"/>
        <w:spacing w:afterLines="0" w:line="560" w:lineRule="exact"/>
        <w:ind w:firstLine="68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为贯彻落实《关于推行节地生态安葬的指导意见》（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民发〔2016〕21号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）文件精神，2018年10月1日，我市印发了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深圳市节地生态安葬奖励办法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深民规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有效期5年，现行政策即将到期。为进一步加大节地生态安葬推广力度，调动市民群众参与节地生态安葬的积极性，结合我市实际，市民政局会同有关单位对我市节地生态安葬奖励政策进行修订，并形成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《深圳市节地生态安葬奖励办法（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征求意见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稿）》（以下简称《办法》）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现就有关情况说明如下：</w:t>
      </w:r>
    </w:p>
    <w:p>
      <w:pPr>
        <w:adjustRightInd w:val="0"/>
        <w:snapToGrid w:val="0"/>
        <w:spacing w:afterLines="0" w:line="560" w:lineRule="exact"/>
        <w:ind w:firstLine="68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一、修订背景</w:t>
      </w:r>
    </w:p>
    <w:p>
      <w:pPr>
        <w:adjustRightInd w:val="0"/>
        <w:snapToGrid w:val="0"/>
        <w:spacing w:afterLines="0" w:line="560" w:lineRule="exact"/>
        <w:ind w:firstLine="680" w:firstLineChars="200"/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近年来，全市民政部门深入贯彻落实习近平生态文明思想，践行新发展理念，会同市、区相关单位充分利用清明、中秋、重阳等市民群众关注殡葬工作的有利时机，以落实节地生态葬奖励政策为抓手，大力宣传推广和组织开展节地生态葬活动，带动越来越多的市民群众理解、支持和参与节地生态葬。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从总体来看，尽管政策实施后我市节地生态安葬取得长足发展，群众的认可度有了明显提升，但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考虑到我市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作为全国面积最小、人口密度最大的超大型城市，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土地资源严重稀缺，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我市殡葬用地供需形势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日益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严峻。因此，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有必要继续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不占或少占地的节地生态安葬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实施奖励政策，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进一步健全完善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现有制度设计，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从而发挥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我市滨海城市的区位优势和移民城市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易于接受新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风尚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文化优势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引导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更多的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市民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接受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、支持和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参与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节地生态安葬，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最大程度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缓解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殡葬用地压力。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8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参考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8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（一）民政部、发展改革委、科技部、财政部、国土资源部、环境保护部、住房城乡建设部、农业部、国家林业局《关于推行节地生态安葬的指导意见》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民发〔2016〕21号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广东省民政厅、广东省发展和改革委员会、广东省科学技术厅、广东省财政厅、广东省国土资源厅、广东省环境保护厅、广东省住房和城乡建设厅、广东省农业厅、广东省林业厅《转发民政部等9部门关于推行节地生态安葬的指导意见的通知》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粤民发〔2016〕50号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80" w:firstLineChars="200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、主要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修订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8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</w:rPr>
        <w:t>《办法》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  <w:lang w:val="en-US" w:eastAsia="zh-CN"/>
        </w:rPr>
        <w:t>涉及节地生态安葬工作方面的有关条款内容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共10条，包括制定依据、奖励范围、组织实施、适用对象、奖励标准、申请材料、奖励金发放、经费保障、监督管理、实施时间等内容，主要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修订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内容如下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8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一是适度扩大奖励适用对象范围。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原《办法》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的奖励适用对象仅限深圳户籍逝者，《办法》拟将奖励适用对象范围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扩大到在我市死亡且在我市实施遗体火化的非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户籍逝者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8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二是规范经办人的范围。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《办法》将经办人中的亲属调整为近亲属，以与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2021年新实施《民法典》保持一致。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83" w:firstLineChars="200"/>
        <w:textAlignment w:val="auto"/>
        <w:rPr>
          <w:kern w:val="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三是严格奖励金办理时限。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《办法》对市、区民政部门审核材料的时限作出明确规定。其中，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区级民政部门自收到承办机构报送的材料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应在10个工作日内完成审核。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经办人符合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奖励条件的，</w:t>
      </w:r>
      <w:r>
        <w:rPr>
          <w:rFonts w:ascii="仿宋_GB2312" w:eastAsia="仿宋_GB2312"/>
          <w:color w:val="000000"/>
          <w:kern w:val="0"/>
          <w:sz w:val="32"/>
          <w:szCs w:val="32"/>
        </w:rPr>
        <w:t>申请材料齐全的，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市</w:t>
      </w:r>
      <w:r>
        <w:rPr>
          <w:rFonts w:ascii="仿宋_GB2312" w:eastAsia="仿宋_GB2312"/>
          <w:color w:val="000000"/>
          <w:kern w:val="0"/>
          <w:sz w:val="32"/>
          <w:szCs w:val="32"/>
        </w:rPr>
        <w:t>本级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民政部门</w:t>
      </w:r>
      <w:r>
        <w:rPr>
          <w:rFonts w:ascii="仿宋_GB2312" w:eastAsia="仿宋_GB2312"/>
          <w:color w:val="000000"/>
          <w:kern w:val="0"/>
          <w:sz w:val="32"/>
          <w:szCs w:val="32"/>
        </w:rPr>
        <w:t>应在安葬活动结束后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/>
          <w:color w:val="000000"/>
          <w:kern w:val="0"/>
          <w:sz w:val="32"/>
          <w:szCs w:val="32"/>
        </w:rPr>
        <w:t>内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将奖励金一次性划入</w:t>
      </w:r>
      <w:r>
        <w:rPr>
          <w:rFonts w:ascii="仿宋_GB2312" w:eastAsia="仿宋_GB2312"/>
          <w:color w:val="000000"/>
          <w:kern w:val="0"/>
          <w:sz w:val="32"/>
          <w:szCs w:val="32"/>
        </w:rPr>
        <w:t>其申请材料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指定的银行账户。</w:t>
      </w:r>
    </w:p>
    <w:p>
      <w:pPr>
        <w:adjustRightInd w:val="0"/>
        <w:snapToGrid w:val="0"/>
        <w:spacing w:afterLines="0" w:line="560" w:lineRule="exact"/>
        <w:rPr>
          <w:kern w:val="0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color w:val="auto"/>
          <w:spacing w:val="0"/>
          <w:kern w:val="0"/>
          <w:sz w:val="32"/>
          <w:szCs w:val="32"/>
          <w:lang w:eastAsia="zh-CN"/>
        </w:rPr>
      </w:pPr>
    </w:p>
    <w:p>
      <w:pPr>
        <w:pStyle w:val="4"/>
        <w:adjustRightInd w:val="0"/>
        <w:snapToGrid w:val="0"/>
        <w:spacing w:after="0" w:line="560" w:lineRule="exact"/>
        <w:ind w:left="0" w:leftChars="0" w:firstLine="0" w:firstLineChars="0"/>
        <w:rPr>
          <w:rFonts w:hint="eastAsia" w:ascii="仿宋_GB2312" w:eastAsia="仿宋_GB2312"/>
          <w:color w:val="auto"/>
          <w:spacing w:val="0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color w:val="auto"/>
          <w:spacing w:val="0"/>
          <w:kern w:val="0"/>
          <w:sz w:val="32"/>
          <w:szCs w:val="32"/>
          <w:lang w:eastAsia="zh-CN"/>
        </w:rPr>
      </w:pPr>
    </w:p>
    <w:p>
      <w:pPr>
        <w:pStyle w:val="4"/>
        <w:adjustRightInd w:val="0"/>
        <w:snapToGrid w:val="0"/>
        <w:spacing w:after="0" w:line="560" w:lineRule="exact"/>
        <w:ind w:left="0" w:leftChars="0" w:firstLine="0" w:firstLineChars="0"/>
        <w:rPr>
          <w:rFonts w:hint="eastAsia" w:ascii="仿宋_GB2312" w:eastAsia="仿宋_GB2312"/>
          <w:color w:val="auto"/>
          <w:spacing w:val="0"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2C3DD9-032A-4CC7-93B4-64E2242D2B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97C424E-C830-48A8-8480-9B551D8057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F1112A7-709C-4633-8C9B-3B35DF95C87B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D7FC319-E6D2-44D3-972D-671ECD262B7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ZGY0ZDY3MDUyOTVkNTExMjVlNzlmYmIyMjVlMWYifQ=="/>
  </w:docVars>
  <w:rsids>
    <w:rsidRoot w:val="69B830B6"/>
    <w:rsid w:val="69B8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Body Text Indent"/>
    <w:basedOn w:val="1"/>
    <w:next w:val="4"/>
    <w:unhideWhenUsed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pacing w:val="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2023-07-10T01:09:00Z</dcterms:created>
  <dc:creator>阿营</dc:creator>
  <cp:lastModifiedBy>阿营</cp:lastModifiedBy>
  <dcterms:modified xsi:type="dcterms:W3CDTF">2023-07-10T01:09:52Z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413749810D2B4E428E8C0625E7F632A9_11</vt:lpwstr>
  </property>
</Properties>
</file>