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2940"/>
      </w:pPr>
    </w:p>
    <w:p/>
    <w:p>
      <w:pPr>
        <w:jc w:val="center"/>
        <w:rPr>
          <w:rFonts w:ascii="宋体" w:hAnsi="宋体" w:eastAsia="宋体"/>
          <w:sz w:val="32"/>
        </w:rPr>
      </w:pPr>
      <w:r>
        <w:rPr>
          <w:rFonts w:hint="eastAsia" w:ascii="宋体" w:hAnsi="宋体" w:eastAsia="宋体"/>
          <w:sz w:val="32"/>
        </w:rPr>
        <w:t>深圳市地价测算规则（修订征求意见稿）社会公众意见汇总</w:t>
      </w:r>
    </w:p>
    <w:p>
      <w:pPr>
        <w:pStyle w:val="2"/>
      </w:pPr>
    </w:p>
    <w:tbl>
      <w:tblPr>
        <w:tblStyle w:val="9"/>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70"/>
        <w:gridCol w:w="7631"/>
        <w:gridCol w:w="1295"/>
        <w:gridCol w:w="871"/>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序号</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条文</w:t>
            </w:r>
          </w:p>
        </w:tc>
        <w:tc>
          <w:tcPr>
            <w:tcW w:w="76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意见及建议</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反馈单位或个人</w:t>
            </w:r>
          </w:p>
        </w:tc>
        <w:tc>
          <w:tcPr>
            <w:tcW w:w="87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采纳情况</w:t>
            </w:r>
          </w:p>
        </w:tc>
        <w:tc>
          <w:tcPr>
            <w:tcW w:w="242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b/>
                <w:color w:val="auto"/>
                <w:sz w:val="24"/>
                <w:szCs w:val="24"/>
              </w:rPr>
            </w:pPr>
            <w:r>
              <w:rPr>
                <w:rFonts w:hint="eastAsia" w:ascii="仿宋" w:hAnsi="仿宋" w:eastAsia="仿宋"/>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1</w:t>
            </w:r>
          </w:p>
        </w:tc>
        <w:tc>
          <w:tcPr>
            <w:tcW w:w="87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ascii="仿宋" w:hAnsi="仿宋" w:eastAsia="仿宋"/>
                <w:color w:val="auto"/>
                <w:sz w:val="22"/>
              </w:rPr>
              <w:t xml:space="preserve">附表4 </w:t>
            </w:r>
            <w:r>
              <w:rPr>
                <w:rFonts w:hint="eastAsia" w:ascii="仿宋" w:hAnsi="仿宋" w:eastAsia="仿宋"/>
                <w:color w:val="auto"/>
                <w:sz w:val="22"/>
              </w:rPr>
              <w:t>备注2</w:t>
            </w:r>
          </w:p>
        </w:tc>
        <w:tc>
          <w:tcPr>
            <w:tcW w:w="7631"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建议：产业用地出让时间在</w:t>
            </w:r>
            <w:r>
              <w:rPr>
                <w:rFonts w:ascii="仿宋" w:hAnsi="仿宋" w:eastAsia="仿宋"/>
                <w:b/>
                <w:color w:val="auto"/>
                <w:sz w:val="24"/>
                <w:szCs w:val="24"/>
              </w:rPr>
              <w:t>2019-10-17后取得的用地</w:t>
            </w:r>
            <w:r>
              <w:rPr>
                <w:rFonts w:ascii="仿宋" w:hAnsi="仿宋" w:eastAsia="仿宋"/>
                <w:color w:val="auto"/>
                <w:sz w:val="24"/>
                <w:szCs w:val="24"/>
              </w:rPr>
              <w:t>，在竣工超面积测算应补缴的地价时，产业用地出</w:t>
            </w:r>
            <w:r>
              <w:rPr>
                <w:rFonts w:hint="eastAsia" w:ascii="仿宋" w:hAnsi="仿宋" w:eastAsia="仿宋"/>
                <w:color w:val="auto"/>
                <w:sz w:val="24"/>
                <w:szCs w:val="24"/>
              </w:rPr>
              <w:t>让时有适用产业发展导向修正系数的，适用产业发展导向修正系数，</w:t>
            </w:r>
            <w:r>
              <w:rPr>
                <w:rFonts w:hint="eastAsia" w:ascii="仿宋" w:hAnsi="仿宋" w:eastAsia="仿宋"/>
                <w:b/>
                <w:color w:val="auto"/>
                <w:sz w:val="24"/>
                <w:szCs w:val="24"/>
              </w:rPr>
              <w:t>变更前后均按照测算时点政策确定适用的建筑类型。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产业用地出让时间在</w:t>
            </w:r>
            <w:r>
              <w:rPr>
                <w:rFonts w:ascii="仿宋" w:hAnsi="仿宋" w:eastAsia="仿宋"/>
                <w:b/>
                <w:color w:val="auto"/>
                <w:sz w:val="24"/>
                <w:szCs w:val="24"/>
              </w:rPr>
              <w:t>2019-10-17之前取得的用地</w:t>
            </w:r>
            <w:r>
              <w:rPr>
                <w:rFonts w:ascii="仿宋" w:hAnsi="仿宋" w:eastAsia="仿宋"/>
                <w:color w:val="auto"/>
                <w:sz w:val="24"/>
                <w:szCs w:val="24"/>
              </w:rPr>
              <w:t>，在竣工超面积测算应补缴的地价时，或因新增建筑类型需对原土地</w:t>
            </w:r>
            <w:r>
              <w:rPr>
                <w:rFonts w:hint="eastAsia" w:ascii="仿宋" w:hAnsi="仿宋" w:eastAsia="仿宋"/>
                <w:color w:val="auto"/>
                <w:sz w:val="24"/>
                <w:szCs w:val="24"/>
              </w:rPr>
              <w:t>权出让合同签订补充协议的情形，</w:t>
            </w:r>
            <w:r>
              <w:rPr>
                <w:rFonts w:hint="eastAsia" w:ascii="仿宋" w:hAnsi="仿宋" w:eastAsia="仿宋"/>
                <w:b/>
                <w:color w:val="auto"/>
                <w:sz w:val="24"/>
                <w:szCs w:val="24"/>
              </w:rPr>
              <w:t>测算新增建筑类型部分应补缴的地价时，符合</w:t>
            </w:r>
            <w:r>
              <w:rPr>
                <w:rFonts w:hint="eastAsia" w:ascii="仿宋" w:hAnsi="仿宋" w:eastAsia="仿宋"/>
                <w:color w:val="auto"/>
                <w:sz w:val="24"/>
                <w:szCs w:val="24"/>
              </w:rPr>
              <w:t>深圳市战略性新兴产业、优势传统产业和生产性现代服务业</w:t>
            </w:r>
            <w:r>
              <w:rPr>
                <w:rFonts w:hint="eastAsia" w:ascii="仿宋" w:hAnsi="仿宋" w:eastAsia="仿宋"/>
                <w:b/>
                <w:color w:val="auto"/>
                <w:sz w:val="24"/>
                <w:szCs w:val="24"/>
              </w:rPr>
              <w:t>条件的，可适用产业发展导向修正系数。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由产业用地调整为保障性住房等其他用地的，根据</w:t>
            </w:r>
            <w:r>
              <w:rPr>
                <w:rFonts w:ascii="仿宋" w:hAnsi="仿宋" w:eastAsia="仿宋"/>
                <w:color w:val="auto"/>
                <w:sz w:val="24"/>
                <w:szCs w:val="24"/>
              </w:rPr>
              <w:t>2.1条测算变更前后地价时，按原产业用地适用情况确定变更前产业</w:t>
            </w:r>
            <w:r>
              <w:rPr>
                <w:rFonts w:hint="eastAsia" w:ascii="仿宋" w:hAnsi="仿宋" w:eastAsia="仿宋"/>
                <w:color w:val="auto"/>
                <w:sz w:val="24"/>
                <w:szCs w:val="24"/>
              </w:rPr>
              <w:t>发展导向修正系数适用对象。</w:t>
            </w:r>
          </w:p>
        </w:tc>
        <w:tc>
          <w:tcPr>
            <w:tcW w:w="129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ascii="仿宋" w:hAnsi="仿宋" w:eastAsia="仿宋"/>
                <w:color w:val="auto"/>
                <w:sz w:val="22"/>
              </w:rPr>
              <w:t>深圳信立泰药业股份有限公司</w:t>
            </w:r>
          </w:p>
        </w:tc>
        <w:tc>
          <w:tcPr>
            <w:tcW w:w="87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4"/>
                <w:szCs w:val="24"/>
              </w:rPr>
            </w:pPr>
            <w:r>
              <w:rPr>
                <w:rFonts w:hint="eastAsia" w:ascii="仿宋" w:hAnsi="仿宋" w:eastAsia="仿宋"/>
                <w:color w:val="auto"/>
                <w:sz w:val="24"/>
                <w:szCs w:val="24"/>
              </w:rPr>
              <w:t>解释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4"/>
                <w:szCs w:val="24"/>
              </w:rPr>
            </w:pPr>
          </w:p>
        </w:tc>
        <w:tc>
          <w:tcPr>
            <w:tcW w:w="2426" w:type="dxa"/>
          </w:tcPr>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olor w:val="auto"/>
              </w:rPr>
            </w:pPr>
            <w:r>
              <w:rPr>
                <w:rFonts w:hint="eastAsia" w:ascii="仿宋" w:hAnsi="仿宋" w:eastAsia="仿宋"/>
                <w:color w:val="auto"/>
                <w:sz w:val="24"/>
                <w:lang w:eastAsia="zh-CN"/>
              </w:rPr>
              <w:t>适用</w:t>
            </w:r>
            <w:r>
              <w:rPr>
                <w:rFonts w:hint="eastAsia" w:ascii="仿宋" w:hAnsi="仿宋" w:eastAsia="仿宋"/>
                <w:color w:val="auto"/>
                <w:sz w:val="24"/>
              </w:rPr>
              <w:t>产业发展导向修正系数</w:t>
            </w:r>
            <w:r>
              <w:rPr>
                <w:rFonts w:hint="eastAsia" w:ascii="仿宋" w:hAnsi="仿宋" w:eastAsia="仿宋"/>
                <w:color w:val="auto"/>
                <w:sz w:val="24"/>
                <w:lang w:eastAsia="zh-CN"/>
              </w:rPr>
              <w:t>的产业项目用地，在产业类别</w:t>
            </w:r>
            <w:r>
              <w:rPr>
                <w:rFonts w:hint="eastAsia" w:ascii="仿宋" w:hAnsi="仿宋" w:eastAsia="仿宋"/>
                <w:color w:val="auto"/>
                <w:sz w:val="24"/>
              </w:rPr>
              <w:t>、产权</w:t>
            </w:r>
            <w:r>
              <w:rPr>
                <w:rFonts w:hint="eastAsia" w:ascii="仿宋" w:hAnsi="仿宋" w:eastAsia="仿宋"/>
                <w:color w:val="auto"/>
                <w:sz w:val="24"/>
                <w:lang w:eastAsia="zh-CN"/>
              </w:rPr>
              <w:t>限制</w:t>
            </w:r>
            <w:r>
              <w:rPr>
                <w:rFonts w:hint="eastAsia" w:ascii="仿宋" w:hAnsi="仿宋" w:eastAsia="仿宋"/>
                <w:color w:val="auto"/>
                <w:sz w:val="24"/>
              </w:rPr>
              <w:t>条件、</w:t>
            </w:r>
            <w:r>
              <w:rPr>
                <w:rFonts w:hint="eastAsia" w:ascii="仿宋" w:hAnsi="仿宋" w:eastAsia="仿宋"/>
                <w:color w:val="auto"/>
                <w:sz w:val="24"/>
                <w:lang w:eastAsia="zh-CN"/>
              </w:rPr>
              <w:t>产业项目</w:t>
            </w:r>
            <w:r>
              <w:rPr>
                <w:rFonts w:hint="eastAsia" w:ascii="仿宋" w:hAnsi="仿宋" w:eastAsia="仿宋"/>
                <w:color w:val="auto"/>
                <w:sz w:val="24"/>
              </w:rPr>
              <w:t>监管</w:t>
            </w:r>
            <w:r>
              <w:rPr>
                <w:rFonts w:hint="eastAsia" w:ascii="仿宋" w:hAnsi="仿宋" w:eastAsia="仿宋"/>
                <w:color w:val="auto"/>
                <w:sz w:val="24"/>
                <w:lang w:eastAsia="zh-CN"/>
              </w:rPr>
              <w:t>措施</w:t>
            </w:r>
            <w:r>
              <w:rPr>
                <w:rFonts w:hint="eastAsia" w:ascii="仿宋" w:hAnsi="仿宋" w:eastAsia="仿宋"/>
                <w:color w:val="auto"/>
                <w:sz w:val="24"/>
              </w:rPr>
              <w:t>等方面均有</w:t>
            </w:r>
            <w:r>
              <w:rPr>
                <w:rFonts w:hint="eastAsia" w:ascii="仿宋" w:hAnsi="仿宋" w:eastAsia="仿宋"/>
                <w:color w:val="auto"/>
                <w:sz w:val="24"/>
                <w:lang w:eastAsia="zh-CN"/>
              </w:rPr>
              <w:t>相应的政策</w:t>
            </w:r>
            <w:r>
              <w:rPr>
                <w:rFonts w:hint="eastAsia" w:ascii="仿宋" w:hAnsi="仿宋" w:eastAsia="仿宋"/>
                <w:color w:val="auto"/>
                <w:sz w:val="24"/>
              </w:rPr>
              <w:t>要求</w:t>
            </w:r>
            <w:r>
              <w:rPr>
                <w:rFonts w:hint="eastAsia" w:ascii="仿宋" w:hAnsi="仿宋" w:eastAsia="仿宋"/>
                <w:color w:val="auto"/>
                <w:sz w:val="24"/>
                <w:lang w:eastAsia="zh-CN"/>
              </w:rPr>
              <w:t>。因此，用地出让时项目用地整体未适用产业发展导向修正系数的，竣工超面积测算地价亦不宜适用</w:t>
            </w:r>
            <w:r>
              <w:rPr>
                <w:rFonts w:hint="eastAsia" w:ascii="仿宋" w:hAnsi="仿宋" w:eastAsia="仿宋"/>
                <w:color w:val="auto"/>
                <w:sz w:val="24"/>
              </w:rPr>
              <w:t>产业发展导向修正系数。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2</w:t>
            </w:r>
          </w:p>
        </w:tc>
        <w:tc>
          <w:tcPr>
            <w:tcW w:w="87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rPr>
            </w:pPr>
            <w:r>
              <w:rPr>
                <w:rFonts w:hint="eastAsia" w:ascii="仿宋" w:hAnsi="仿宋" w:eastAsia="仿宋"/>
                <w:color w:val="auto"/>
                <w:sz w:val="22"/>
              </w:rPr>
              <w:t>附表9</w:t>
            </w:r>
            <w:r>
              <w:rPr>
                <w:rFonts w:hint="eastAsia" w:ascii="仿宋" w:hAnsi="仿宋" w:eastAsia="仿宋"/>
                <w:color w:val="auto"/>
              </w:rPr>
              <w:t>备注5</w:t>
            </w:r>
          </w:p>
        </w:tc>
        <w:tc>
          <w:tcPr>
            <w:tcW w:w="7631"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ascii="仿宋" w:hAnsi="仿宋" w:eastAsia="仿宋"/>
                <w:color w:val="auto"/>
                <w:sz w:val="24"/>
                <w:szCs w:val="24"/>
              </w:rPr>
              <w:t>按照《深圳市地价测算规则》,田心更新单元超容建筑面积地价为深标内建筑面积地价的3</w:t>
            </w:r>
            <w:r>
              <w:rPr>
                <w:rFonts w:hint="eastAsia" w:ascii="仿宋" w:hAnsi="仿宋" w:eastAsia="仿宋"/>
                <w:color w:val="auto"/>
                <w:sz w:val="24"/>
                <w:szCs w:val="24"/>
              </w:rPr>
              <w:t>~</w:t>
            </w:r>
            <w:r>
              <w:rPr>
                <w:rFonts w:ascii="仿宋" w:hAnsi="仿宋" w:eastAsia="仿宋"/>
                <w:color w:val="auto"/>
                <w:sz w:val="24"/>
                <w:szCs w:val="24"/>
              </w:rPr>
              <w:t>4倍，导致权益(含商业办公、人才房、商品住宅等)建面地均价高达2.8万/m</w:t>
            </w:r>
            <w:r>
              <w:rPr>
                <w:rFonts w:ascii="Calibri" w:hAnsi="Calibri" w:eastAsia="仿宋" w:cs="Calibri"/>
                <w:color w:val="auto"/>
                <w:sz w:val="24"/>
                <w:szCs w:val="24"/>
              </w:rPr>
              <w:t>²</w:t>
            </w:r>
            <w:r>
              <w:rPr>
                <w:rFonts w:ascii="仿宋" w:hAnsi="仿宋" w:eastAsia="仿宋"/>
                <w:color w:val="auto"/>
                <w:sz w:val="24"/>
                <w:szCs w:val="24"/>
              </w:rPr>
              <w:t xml:space="preserve"> ,近乎周边更新项目2倍之多，也远高于同地段的评估地价，给项目带来巨大负担。根据世联评估出具的本项目可行性研究报告，超容工具已无法有效解决田心项目回迁量大、经济不可行的问题，导致项目面临无可实施性的困难。</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ascii="仿宋" w:hAnsi="仿宋" w:eastAsia="仿宋"/>
                <w:color w:val="auto"/>
                <w:sz w:val="24"/>
                <w:szCs w:val="24"/>
              </w:rPr>
              <w:t>建议将《深圳市地价测算规则(修订征求意见稿)》附表9备注“5.《关于加强城市更新单元规划审批管理工作的通知》(深规土规〔2018〕4号)和《深圳市拆除重建类城市更新单元规划容积率审查规定》(深规划资源〔2019〕1号)中规定按评估地价标准计收地价的建筑面积，按本规则1.7条公式测算地价，项目修正系数为1”补充增加“政府要求增加的建筑面积或因改善经济可行性需要增加的建筑面积按照常规城市更新修正系数”。</w:t>
            </w:r>
          </w:p>
        </w:tc>
        <w:tc>
          <w:tcPr>
            <w:tcW w:w="129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鹏瑞</w:t>
            </w:r>
            <w:r>
              <w:rPr>
                <w:rFonts w:ascii="仿宋" w:hAnsi="仿宋" w:eastAsia="仿宋"/>
                <w:color w:val="auto"/>
                <w:sz w:val="22"/>
              </w:rPr>
              <w:t>(深圳)城市发展有限公司</w:t>
            </w:r>
          </w:p>
        </w:tc>
        <w:tc>
          <w:tcPr>
            <w:tcW w:w="87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4"/>
                <w:szCs w:val="24"/>
              </w:rPr>
            </w:pPr>
            <w:r>
              <w:rPr>
                <w:rFonts w:hint="eastAsia" w:ascii="仿宋" w:hAnsi="仿宋" w:eastAsia="仿宋"/>
                <w:color w:val="auto"/>
                <w:sz w:val="24"/>
                <w:szCs w:val="24"/>
              </w:rPr>
              <w:t>解释</w:t>
            </w:r>
          </w:p>
        </w:tc>
        <w:tc>
          <w:tcPr>
            <w:tcW w:w="242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olor w:val="auto"/>
                <w:sz w:val="24"/>
                <w:szCs w:val="24"/>
              </w:rPr>
            </w:pPr>
            <w:r>
              <w:rPr>
                <w:rFonts w:hint="eastAsia" w:ascii="仿宋" w:hAnsi="仿宋" w:eastAsia="仿宋"/>
                <w:color w:val="auto"/>
                <w:sz w:val="24"/>
                <w:szCs w:val="24"/>
              </w:rPr>
              <w:t>超容建筑面积是指</w:t>
            </w:r>
            <w:r>
              <w:rPr>
                <w:rFonts w:ascii="仿宋" w:hAnsi="仿宋" w:eastAsia="仿宋"/>
                <w:color w:val="auto"/>
                <w:sz w:val="24"/>
                <w:szCs w:val="24"/>
              </w:rPr>
              <w:t>城市更新项目在市层面城市更新容积率审查技术规则基础上额外增加的建筑面积部分，参照新出让用地方式，按评估地价标准计收地价，以防止市场为追求经济利益而过度要求高容积，保障城市合理承载力，提升城市品质，改善人居环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olor w:val="auto"/>
                <w:sz w:val="24"/>
                <w:szCs w:val="24"/>
              </w:rPr>
            </w:pPr>
            <w:r>
              <w:rPr>
                <w:rFonts w:hint="eastAsia" w:ascii="仿宋" w:hAnsi="仿宋" w:eastAsia="仿宋"/>
                <w:color w:val="auto"/>
                <w:sz w:val="24"/>
                <w:szCs w:val="24"/>
              </w:rPr>
              <w:t>针对社会普遍反映超容项目地价过高等问题，我局已与相关部门及企业代表进行座谈。后续将根据市场实际情况，进一步完善超容项目地价计收标准相关规定。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3</w:t>
            </w:r>
          </w:p>
        </w:tc>
        <w:tc>
          <w:tcPr>
            <w:tcW w:w="87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附表</w:t>
            </w:r>
            <w:r>
              <w:rPr>
                <w:rFonts w:ascii="仿宋" w:hAnsi="仿宋" w:eastAsia="仿宋"/>
                <w:color w:val="auto"/>
                <w:sz w:val="22"/>
              </w:rPr>
              <w:t>9</w:t>
            </w:r>
            <w:r>
              <w:rPr>
                <w:rFonts w:hint="eastAsia" w:ascii="仿宋" w:hAnsi="仿宋" w:eastAsia="仿宋"/>
                <w:color w:val="auto"/>
                <w:sz w:val="22"/>
              </w:rPr>
              <w:t>备注5</w:t>
            </w:r>
          </w:p>
        </w:tc>
        <w:tc>
          <w:tcPr>
            <w:tcW w:w="7631"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建议：调整城市更新项目超容地价测算标准，不再区分</w:t>
            </w:r>
            <w:r>
              <w:rPr>
                <w:rFonts w:ascii="仿宋" w:hAnsi="仿宋" w:eastAsia="仿宋"/>
                <w:color w:val="auto"/>
                <w:sz w:val="24"/>
                <w:szCs w:val="24"/>
              </w:rPr>
              <w:t xml:space="preserve"> 超容部分建筑面积，统一适用普通更新项目修正系数，这样做更有</w:t>
            </w:r>
            <w:r>
              <w:rPr>
                <w:rFonts w:hint="eastAsia" w:ascii="仿宋" w:hAnsi="仿宋" w:eastAsia="仿宋"/>
                <w:color w:val="auto"/>
                <w:sz w:val="24"/>
                <w:szCs w:val="24"/>
              </w:rPr>
              <w:t>利于各区落实市委市政府即将出台的《深圳市推动总部经济高质量发展的实施意见》</w:t>
            </w:r>
            <w:r>
              <w:rPr>
                <w:rFonts w:ascii="仿宋" w:hAnsi="仿宋" w:eastAsia="仿宋"/>
                <w:color w:val="auto"/>
                <w:sz w:val="24"/>
                <w:szCs w:val="24"/>
              </w:rPr>
              <w:t>,有利于在深圳国土空间规划确定的核心城区发 展总部经济，巩固壮大现有总部空间，促进总部经济集聚度，提升</w:t>
            </w:r>
            <w:r>
              <w:rPr>
                <w:rFonts w:hint="eastAsia" w:ascii="仿宋" w:hAnsi="仿宋" w:eastAsia="仿宋"/>
                <w:color w:val="auto"/>
                <w:sz w:val="24"/>
                <w:szCs w:val="24"/>
              </w:rPr>
              <w:t>总部高端要素集聚能力。</w:t>
            </w:r>
          </w:p>
        </w:tc>
        <w:tc>
          <w:tcPr>
            <w:tcW w:w="129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深圳市京基房地产股份有限公司</w:t>
            </w:r>
          </w:p>
        </w:tc>
        <w:tc>
          <w:tcPr>
            <w:tcW w:w="87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4"/>
                <w:szCs w:val="24"/>
              </w:rPr>
            </w:pPr>
            <w:r>
              <w:rPr>
                <w:rFonts w:hint="eastAsia" w:ascii="仿宋" w:hAnsi="仿宋" w:eastAsia="仿宋"/>
                <w:color w:val="auto"/>
                <w:sz w:val="24"/>
                <w:szCs w:val="24"/>
              </w:rPr>
              <w:t>解释</w:t>
            </w:r>
          </w:p>
        </w:tc>
        <w:tc>
          <w:tcPr>
            <w:tcW w:w="242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olor w:val="auto"/>
                <w:sz w:val="24"/>
                <w:szCs w:val="24"/>
              </w:rPr>
            </w:pPr>
            <w:r>
              <w:rPr>
                <w:rFonts w:hint="eastAsia" w:ascii="仿宋" w:hAnsi="仿宋" w:eastAsia="仿宋"/>
                <w:color w:val="auto"/>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85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4</w:t>
            </w:r>
          </w:p>
        </w:tc>
        <w:tc>
          <w:tcPr>
            <w:tcW w:w="870"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办公标定地价标准</w:t>
            </w:r>
          </w:p>
        </w:tc>
        <w:tc>
          <w:tcPr>
            <w:tcW w:w="7631"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建议罗湖片区办公标定地价参照区域办公房地产实际市场水平</w:t>
            </w:r>
            <w:r>
              <w:rPr>
                <w:rFonts w:ascii="仿宋" w:hAnsi="仿宋" w:eastAsia="仿宋"/>
                <w:color w:val="auto"/>
                <w:sz w:val="24"/>
                <w:szCs w:val="24"/>
              </w:rPr>
              <w:t xml:space="preserve"> 进行较大幅度下调(超过25%以上),一次性调整到位</w:t>
            </w:r>
            <w:r>
              <w:rPr>
                <w:rFonts w:hint="eastAsia" w:ascii="仿宋" w:hAnsi="仿宋" w:eastAsia="仿宋"/>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据不完全统计，南山、福田、罗湖重点商务片区</w:t>
            </w:r>
            <w:r>
              <w:rPr>
                <w:rFonts w:ascii="仿宋" w:hAnsi="仿宋" w:eastAsia="仿宋"/>
                <w:color w:val="auto"/>
                <w:sz w:val="24"/>
                <w:szCs w:val="24"/>
              </w:rPr>
              <w:t xml:space="preserve"> 2022年办公标定地价水平较2021年的有所下调，其中福田中心区 调整幅度相对最大，调整幅度约-4.9%至1.11%;其次为罗湖湖贝 片区和南山后海片区，分别为-3.61%至-0.02%和-2.25%至-0.22%;</w:t>
            </w:r>
            <w:r>
              <w:rPr>
                <w:rFonts w:hint="eastAsia" w:ascii="仿宋" w:hAnsi="仿宋" w:eastAsia="仿宋"/>
                <w:color w:val="auto"/>
                <w:sz w:val="24"/>
                <w:szCs w:val="24"/>
              </w:rPr>
              <w:t>罗湖蔡屋围片区下调幅度最小，调整幅度约为</w:t>
            </w:r>
            <w:r>
              <w:rPr>
                <w:rFonts w:ascii="仿宋" w:hAnsi="仿宋" w:eastAsia="仿宋"/>
                <w:color w:val="auto"/>
                <w:sz w:val="24"/>
                <w:szCs w:val="24"/>
              </w:rPr>
              <w:t>-1.82%至-0.31%。</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经调整后，</w:t>
            </w:r>
            <w:r>
              <w:rPr>
                <w:rFonts w:ascii="仿宋" w:hAnsi="仿宋" w:eastAsia="仿宋"/>
                <w:color w:val="auto"/>
                <w:sz w:val="24"/>
                <w:szCs w:val="24"/>
              </w:rPr>
              <w:t>2022年深南大道沿线的重点商务片区的办公标定地价 以深南大道中段(福田区域)为最高点，往深南大道西段(南山</w:t>
            </w:r>
            <w:r>
              <w:rPr>
                <w:rFonts w:hint="eastAsia" w:ascii="仿宋" w:hAnsi="仿宋" w:eastAsia="仿宋"/>
                <w:color w:val="auto"/>
                <w:sz w:val="24"/>
                <w:szCs w:val="24"/>
              </w:rPr>
              <w:t>区域</w:t>
            </w:r>
            <w:r>
              <w:rPr>
                <w:rFonts w:ascii="仿宋" w:hAnsi="仿宋" w:eastAsia="仿宋"/>
                <w:color w:val="auto"/>
                <w:sz w:val="24"/>
                <w:szCs w:val="24"/>
              </w:rPr>
              <w:t>)与深南大道东段(罗湖区域)递减，深南大道西段与深南</w:t>
            </w:r>
            <w:r>
              <w:rPr>
                <w:rFonts w:hint="eastAsia" w:ascii="仿宋" w:hAnsi="仿宋" w:eastAsia="仿宋"/>
                <w:color w:val="auto"/>
                <w:sz w:val="24"/>
                <w:szCs w:val="24"/>
              </w:rPr>
              <w:t>大道东段物业地价水平基本持平。</w:t>
            </w:r>
            <w:r>
              <w:rPr>
                <w:rFonts w:ascii="仿宋" w:hAnsi="仿宋" w:eastAsia="仿宋"/>
                <w:color w:val="auto"/>
                <w:sz w:val="24"/>
                <w:szCs w:val="24"/>
              </w:rPr>
              <w:t>然而在物业价值和租金等维度方面，近年来入市的商务办公类产品实际租售价格下降幅度呈现罗湖区域&gt;南山区域&gt;福田区域分布趋势。罗湖区域承载与南山区域相近的土地成本，物业价值与投资回报却远远低于福田、南山区域，这将严重打击罗湖中心城区的社会资金投向商办类物业的  信心，从而导致罗湖深南东路总部经济主廊道和红岭金融产业带  定位下的高端产业空间萎缩，严重影响罗湖区域打造“三力三区”</w:t>
            </w:r>
            <w:r>
              <w:rPr>
                <w:rFonts w:hint="eastAsia" w:ascii="仿宋" w:hAnsi="仿宋" w:eastAsia="仿宋"/>
                <w:color w:val="auto"/>
                <w:sz w:val="24"/>
                <w:szCs w:val="24"/>
              </w:rPr>
              <w:t>目标，与罗湖可持续发展先锋城区的高质量发展目标不符。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olor w:val="auto"/>
                <w:sz w:val="24"/>
                <w:szCs w:val="24"/>
              </w:rPr>
            </w:pPr>
            <w:r>
              <w:rPr>
                <w:rFonts w:hint="eastAsia" w:ascii="仿宋" w:hAnsi="仿宋" w:eastAsia="仿宋"/>
                <w:color w:val="auto"/>
                <w:sz w:val="24"/>
                <w:szCs w:val="24"/>
              </w:rPr>
              <w:t>目前罗湖片区与福田、南山办公标定地价的比值</w:t>
            </w:r>
            <w:r>
              <w:rPr>
                <w:rFonts w:ascii="仿宋" w:hAnsi="仿宋" w:eastAsia="仿宋"/>
                <w:color w:val="auto"/>
                <w:sz w:val="24"/>
                <w:szCs w:val="24"/>
              </w:rPr>
              <w:t>差异远低于物业价值、收益水平的比值差异，故建议罗湖片区办公标定地价下调幅度加大，一次性调整到位。如果今年调整幅度</w:t>
            </w:r>
            <w:r>
              <w:rPr>
                <w:rFonts w:hint="eastAsia" w:ascii="仿宋" w:hAnsi="仿宋" w:eastAsia="仿宋"/>
                <w:color w:val="auto"/>
                <w:sz w:val="24"/>
                <w:szCs w:val="24"/>
              </w:rPr>
              <w:t>需超过</w:t>
            </w:r>
            <w:r>
              <w:rPr>
                <w:rFonts w:ascii="仿宋" w:hAnsi="仿宋" w:eastAsia="仿宋"/>
                <w:color w:val="auto"/>
                <w:sz w:val="24"/>
                <w:szCs w:val="24"/>
              </w:rPr>
              <w:t>5%,则按程序报市政府批准。</w:t>
            </w:r>
          </w:p>
        </w:tc>
        <w:tc>
          <w:tcPr>
            <w:tcW w:w="129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2"/>
              </w:rPr>
            </w:pPr>
            <w:r>
              <w:rPr>
                <w:rFonts w:hint="eastAsia" w:ascii="仿宋" w:hAnsi="仿宋" w:eastAsia="仿宋"/>
                <w:color w:val="auto"/>
                <w:sz w:val="22"/>
              </w:rPr>
              <w:t>深圳市京基房地产股份有限公司</w:t>
            </w:r>
          </w:p>
        </w:tc>
        <w:tc>
          <w:tcPr>
            <w:tcW w:w="871"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olor w:val="auto"/>
                <w:sz w:val="24"/>
                <w:szCs w:val="24"/>
              </w:rPr>
            </w:pPr>
            <w:r>
              <w:rPr>
                <w:rFonts w:hint="eastAsia" w:ascii="仿宋" w:hAnsi="仿宋" w:eastAsia="仿宋"/>
                <w:color w:val="auto"/>
                <w:sz w:val="24"/>
                <w:szCs w:val="24"/>
              </w:rPr>
              <w:t>解释</w:t>
            </w:r>
          </w:p>
        </w:tc>
        <w:tc>
          <w:tcPr>
            <w:tcW w:w="2426"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olor w:val="auto"/>
                <w:sz w:val="24"/>
                <w:szCs w:val="24"/>
                <w:lang w:eastAsia="zh-CN"/>
              </w:rPr>
            </w:pPr>
            <w:r>
              <w:rPr>
                <w:rFonts w:hint="eastAsia" w:ascii="仿宋" w:hAnsi="仿宋" w:eastAsia="仿宋"/>
                <w:color w:val="auto"/>
                <w:sz w:val="24"/>
                <w:szCs w:val="24"/>
              </w:rPr>
              <w:t>办公</w:t>
            </w:r>
            <w:r>
              <w:rPr>
                <w:rFonts w:hint="eastAsia" w:ascii="仿宋" w:hAnsi="仿宋" w:eastAsia="仿宋"/>
                <w:color w:val="auto"/>
                <w:sz w:val="24"/>
                <w:szCs w:val="24"/>
                <w:lang w:eastAsia="zh-CN"/>
              </w:rPr>
              <w:t>标定</w:t>
            </w:r>
            <w:r>
              <w:rPr>
                <w:rFonts w:hint="eastAsia" w:ascii="仿宋" w:hAnsi="仿宋" w:eastAsia="仿宋"/>
                <w:color w:val="auto"/>
                <w:sz w:val="24"/>
                <w:szCs w:val="24"/>
              </w:rPr>
              <w:t>地价已综合考虑各种影响因素并根据市场情况予以更新</w:t>
            </w:r>
            <w:r>
              <w:rPr>
                <w:rFonts w:hint="eastAsia" w:ascii="仿宋" w:hAnsi="仿宋" w:eastAsia="仿宋"/>
                <w:color w:val="auto"/>
                <w:sz w:val="24"/>
                <w:szCs w:val="24"/>
                <w:lang w:eastAsia="zh-CN"/>
              </w:rPr>
              <w:t>。</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360" w:lineRule="exact"/>
              <w:ind w:left="2940"/>
              <w:textAlignment w:val="auto"/>
              <w:rPr>
                <w:rFonts w:ascii="仿宋" w:hAnsi="仿宋" w:eastAsia="仿宋"/>
                <w:color w:val="auto"/>
                <w:sz w:val="24"/>
                <w:szCs w:val="24"/>
              </w:rPr>
            </w:pPr>
            <w:r>
              <w:rPr>
                <w:rFonts w:hint="eastAsia" w:ascii="仿宋" w:hAnsi="仿宋" w:eastAsia="仿宋"/>
                <w:color w:val="auto"/>
                <w:sz w:val="24"/>
                <w:szCs w:val="24"/>
              </w:rPr>
              <w:t>关于标定</w:t>
            </w:r>
          </w:p>
        </w:tc>
      </w:tr>
    </w:tbl>
    <w:p>
      <w:pPr>
        <w:rPr>
          <w:rFonts w:ascii="宋体" w:hAnsi="宋体" w:eastAsia="宋体"/>
          <w:sz w:val="28"/>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zNGI2ZWU0Y2YyMTIxMDgzZWQyZjM4Nzk2NjkzYjIifQ=="/>
  </w:docVars>
  <w:rsids>
    <w:rsidRoot w:val="00882323"/>
    <w:rsid w:val="00036117"/>
    <w:rsid w:val="00043AF4"/>
    <w:rsid w:val="00085B74"/>
    <w:rsid w:val="000B3864"/>
    <w:rsid w:val="00120CB2"/>
    <w:rsid w:val="001223F5"/>
    <w:rsid w:val="001437B2"/>
    <w:rsid w:val="00153C8F"/>
    <w:rsid w:val="00161F9A"/>
    <w:rsid w:val="00175612"/>
    <w:rsid w:val="001B6608"/>
    <w:rsid w:val="001B7BDB"/>
    <w:rsid w:val="001C7F13"/>
    <w:rsid w:val="001D0246"/>
    <w:rsid w:val="001F05EC"/>
    <w:rsid w:val="002202D5"/>
    <w:rsid w:val="00232498"/>
    <w:rsid w:val="00270A17"/>
    <w:rsid w:val="002811BB"/>
    <w:rsid w:val="0029702C"/>
    <w:rsid w:val="002C0EF3"/>
    <w:rsid w:val="002C1430"/>
    <w:rsid w:val="002C5208"/>
    <w:rsid w:val="00311EAA"/>
    <w:rsid w:val="003769A7"/>
    <w:rsid w:val="003872B0"/>
    <w:rsid w:val="003A1236"/>
    <w:rsid w:val="003B180E"/>
    <w:rsid w:val="003B65D0"/>
    <w:rsid w:val="003C0FBF"/>
    <w:rsid w:val="003E73C4"/>
    <w:rsid w:val="003F4308"/>
    <w:rsid w:val="00413151"/>
    <w:rsid w:val="00441042"/>
    <w:rsid w:val="0044475B"/>
    <w:rsid w:val="00450E83"/>
    <w:rsid w:val="004C039A"/>
    <w:rsid w:val="004D1AC2"/>
    <w:rsid w:val="00580F86"/>
    <w:rsid w:val="005B4C52"/>
    <w:rsid w:val="005E278B"/>
    <w:rsid w:val="005E4457"/>
    <w:rsid w:val="005F0035"/>
    <w:rsid w:val="0066067E"/>
    <w:rsid w:val="00670B36"/>
    <w:rsid w:val="006B05A5"/>
    <w:rsid w:val="006C6945"/>
    <w:rsid w:val="006E4611"/>
    <w:rsid w:val="006F4F18"/>
    <w:rsid w:val="007069A2"/>
    <w:rsid w:val="00720FF1"/>
    <w:rsid w:val="00722BE2"/>
    <w:rsid w:val="007805B2"/>
    <w:rsid w:val="007830EC"/>
    <w:rsid w:val="0079641B"/>
    <w:rsid w:val="007C6C43"/>
    <w:rsid w:val="007D7B55"/>
    <w:rsid w:val="007E418D"/>
    <w:rsid w:val="00800C09"/>
    <w:rsid w:val="008469B6"/>
    <w:rsid w:val="008626EE"/>
    <w:rsid w:val="00882323"/>
    <w:rsid w:val="008913AC"/>
    <w:rsid w:val="00893AC3"/>
    <w:rsid w:val="008A01B3"/>
    <w:rsid w:val="008C6B40"/>
    <w:rsid w:val="008D0B12"/>
    <w:rsid w:val="008D6D17"/>
    <w:rsid w:val="008E3A8B"/>
    <w:rsid w:val="008E7857"/>
    <w:rsid w:val="0090454D"/>
    <w:rsid w:val="00924C1B"/>
    <w:rsid w:val="00937571"/>
    <w:rsid w:val="0096786F"/>
    <w:rsid w:val="00974FDE"/>
    <w:rsid w:val="009A6579"/>
    <w:rsid w:val="009D5642"/>
    <w:rsid w:val="009F735B"/>
    <w:rsid w:val="00A1222D"/>
    <w:rsid w:val="00A13DC3"/>
    <w:rsid w:val="00A872A2"/>
    <w:rsid w:val="00A91D60"/>
    <w:rsid w:val="00A97F7B"/>
    <w:rsid w:val="00AC0B00"/>
    <w:rsid w:val="00AE0940"/>
    <w:rsid w:val="00AE486C"/>
    <w:rsid w:val="00AF026B"/>
    <w:rsid w:val="00AF1EEC"/>
    <w:rsid w:val="00B033B3"/>
    <w:rsid w:val="00B13F99"/>
    <w:rsid w:val="00B5446B"/>
    <w:rsid w:val="00B665E7"/>
    <w:rsid w:val="00B701E5"/>
    <w:rsid w:val="00BA669A"/>
    <w:rsid w:val="00BD508B"/>
    <w:rsid w:val="00BE1E6F"/>
    <w:rsid w:val="00BF4306"/>
    <w:rsid w:val="00C008B2"/>
    <w:rsid w:val="00C471A8"/>
    <w:rsid w:val="00C51332"/>
    <w:rsid w:val="00C613F4"/>
    <w:rsid w:val="00C63519"/>
    <w:rsid w:val="00C95861"/>
    <w:rsid w:val="00CB287C"/>
    <w:rsid w:val="00CD2E44"/>
    <w:rsid w:val="00CE01E1"/>
    <w:rsid w:val="00CE743D"/>
    <w:rsid w:val="00CF266A"/>
    <w:rsid w:val="00D252AD"/>
    <w:rsid w:val="00DB41D6"/>
    <w:rsid w:val="00E0664A"/>
    <w:rsid w:val="00E21E06"/>
    <w:rsid w:val="00E2327C"/>
    <w:rsid w:val="00E23E27"/>
    <w:rsid w:val="00E2604A"/>
    <w:rsid w:val="00E3682C"/>
    <w:rsid w:val="00E44CE8"/>
    <w:rsid w:val="00E468A5"/>
    <w:rsid w:val="00E65FD1"/>
    <w:rsid w:val="00E71DAB"/>
    <w:rsid w:val="00E81501"/>
    <w:rsid w:val="00E8299E"/>
    <w:rsid w:val="00E830B5"/>
    <w:rsid w:val="00EC3E72"/>
    <w:rsid w:val="00EC6393"/>
    <w:rsid w:val="00ED4D08"/>
    <w:rsid w:val="00F07CC1"/>
    <w:rsid w:val="00F40696"/>
    <w:rsid w:val="00F46C48"/>
    <w:rsid w:val="00F5282C"/>
    <w:rsid w:val="00F652F9"/>
    <w:rsid w:val="00F72E72"/>
    <w:rsid w:val="00FB130B"/>
    <w:rsid w:val="00FE149B"/>
    <w:rsid w:val="0A242AE2"/>
    <w:rsid w:val="1A650058"/>
    <w:rsid w:val="1B4161D1"/>
    <w:rsid w:val="1F94633F"/>
    <w:rsid w:val="287242BA"/>
    <w:rsid w:val="2B8F5142"/>
    <w:rsid w:val="377B8A07"/>
    <w:rsid w:val="3A68554F"/>
    <w:rsid w:val="43FED3BE"/>
    <w:rsid w:val="45E34873"/>
    <w:rsid w:val="46A7C7D9"/>
    <w:rsid w:val="498574FD"/>
    <w:rsid w:val="4F073222"/>
    <w:rsid w:val="535B44C8"/>
    <w:rsid w:val="548F3531"/>
    <w:rsid w:val="57A2092F"/>
    <w:rsid w:val="5950414C"/>
    <w:rsid w:val="5BCF290F"/>
    <w:rsid w:val="5EF82071"/>
    <w:rsid w:val="60372964"/>
    <w:rsid w:val="60C237DB"/>
    <w:rsid w:val="61034535"/>
    <w:rsid w:val="61B62522"/>
    <w:rsid w:val="641F37DF"/>
    <w:rsid w:val="66E97FF2"/>
    <w:rsid w:val="67F6BBFA"/>
    <w:rsid w:val="6DE2739D"/>
    <w:rsid w:val="73582E85"/>
    <w:rsid w:val="74FD770A"/>
    <w:rsid w:val="75815A8F"/>
    <w:rsid w:val="7A9D1826"/>
    <w:rsid w:val="7C66770A"/>
    <w:rsid w:val="7D1C5301"/>
    <w:rsid w:val="CFF329B1"/>
    <w:rsid w:val="DBFDD05E"/>
    <w:rsid w:val="E78D8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eastAsia="宋体"/>
      <w:szCs w:val="21"/>
    </w:rPr>
  </w:style>
  <w:style w:type="paragraph" w:styleId="3">
    <w:name w:val="index 8"/>
    <w:basedOn w:val="1"/>
    <w:next w:val="1"/>
    <w:qFormat/>
    <w:uiPriority w:val="0"/>
    <w:pPr>
      <w:ind w:left="1400" w:leftChars="1400"/>
    </w:pPr>
    <w:rPr>
      <w:rFonts w:ascii="Calibri" w:hAnsi="Calibri" w:eastAsia="宋体"/>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qFormat/>
    <w:uiPriority w:val="99"/>
    <w:rPr>
      <w:sz w:val="18"/>
      <w:szCs w:val="18"/>
    </w:rPr>
  </w:style>
  <w:style w:type="character" w:customStyle="1" w:styleId="12">
    <w:name w:val="页脚 字符"/>
    <w:basedOn w:val="10"/>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GZJ</Company>
  <Pages>22</Pages>
  <Words>2710</Words>
  <Characters>15450</Characters>
  <Lines>128</Lines>
  <Paragraphs>36</Paragraphs>
  <TotalTime>16</TotalTime>
  <ScaleCrop>false</ScaleCrop>
  <LinksUpToDate>false</LinksUpToDate>
  <CharactersWithSpaces>18124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2023-06-28T02:26:00Z</dcterms:created>
  <dc:creator>于海璁</dc:creator>
  <cp:lastModifiedBy>caizi</cp:lastModifiedBy>
  <dcterms:modified xsi:type="dcterms:W3CDTF">2023-07-07T16:43:02Z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DBA555D0677E47B3FF71A6649EDBAC66</vt:lpwstr>
  </property>
</Properties>
</file>