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黑体" w:hAnsi="黑体" w:eastAsia="黑体"/>
          <w:b w:val="0"/>
          <w:bCs/>
          <w:color w:val="000000" w:themeColor="text1"/>
          <w:sz w:val="32"/>
          <w:szCs w:val="32"/>
          <w:lang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附件</w:t>
      </w:r>
      <w:r>
        <w:rPr>
          <w:rFonts w:hint="eastAsia" w:ascii="黑体" w:hAnsi="黑体" w:eastAsia="黑体"/>
          <w:b w:val="0"/>
          <w:bCs/>
          <w:color w:val="000000" w:themeColor="text1"/>
          <w:sz w:val="32"/>
          <w:szCs w:val="32"/>
          <w:lang w:val="en-US" w:eastAsia="zh-CN"/>
          <w14:textFill>
            <w14:solidFill>
              <w14:schemeClr w14:val="tx1"/>
            </w14:solidFill>
          </w14:textFill>
        </w:rPr>
        <w:t>2</w:t>
      </w:r>
      <w:bookmarkStart w:id="0" w:name="_GoBack"/>
      <w:bookmarkEnd w:id="0"/>
      <w:r>
        <w:rPr>
          <w:rFonts w:hint="eastAsia" w:ascii="黑体" w:hAnsi="黑体" w:eastAsia="黑体"/>
          <w:b w:val="0"/>
          <w:bCs/>
          <w:color w:val="000000" w:themeColor="text1"/>
          <w:sz w:val="32"/>
          <w:szCs w:val="32"/>
          <w:lang w:val="en-US" w:eastAsia="zh-CN"/>
          <w14:textFill>
            <w14:solidFill>
              <w14:schemeClr w14:val="tx1"/>
            </w14:solidFill>
          </w14:textFill>
        </w:rPr>
        <w:t>：</w:t>
      </w:r>
    </w:p>
    <w:p>
      <w:pPr>
        <w:jc w:val="both"/>
        <w:outlineLvl w:val="0"/>
        <w:rPr>
          <w:rFonts w:hint="eastAsia" w:ascii="方正小标宋简体" w:hAnsi="宋体" w:eastAsia="方正小标宋简体"/>
          <w:color w:val="000000" w:themeColor="text1"/>
          <w:sz w:val="32"/>
          <w:szCs w:val="32"/>
          <w14:textFill>
            <w14:solidFill>
              <w14:schemeClr w14:val="tx1"/>
            </w14:solidFill>
          </w14:textFill>
        </w:rPr>
      </w:pPr>
    </w:p>
    <w:p>
      <w:pPr>
        <w:jc w:val="center"/>
        <w:outlineLvl w:val="0"/>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深圳市建设用地开工竣工管理办法（修</w:t>
      </w:r>
      <w:r>
        <w:rPr>
          <w:rFonts w:hint="eastAsia" w:ascii="方正小标宋简体" w:hAnsi="宋体" w:eastAsia="方正小标宋简体"/>
          <w:color w:val="000000" w:themeColor="text1"/>
          <w:sz w:val="44"/>
          <w:szCs w:val="44"/>
          <w:lang w:eastAsia="zh-CN"/>
          <w14:textFill>
            <w14:solidFill>
              <w14:schemeClr w14:val="tx1"/>
            </w14:solidFill>
          </w14:textFill>
        </w:rPr>
        <w:t>订</w:t>
      </w:r>
      <w:r>
        <w:rPr>
          <w:rFonts w:hint="eastAsia" w:ascii="方正小标宋简体" w:hAnsi="宋体" w:eastAsia="方正小标宋简体"/>
          <w:color w:val="000000" w:themeColor="text1"/>
          <w:sz w:val="44"/>
          <w:szCs w:val="44"/>
          <w14:textFill>
            <w14:solidFill>
              <w14:schemeClr w14:val="tx1"/>
            </w14:solidFill>
          </w14:textFill>
        </w:rPr>
        <w:t>稿）</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第一条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目的及</w:t>
      </w:r>
      <w:r>
        <w:rPr>
          <w:rFonts w:hint="eastAsia" w:ascii="黑体" w:hAnsi="黑体" w:eastAsia="黑体"/>
          <w:color w:val="000000" w:themeColor="text1"/>
          <w:sz w:val="32"/>
          <w:szCs w:val="32"/>
          <w:lang w:val="en-US" w:eastAsia="zh-CN"/>
          <w14:textFill>
            <w14:solidFill>
              <w14:schemeClr w14:val="tx1"/>
            </w14:solidFill>
          </w14:textFill>
        </w:rPr>
        <w:t>原则</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为加强土地供应批后监管，规范建设用地开工、竣工管理，提高土地利用效率，遵循“以用为先、依法进行、分类处理、节约集约”的原则，制定本办法。</w:t>
      </w:r>
    </w:p>
    <w:p>
      <w:pPr>
        <w:ind w:firstLine="645"/>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二</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定义</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本办法所称开工，是指土地使用权人依法取得施工许可证后，需挖深基坑的项目，基坑开挖完毕；使用桩基的项目，打入所有基础桩；其他项目，地基施工完成三分之一。保障性安居工程开工按照保障性住房建设相关规定执行。</w:t>
      </w:r>
    </w:p>
    <w:p>
      <w:pPr>
        <w:ind w:firstLine="645"/>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本办法所称竣工，是指</w:t>
      </w:r>
      <w:r>
        <w:rPr>
          <w:rFonts w:hint="eastAsia" w:ascii="仿宋_GB2312" w:eastAsia="仿宋_GB2312"/>
          <w:b w:val="0"/>
          <w:bCs w:val="0"/>
          <w:color w:val="000000" w:themeColor="text1"/>
          <w:sz w:val="32"/>
          <w:szCs w:val="32"/>
          <w14:textFill>
            <w14:solidFill>
              <w14:schemeClr w14:val="tx1"/>
            </w14:solidFill>
          </w14:textFill>
        </w:rPr>
        <w:t>土地使用权人</w:t>
      </w:r>
      <w:r>
        <w:rPr>
          <w:rFonts w:hint="eastAsia" w:ascii="仿宋_GB2312" w:eastAsia="仿宋_GB2312"/>
          <w:color w:val="000000" w:themeColor="text1"/>
          <w:sz w:val="32"/>
          <w:szCs w:val="32"/>
          <w14:textFill>
            <w14:solidFill>
              <w14:schemeClr w14:val="tx1"/>
            </w14:solidFill>
          </w14:textFill>
        </w:rPr>
        <w:t>依法取得整宗地</w:t>
      </w:r>
      <w:r>
        <w:rPr>
          <w:rFonts w:hint="default" w:ascii="仿宋_GB2312" w:eastAsia="仿宋_GB2312"/>
          <w:color w:val="000000" w:themeColor="text1"/>
          <w:sz w:val="32"/>
          <w:szCs w:val="32"/>
          <w14:textFill>
            <w14:solidFill>
              <w14:schemeClr w14:val="tx1"/>
            </w14:solidFill>
          </w14:textFill>
        </w:rPr>
        <w:t>的</w:t>
      </w:r>
      <w:r>
        <w:rPr>
          <w:rFonts w:hint="default" w:ascii="仿宋_GB2312" w:eastAsia="仿宋_GB2312"/>
          <w:color w:val="000000" w:themeColor="text1"/>
          <w:sz w:val="32"/>
          <w:szCs w:val="32"/>
          <w:lang w:val="en"/>
          <w14:textFill>
            <w14:solidFill>
              <w14:schemeClr w14:val="tx1"/>
            </w14:solidFill>
          </w14:textFill>
        </w:rPr>
        <w:t>规划条件核实或</w:t>
      </w:r>
      <w:r>
        <w:rPr>
          <w:rFonts w:hint="eastAsia" w:ascii="仿宋_GB2312" w:eastAsia="仿宋_GB2312"/>
          <w:b w:val="0"/>
          <w:bCs w:val="0"/>
          <w:color w:val="000000" w:themeColor="text1"/>
          <w:sz w:val="32"/>
          <w:szCs w:val="32"/>
          <w:lang w:val="en-US" w:eastAsia="zh-CN"/>
          <w14:textFill>
            <w14:solidFill>
              <w14:schemeClr w14:val="tx1"/>
            </w14:solidFill>
          </w14:textFill>
        </w:rPr>
        <w:t>竣工验收</w:t>
      </w:r>
      <w:r>
        <w:rPr>
          <w:rFonts w:hint="default" w:ascii="仿宋_GB2312" w:eastAsia="仿宋_GB2312"/>
          <w:b w:val="0"/>
          <w:bCs w:val="0"/>
          <w:color w:val="000000" w:themeColor="text1"/>
          <w:sz w:val="32"/>
          <w:szCs w:val="32"/>
          <w:lang w:val="en" w:eastAsia="zh-CN"/>
          <w14:textFill>
            <w14:solidFill>
              <w14:schemeClr w14:val="tx1"/>
            </w14:solidFill>
          </w14:textFill>
        </w:rPr>
        <w:t>备案相关证明</w:t>
      </w:r>
      <w:r>
        <w:rPr>
          <w:rFonts w:hint="eastAsia" w:ascii="仿宋_GB2312" w:eastAsia="仿宋_GB2312"/>
          <w:b w:val="0"/>
          <w:bCs w:val="0"/>
          <w:color w:val="000000" w:themeColor="text1"/>
          <w:sz w:val="32"/>
          <w:szCs w:val="32"/>
          <w:lang w:val="en-US" w:eastAsia="zh-CN"/>
          <w14:textFill>
            <w14:solidFill>
              <w14:schemeClr w14:val="tx1"/>
            </w14:solidFill>
          </w14:textFill>
        </w:rPr>
        <w:t>文件</w:t>
      </w:r>
      <w:r>
        <w:rPr>
          <w:rFonts w:hint="eastAsia" w:ascii="仿宋_GB2312" w:eastAsia="仿宋_GB2312"/>
          <w:b w:val="0"/>
          <w:bCs w:val="0"/>
          <w:color w:val="000000" w:themeColor="text1"/>
          <w:sz w:val="32"/>
          <w:szCs w:val="32"/>
          <w:lang w:eastAsia="zh-CN"/>
          <w14:textFill>
            <w14:solidFill>
              <w14:schemeClr w14:val="tx1"/>
            </w14:solidFill>
          </w14:textFill>
        </w:rPr>
        <w:t>。</w:t>
      </w:r>
    </w:p>
    <w:p>
      <w:pPr>
        <w:ind w:firstLine="645"/>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三</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【适用范围】</w:t>
      </w:r>
      <w:r>
        <w:rPr>
          <w:rFonts w:hint="eastAsia" w:ascii="仿宋_GB2312" w:eastAsia="仿宋_GB2312"/>
          <w:color w:val="000000" w:themeColor="text1"/>
          <w:sz w:val="32"/>
          <w:szCs w:val="32"/>
          <w14:textFill>
            <w14:solidFill>
              <w14:schemeClr w14:val="tx1"/>
            </w14:solidFill>
          </w14:textFill>
        </w:rPr>
        <w:t>本办法适用于已取得</w:t>
      </w:r>
      <w:r>
        <w:rPr>
          <w:rFonts w:hint="eastAsia" w:ascii="仿宋_GB2312" w:eastAsia="仿宋_GB2312"/>
          <w:color w:val="000000" w:themeColor="text1"/>
          <w:sz w:val="32"/>
          <w:szCs w:val="32"/>
          <w:lang w:val="en-US" w:eastAsia="zh-CN"/>
          <w14:textFill>
            <w14:solidFill>
              <w14:schemeClr w14:val="tx1"/>
            </w14:solidFill>
          </w14:textFill>
        </w:rPr>
        <w:t>国有土地使用权</w:t>
      </w:r>
      <w:r>
        <w:rPr>
          <w:rFonts w:hint="eastAsia" w:ascii="仿宋_GB2312" w:eastAsia="仿宋_GB2312"/>
          <w:color w:val="000000" w:themeColor="text1"/>
          <w:sz w:val="32"/>
          <w:szCs w:val="32"/>
          <w14:textFill>
            <w14:solidFill>
              <w14:schemeClr w14:val="tx1"/>
            </w14:solidFill>
          </w14:textFill>
        </w:rPr>
        <w:t>划拨决定书</w:t>
      </w:r>
      <w:r>
        <w:rPr>
          <w:rFonts w:hint="eastAsia" w:ascii="仿宋_GB2312" w:eastAsia="仿宋_GB2312"/>
          <w:color w:val="000000" w:themeColor="text1"/>
          <w:sz w:val="32"/>
          <w:szCs w:val="32"/>
          <w:lang w:val="en-US" w:eastAsia="zh-CN"/>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已签订</w:t>
      </w:r>
      <w:r>
        <w:rPr>
          <w:rFonts w:hint="eastAsia" w:ascii="仿宋_GB2312" w:eastAsia="仿宋_GB2312"/>
          <w:color w:val="000000" w:themeColor="text1"/>
          <w:sz w:val="32"/>
          <w:szCs w:val="32"/>
          <w:lang w:val="en-US" w:eastAsia="zh-CN"/>
          <w14:textFill>
            <w14:solidFill>
              <w14:schemeClr w14:val="tx1"/>
            </w14:solidFill>
          </w14:textFill>
        </w:rPr>
        <w:t>国有土地</w:t>
      </w:r>
      <w:r>
        <w:rPr>
          <w:rFonts w:hint="eastAsia" w:ascii="仿宋_GB2312" w:eastAsia="仿宋_GB2312"/>
          <w:color w:val="000000" w:themeColor="text1"/>
          <w:sz w:val="32"/>
          <w:szCs w:val="32"/>
          <w14:textFill>
            <w14:solidFill>
              <w14:schemeClr w14:val="tx1"/>
            </w14:solidFill>
          </w14:textFill>
        </w:rPr>
        <w:t>使用权出让合同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租赁合同、作价出资（入股）合同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以下简称供应合同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的建设用地开工、竣工管理。</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政府投资类项目用地的开工、竣工延期按照本办法有关规定办理。</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四</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开工竣工期限</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根据项目用地性质、建筑高度和建筑规模的不同，对划拨和出让用地的开工、竣工期限作如下规定。</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（一）主体功能为住房类建设项目应在划拨决定书签发之日或</w:t>
      </w:r>
      <w:r>
        <w:rPr>
          <w:rFonts w:hint="eastAsia" w:ascii="仿宋_GB2312" w:eastAsia="仿宋_GB2312"/>
          <w:color w:val="000000" w:themeColor="text1"/>
          <w:sz w:val="32"/>
          <w:szCs w:val="32"/>
          <w:lang w:val="en-US"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合同签订之日起1年内开工建设，</w:t>
      </w:r>
      <w:r>
        <w:rPr>
          <w:rFonts w:ascii="仿宋_GB2312" w:eastAsia="仿宋_GB2312"/>
          <w:color w:val="000000" w:themeColor="text1"/>
          <w:sz w:val="32"/>
          <w:szCs w:val="32"/>
          <w14:textFill>
            <w14:solidFill>
              <w14:schemeClr w14:val="tx1"/>
            </w14:solidFill>
          </w14:textFill>
        </w:rPr>
        <w:t>自</w:t>
      </w:r>
      <w:r>
        <w:rPr>
          <w:rFonts w:hint="eastAsia" w:ascii="仿宋_GB2312" w:eastAsia="仿宋_GB2312"/>
          <w:color w:val="000000" w:themeColor="text1"/>
          <w:sz w:val="32"/>
          <w:szCs w:val="32"/>
          <w14:textFill>
            <w14:solidFill>
              <w14:schemeClr w14:val="tx1"/>
            </w14:solidFill>
          </w14:textFill>
        </w:rPr>
        <w:t>划拨决定书签发之日或</w:t>
      </w:r>
      <w:r>
        <w:rPr>
          <w:rFonts w:hint="eastAsia" w:ascii="仿宋_GB2312" w:eastAsia="仿宋_GB2312"/>
          <w:color w:val="000000" w:themeColor="text1"/>
          <w:sz w:val="32"/>
          <w:szCs w:val="32"/>
          <w:lang w:val="en-US"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合同签订</w:t>
      </w:r>
      <w:r>
        <w:rPr>
          <w:rFonts w:ascii="仿宋_GB2312" w:eastAsia="仿宋_GB2312"/>
          <w:color w:val="000000" w:themeColor="text1"/>
          <w:sz w:val="32"/>
          <w:szCs w:val="32"/>
          <w14:textFill>
            <w14:solidFill>
              <w14:schemeClr w14:val="tx1"/>
            </w14:solidFill>
          </w14:textFill>
        </w:rPr>
        <w:t>之日起</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年内竣工</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（二）主体功能为非住房类建设项目的开工、竣工期限按下表规则确定。</w:t>
      </w:r>
      <w:r>
        <w:rPr>
          <w:rFonts w:hint="eastAsia" w:ascii="仿宋_GB2312" w:eastAsia="仿宋_GB2312"/>
          <w:color w:val="000000" w:themeColor="text1"/>
          <w:sz w:val="32"/>
          <w:szCs w:val="32"/>
          <w:lang w:val="en-US" w:eastAsia="zh-CN"/>
          <w14:textFill>
            <w14:solidFill>
              <w14:schemeClr w14:val="tx1"/>
            </w14:solidFill>
          </w14:textFill>
        </w:rPr>
        <w:t>其中，</w:t>
      </w:r>
      <w:r>
        <w:rPr>
          <w:rFonts w:hint="eastAsia" w:ascii="仿宋_GB2312" w:eastAsia="仿宋_GB2312"/>
          <w:color w:val="000000" w:themeColor="text1"/>
          <w:sz w:val="32"/>
          <w:szCs w:val="32"/>
          <w14:textFill>
            <w14:solidFill>
              <w14:schemeClr w14:val="tx1"/>
            </w14:solidFill>
          </w14:textFill>
        </w:rPr>
        <w:t>建设项目地下室≥3层的，其开工日期可再延长6个月，竣工期限相应顺延。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12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建筑高度（H）</w:t>
            </w:r>
          </w:p>
        </w:tc>
        <w:tc>
          <w:tcPr>
            <w:tcW w:w="2124"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建筑面积（L）</w:t>
            </w:r>
          </w:p>
        </w:tc>
        <w:tc>
          <w:tcPr>
            <w:tcW w:w="1914"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开工期限（年内）</w:t>
            </w:r>
          </w:p>
        </w:tc>
        <w:tc>
          <w:tcPr>
            <w:tcW w:w="1914"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竣工期限（年内）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H≤100m</w:t>
            </w: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L≤5万m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5万m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&lt;L≤10万m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H＞100m</w:t>
            </w: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L≤5万m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5万m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&lt;L≤10万m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r>
    </w:tbl>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*表格所称开工期限、竣工期限，均自划拨决定书签发之日或</w:t>
      </w:r>
      <w:r>
        <w:rPr>
          <w:rFonts w:hint="eastAsia" w:ascii="宋体" w:hAnsi="宋体"/>
          <w:color w:val="000000" w:themeColor="text1"/>
          <w:szCs w:val="21"/>
          <w:lang w:eastAsia="zh-CN"/>
          <w14:textFill>
            <w14:solidFill>
              <w14:schemeClr w14:val="tx1"/>
            </w14:solidFill>
          </w14:textFill>
        </w:rPr>
        <w:t>供应合同</w:t>
      </w:r>
      <w:r>
        <w:rPr>
          <w:rFonts w:hint="eastAsia" w:ascii="宋体" w:hAnsi="宋体"/>
          <w:color w:val="000000" w:themeColor="text1"/>
          <w:szCs w:val="21"/>
          <w14:textFill>
            <w14:solidFill>
              <w14:schemeClr w14:val="tx1"/>
            </w14:solidFill>
          </w14:textFill>
        </w:rPr>
        <w:t>签订之日起算。</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主体功能为非住房类</w:t>
      </w:r>
      <w:r>
        <w:rPr>
          <w:rFonts w:hint="eastAsia" w:ascii="仿宋_GB2312" w:eastAsia="仿宋_GB2312"/>
          <w:color w:val="000000" w:themeColor="text1"/>
          <w:sz w:val="32"/>
          <w:szCs w:val="32"/>
          <w:lang w:val="en-US" w:eastAsia="zh-CN"/>
          <w14:textFill>
            <w14:solidFill>
              <w14:schemeClr w14:val="tx1"/>
            </w14:solidFill>
          </w14:textFill>
        </w:rPr>
        <w:t>但含居住功能的</w:t>
      </w:r>
      <w:r>
        <w:rPr>
          <w:rFonts w:hint="eastAsia" w:ascii="仿宋_GB2312" w:eastAsia="仿宋_GB2312"/>
          <w:color w:val="000000" w:themeColor="text1"/>
          <w:sz w:val="32"/>
          <w:szCs w:val="32"/>
          <w14:textFill>
            <w14:solidFill>
              <w14:schemeClr w14:val="tx1"/>
            </w14:solidFill>
          </w14:textFill>
        </w:rPr>
        <w:t>建设项目</w:t>
      </w:r>
      <w:r>
        <w:rPr>
          <w:rFonts w:hint="eastAsia" w:ascii="仿宋_GB2312" w:eastAsia="仿宋_GB2312"/>
          <w:color w:val="000000" w:themeColor="text1"/>
          <w:sz w:val="32"/>
          <w:szCs w:val="32"/>
          <w:lang w:val="en-US" w:eastAsia="zh-CN"/>
          <w14:textFill>
            <w14:solidFill>
              <w14:schemeClr w14:val="tx1"/>
            </w14:solidFill>
          </w14:textFill>
        </w:rPr>
        <w:t>，居住部分开工、竣工期限按第（一）款规定执行，其他部分按上表执行。</w:t>
      </w:r>
    </w:p>
    <w:p>
      <w:pPr>
        <w:numPr>
          <w:ilvl w:val="-1"/>
          <w:numId w:val="0"/>
        </w:num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建设项目竣工前</w:t>
      </w:r>
      <w:r>
        <w:rPr>
          <w:rFonts w:hint="eastAsia" w:ascii="仿宋_GB2312" w:eastAsia="仿宋_GB2312"/>
          <w:color w:val="000000" w:themeColor="text1"/>
          <w:sz w:val="32"/>
          <w:szCs w:val="32"/>
          <w14:textFill>
            <w14:solidFill>
              <w14:schemeClr w14:val="tx1"/>
            </w14:solidFill>
          </w14:textFill>
        </w:rPr>
        <w:t>经批准提高容积率（增加建筑面积，下同）</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按总建筑面积参照上表重新核定</w:t>
      </w:r>
      <w:r>
        <w:rPr>
          <w:rFonts w:hint="eastAsia" w:ascii="仿宋_GB2312" w:eastAsia="仿宋_GB2312"/>
          <w:color w:val="000000" w:themeColor="text1"/>
          <w:sz w:val="32"/>
          <w:szCs w:val="32"/>
          <w:highlight w:val="none"/>
          <w:lang w:val="en-US" w:eastAsia="zh-CN"/>
          <w14:textFill>
            <w14:solidFill>
              <w14:schemeClr w14:val="tx1"/>
            </w14:solidFill>
          </w14:textFill>
        </w:rPr>
        <w:t>开</w:t>
      </w:r>
      <w:r>
        <w:rPr>
          <w:rFonts w:hint="eastAsia" w:ascii="仿宋_GB2312" w:eastAsia="仿宋_GB2312"/>
          <w:color w:val="000000" w:themeColor="text1"/>
          <w:sz w:val="32"/>
          <w:szCs w:val="32"/>
          <w:highlight w:val="none"/>
          <w14:textFill>
            <w14:solidFill>
              <w14:schemeClr w14:val="tx1"/>
            </w14:solidFill>
          </w14:textFill>
        </w:rPr>
        <w:t>竣工</w:t>
      </w:r>
      <w:r>
        <w:rPr>
          <w:rFonts w:hint="eastAsia" w:ascii="仿宋_GB2312" w:eastAsia="仿宋_GB2312"/>
          <w:color w:val="000000" w:themeColor="text1"/>
          <w:sz w:val="32"/>
          <w:szCs w:val="32"/>
          <w14:textFill>
            <w14:solidFill>
              <w14:schemeClr w14:val="tx1"/>
            </w14:solidFill>
          </w14:textFill>
        </w:rPr>
        <w:t>期限</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开工期限自原划拨决定书签发之日或供应合同签订之日起算</w:t>
      </w:r>
      <w:r>
        <w:rPr>
          <w:rFonts w:hint="eastAsia" w:ascii="仿宋_GB2312" w:eastAsia="仿宋_GB2312"/>
          <w:color w:val="000000" w:themeColor="text1"/>
          <w:sz w:val="32"/>
          <w:szCs w:val="32"/>
          <w14:textFill>
            <w14:solidFill>
              <w14:schemeClr w14:val="tx1"/>
            </w14:solidFill>
          </w14:textFill>
        </w:rPr>
        <w:t>；在项目竣工后经批准提高容积率的，增加部分建筑面积按上表核定竣工期限</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开工期限自补充协议签订之日起算</w:t>
      </w:r>
      <w:r>
        <w:rPr>
          <w:rFonts w:hint="eastAsia" w:ascii="仿宋_GB2312" w:eastAsia="仿宋_GB2312"/>
          <w:color w:val="000000" w:themeColor="text1"/>
          <w:sz w:val="32"/>
          <w:szCs w:val="32"/>
          <w14:textFill>
            <w14:solidFill>
              <w14:schemeClr w14:val="tx1"/>
            </w14:solidFill>
          </w14:textFill>
        </w:rPr>
        <w:t>。涉及</w:t>
      </w:r>
      <w:r>
        <w:rPr>
          <w:rFonts w:hint="eastAsia" w:ascii="仿宋_GB2312" w:eastAsia="仿宋_GB2312"/>
          <w:color w:val="000000" w:themeColor="text1"/>
          <w:sz w:val="32"/>
          <w:szCs w:val="32"/>
          <w:lang w:val="en-US" w:eastAsia="zh-CN"/>
          <w14:textFill>
            <w14:solidFill>
              <w14:schemeClr w14:val="tx1"/>
            </w14:solidFill>
          </w14:textFill>
        </w:rPr>
        <w:t>开</w:t>
      </w:r>
      <w:r>
        <w:rPr>
          <w:rFonts w:hint="eastAsia" w:ascii="仿宋_GB2312" w:eastAsia="仿宋_GB2312"/>
          <w:color w:val="000000" w:themeColor="text1"/>
          <w:sz w:val="32"/>
          <w:szCs w:val="32"/>
          <w14:textFill>
            <w14:solidFill>
              <w14:schemeClr w14:val="tx1"/>
            </w14:solidFill>
          </w14:textFill>
        </w:rPr>
        <w:t>竣工逾期</w:t>
      </w:r>
      <w:r>
        <w:rPr>
          <w:rFonts w:hint="eastAsia" w:ascii="仿宋_GB2312" w:eastAsia="仿宋_GB2312"/>
          <w:color w:val="000000" w:themeColor="text1"/>
          <w:sz w:val="32"/>
          <w:szCs w:val="32"/>
          <w:lang w:val="en-US" w:eastAsia="zh-CN"/>
          <w14:textFill>
            <w14:solidFill>
              <w14:schemeClr w14:val="tx1"/>
            </w14:solidFill>
          </w14:textFill>
        </w:rPr>
        <w:t>或闲置土地</w:t>
      </w:r>
      <w:r>
        <w:rPr>
          <w:rFonts w:hint="eastAsia" w:ascii="仿宋_GB2312" w:eastAsia="仿宋_GB2312"/>
          <w:color w:val="000000" w:themeColor="text1"/>
          <w:sz w:val="32"/>
          <w:szCs w:val="32"/>
          <w14:textFill>
            <w14:solidFill>
              <w14:schemeClr w14:val="tx1"/>
            </w14:solidFill>
          </w14:textFill>
        </w:rPr>
        <w:t>的，应先按</w:t>
      </w:r>
      <w:r>
        <w:rPr>
          <w:rFonts w:hint="eastAsia" w:ascii="仿宋_GB2312" w:eastAsia="仿宋_GB2312"/>
          <w:color w:val="000000" w:themeColor="text1"/>
          <w:sz w:val="32"/>
          <w:szCs w:val="32"/>
          <w:lang w:val="en-US" w:eastAsia="zh-CN"/>
          <w14:textFill>
            <w14:solidFill>
              <w14:schemeClr w14:val="tx1"/>
            </w14:solidFill>
          </w14:textFill>
        </w:rPr>
        <w:t>规定处置完毕</w:t>
      </w:r>
      <w:r>
        <w:rPr>
          <w:rFonts w:hint="eastAsia" w:ascii="仿宋_GB2312" w:eastAsia="仿宋_GB2312"/>
          <w:color w:val="000000" w:themeColor="text1"/>
          <w:sz w:val="32"/>
          <w:szCs w:val="32"/>
          <w14:textFill>
            <w14:solidFill>
              <w14:schemeClr w14:val="tx1"/>
            </w14:solidFill>
          </w14:textFill>
        </w:rPr>
        <w:t>。</w:t>
      </w:r>
    </w:p>
    <w:p>
      <w:pPr>
        <w:numPr>
          <w:ilvl w:val="-1"/>
          <w:numId w:val="0"/>
        </w:num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（三）</w:t>
      </w:r>
      <w:r>
        <w:rPr>
          <w:rFonts w:hint="default" w:ascii="仿宋_GB2312" w:eastAsia="仿宋_GB2312"/>
          <w:color w:val="000000" w:themeColor="text1"/>
          <w:sz w:val="32"/>
          <w:szCs w:val="32"/>
          <w14:textFill>
            <w14:solidFill>
              <w14:schemeClr w14:val="tx1"/>
            </w14:solidFill>
          </w14:textFill>
        </w:rPr>
        <w:t>线性工程（道路、综合管廊等）用地应在</w:t>
      </w:r>
      <w:r>
        <w:rPr>
          <w:rFonts w:hint="default" w:ascii="仿宋_GB2312" w:eastAsia="仿宋_GB2312"/>
          <w:color w:val="000000" w:themeColor="text1"/>
          <w:sz w:val="32"/>
          <w:szCs w:val="32"/>
          <w:highlight w:val="none"/>
          <w14:textFill>
            <w14:solidFill>
              <w14:schemeClr w14:val="tx1"/>
            </w14:solidFill>
          </w14:textFill>
        </w:rPr>
        <w:t>划拨决定书签发之日或</w:t>
      </w:r>
      <w:r>
        <w:rPr>
          <w:rFonts w:hint="eastAsia" w:ascii="仿宋_GB2312" w:eastAsia="仿宋_GB2312"/>
          <w:color w:val="000000" w:themeColor="text1"/>
          <w:sz w:val="32"/>
          <w:szCs w:val="32"/>
          <w:highlight w:val="none"/>
          <w:lang w:eastAsia="zh-CN"/>
          <w14:textFill>
            <w14:solidFill>
              <w14:schemeClr w14:val="tx1"/>
            </w14:solidFill>
          </w14:textFill>
        </w:rPr>
        <w:t>供应合同</w:t>
      </w:r>
      <w:r>
        <w:rPr>
          <w:rFonts w:hint="default" w:ascii="仿宋_GB2312" w:eastAsia="仿宋_GB2312"/>
          <w:color w:val="000000" w:themeColor="text1"/>
          <w:sz w:val="32"/>
          <w:szCs w:val="32"/>
          <w:highlight w:val="none"/>
          <w14:textFill>
            <w14:solidFill>
              <w14:schemeClr w14:val="tx1"/>
            </w14:solidFill>
          </w14:textFill>
        </w:rPr>
        <w:t>签订之日起1年内</w:t>
      </w:r>
      <w:r>
        <w:rPr>
          <w:rFonts w:hint="default" w:ascii="仿宋_GB2312" w:eastAsia="仿宋_GB2312"/>
          <w:color w:val="000000" w:themeColor="text1"/>
          <w:sz w:val="32"/>
          <w:szCs w:val="32"/>
          <w14:textFill>
            <w14:solidFill>
              <w14:schemeClr w14:val="tx1"/>
            </w14:solidFill>
          </w14:textFill>
        </w:rPr>
        <w:t>开工建设，</w:t>
      </w:r>
      <w:r>
        <w:rPr>
          <w:rFonts w:hint="eastAsia" w:ascii="仿宋_GB2312" w:eastAsia="仿宋_GB2312"/>
          <w:color w:val="000000" w:themeColor="text1"/>
          <w:sz w:val="32"/>
          <w:szCs w:val="32"/>
          <w:lang w:val="en-US" w:eastAsia="zh-CN"/>
          <w14:textFill>
            <w14:solidFill>
              <w14:schemeClr w14:val="tx1"/>
            </w14:solidFill>
          </w14:textFill>
        </w:rPr>
        <w:t>竣工时间按照项目可行性研究报告论证阶段发改部门</w:t>
      </w:r>
      <w:r>
        <w:rPr>
          <w:rFonts w:hint="eastAsia" w:ascii="仿宋_GB2312" w:eastAsia="仿宋_GB2312"/>
          <w:color w:val="000000" w:themeColor="text1"/>
          <w:sz w:val="32"/>
          <w:szCs w:val="32"/>
          <w14:textFill>
            <w14:solidFill>
              <w14:schemeClr w14:val="tx1"/>
            </w14:solidFill>
          </w14:textFill>
        </w:rPr>
        <w:t>批复的</w:t>
      </w:r>
      <w:r>
        <w:rPr>
          <w:rFonts w:hint="eastAsia" w:ascii="仿宋_GB2312" w:eastAsia="仿宋_GB2312"/>
          <w:color w:val="000000" w:themeColor="text1"/>
          <w:sz w:val="32"/>
          <w:szCs w:val="32"/>
          <w:lang w:val="en-US" w:eastAsia="zh-CN"/>
          <w14:textFill>
            <w14:solidFill>
              <w14:schemeClr w14:val="tx1"/>
            </w14:solidFill>
          </w14:textFill>
        </w:rPr>
        <w:t>建设周期确定。</w:t>
      </w:r>
    </w:p>
    <w:p>
      <w:pPr>
        <w:numPr>
          <w:ilvl w:val="0"/>
          <w:numId w:val="0"/>
        </w:num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除住房类建设项目外，</w:t>
      </w:r>
      <w:r>
        <w:rPr>
          <w:rFonts w:hint="eastAsia" w:ascii="仿宋_GB2312" w:eastAsia="仿宋_GB2312"/>
          <w:color w:val="000000" w:themeColor="text1"/>
          <w:sz w:val="32"/>
          <w:szCs w:val="32"/>
          <w14:textFill>
            <w14:solidFill>
              <w14:schemeClr w14:val="tx1"/>
            </w14:solidFill>
          </w14:textFill>
        </w:rPr>
        <w:t>出让用地存在地质条件特别复杂等其他特殊情形的，土地使用权出让方组织论证后，可对用地的开工、竣工期限再另行规定、约定</w:t>
      </w:r>
      <w:r>
        <w:rPr>
          <w:rFonts w:hint="eastAsia" w:ascii="仿宋_GB2312" w:eastAsia="仿宋_GB2312"/>
          <w:color w:val="000000" w:themeColor="text1"/>
          <w:sz w:val="32"/>
          <w:szCs w:val="32"/>
          <w:lang w:eastAsia="zh-CN"/>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五</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权利义务</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土地使用权人应当在项目开发建设期间，及时向土地使用权出让方报告项目开工、建设进度、竣工等情况。土地使用权人确实无法按划拨决定书或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的规定、约定按时开工、竣工的，可按照本办法申请延长开工、竣工期限，并对不能按时开工、竣工原因进行说明并举证。</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六</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政府原因</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政府、政府有关部门行为的原因（非土地使用权人自身原因）包括：</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（一）因未按划拨决定书或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规定、约定的期限、条件将土地交付给土地使用权人，致使项目无法按时开工、竣工的；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（二）因土地利用总体规划、城乡规划依法修改，造成土地使用权人不能按划拨决定书或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规定、约定的用途、规划和建设条件按时开工、竣工的；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（三）因政府出台相关政策，需要对规定、约定的规划和建设条件进行修订的；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（四）因处置土地上相关群众信访事项等无法按时开工、竣工的；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（五）因军事管制、文化保护等无法按时开工、竣工的；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（六）政府、政府有关部门对特定区域或特殊类型的建设项目开发建设有其他强制性要求及其他行为，致使项目无法按时开工、竣工的。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val="en-US" w:eastAsia="zh-CN"/>
          <w14:textFill>
            <w14:solidFill>
              <w14:schemeClr w14:val="tx1"/>
            </w14:solidFill>
          </w14:textFill>
        </w:rPr>
        <w:t>疫情、</w:t>
      </w:r>
      <w:r>
        <w:rPr>
          <w:rFonts w:hint="eastAsia" w:ascii="仿宋_GB2312" w:eastAsia="仿宋_GB2312"/>
          <w:color w:val="000000" w:themeColor="text1"/>
          <w:sz w:val="32"/>
          <w:szCs w:val="32"/>
          <w14:textFill>
            <w14:solidFill>
              <w14:schemeClr w14:val="tx1"/>
            </w14:solidFill>
          </w14:textFill>
        </w:rPr>
        <w:t>自然灾害等不可抗力导致无法开工、竣工的，按照前款规定办理。</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七</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政府原因确认程序</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土地使用权人主张无法按时开工、竣工属本办法第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条规定原因的，应当提供原因说明材料和市、区主管部门出具的书面证明。书面证明应如实说明对地块施工的实际影响及影响的期间。</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区主管部门按各自职责分工出具影响开工、竣工的书面证明。其中：属市级部门职责权限的，由市级主管部门出具书面证明；属区级部门职责权限的，由区级主管部门出具书面证明。因情况特殊或职权划分不清的，可报请区政府（新区管委会）协调或指定有关部门出具书面证明。</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八</w:t>
      </w:r>
      <w:r>
        <w:rPr>
          <w:rFonts w:hint="eastAsia" w:ascii="黑体" w:hAnsi="黑体" w:eastAsia="黑体"/>
          <w:b w:val="0"/>
          <w:bCs/>
          <w:color w:val="000000" w:themeColor="text1"/>
          <w:sz w:val="32"/>
          <w:szCs w:val="32"/>
          <w14:textFill>
            <w14:solidFill>
              <w14:schemeClr w14:val="tx1"/>
            </w14:solidFill>
          </w14:textFill>
        </w:rPr>
        <w:t>条</w:t>
      </w:r>
      <w:r>
        <w:rPr>
          <w:rStyle w:val="11"/>
          <w:rFonts w:hint="eastAsia" w:ascii="仿宋_GB2312" w:eastAsia="仿宋_GB2312"/>
          <w:b w:val="0"/>
          <w:bCs/>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政府原因的延期处理</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因本办法第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条规定情形导致建设项目用地不能按时开工或竣工，土地使用权人申请延长开工、竣工期限的，土地使用权出让方应对未按时开工、竣工的原因进行认定</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认定后按程序办理延期手续，签订补充协议重新约定开工、竣工期限。如土地使用权人对认定结果提出异议或存在其他特殊情形的，由土地使用权出让方报区政府（新区管委会）审定。</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按前款规定延长开工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竣工</w:t>
      </w:r>
      <w:r>
        <w:rPr>
          <w:rFonts w:hint="eastAsia" w:ascii="仿宋_GB2312" w:eastAsia="仿宋_GB2312"/>
          <w:color w:val="000000" w:themeColor="text1"/>
          <w:sz w:val="32"/>
          <w:szCs w:val="32"/>
          <w14:textFill>
            <w14:solidFill>
              <w14:schemeClr w14:val="tx1"/>
            </w14:solidFill>
          </w14:textFill>
        </w:rPr>
        <w:t>期限的，不计收违约金，每次延期不得超过1年。</w:t>
      </w:r>
      <w:r>
        <w:rPr>
          <w:rFonts w:hint="eastAsia" w:ascii="仿宋_GB2312" w:eastAsia="仿宋_GB2312"/>
          <w:color w:val="000000" w:themeColor="text1"/>
          <w:sz w:val="32"/>
          <w:szCs w:val="32"/>
          <w:lang w:val="en-US" w:eastAsia="zh-CN"/>
          <w14:textFill>
            <w14:solidFill>
              <w14:schemeClr w14:val="tx1"/>
            </w14:solidFill>
          </w14:textFill>
        </w:rPr>
        <w:t>延长开工期限的，</w:t>
      </w:r>
      <w:r>
        <w:rPr>
          <w:rFonts w:hint="eastAsia" w:ascii="仿宋_GB2312" w:eastAsia="仿宋_GB2312"/>
          <w:color w:val="000000" w:themeColor="text1"/>
          <w:sz w:val="32"/>
          <w:szCs w:val="32"/>
          <w14:textFill>
            <w14:solidFill>
              <w14:schemeClr w14:val="tx1"/>
            </w14:solidFill>
          </w14:textFill>
        </w:rPr>
        <w:t>竣工期限相应顺延</w:t>
      </w:r>
      <w:r>
        <w:rPr>
          <w:rFonts w:hint="eastAsia" w:ascii="仿宋_GB2312" w:eastAsia="仿宋_GB2312"/>
          <w:color w:val="000000" w:themeColor="text1"/>
          <w:sz w:val="32"/>
          <w:szCs w:val="32"/>
          <w:lang w:eastAsia="zh-CN"/>
          <w14:textFill>
            <w14:solidFill>
              <w14:schemeClr w14:val="tx1"/>
            </w14:solidFill>
          </w14:textFill>
        </w:rPr>
        <w:t>。</w:t>
      </w:r>
    </w:p>
    <w:p>
      <w:pPr>
        <w:ind w:firstLine="640" w:firstLineChars="200"/>
        <w:rPr>
          <w:rFonts w:ascii="仿宋_GB2312" w:eastAsia="仿宋_GB2312"/>
          <w:color w:val="000000" w:themeColor="text1"/>
          <w:sz w:val="32"/>
          <w:szCs w:val="32"/>
          <w:highlight w:val="yellow"/>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九</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企业原因的延期处理</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除本办法第</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条规定情形外，土地使用权人应当在划拨决定书或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的规定、约定期限内按时开工，开工期限不予延期。超过规定、约定的开工期限未动工开发造成土地闲置的，按照闲置土地相关规定处理。</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土地使用权人申请竣工延期的，应在竣工期届满前3个月内提出申请，并按申请延长竣工的期限缴纳违约金。违约金标准为每延长</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个月，按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合同有偿使用价款的</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14:textFill>
            <w14:solidFill>
              <w14:schemeClr w14:val="tx1"/>
            </w14:solidFill>
          </w14:textFill>
        </w:rPr>
        <w:t>计收；不足</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个月的，</w:t>
      </w:r>
      <w:r>
        <w:rPr>
          <w:rFonts w:hint="eastAsia" w:ascii="仿宋_GB2312" w:eastAsia="仿宋_GB2312"/>
          <w:color w:val="000000" w:themeColor="text1"/>
          <w:sz w:val="32"/>
          <w:szCs w:val="32"/>
          <w:highlight w:val="none"/>
          <w14:textFill>
            <w14:solidFill>
              <w14:schemeClr w14:val="tx1"/>
            </w14:solidFill>
          </w14:textFill>
        </w:rPr>
        <w:t>按</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个月计算</w:t>
      </w:r>
      <w:r>
        <w:rPr>
          <w:rFonts w:hint="eastAsia" w:ascii="仿宋_GB2312" w:eastAsia="仿宋_GB2312"/>
          <w:color w:val="000000" w:themeColor="text1"/>
          <w:sz w:val="32"/>
          <w:szCs w:val="32"/>
          <w14:textFill>
            <w14:solidFill>
              <w14:schemeClr w14:val="tx1"/>
            </w14:solidFill>
          </w14:textFill>
        </w:rPr>
        <w:t>。申请延期只可延期1次且最长不得超过2年。因</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自身原因造成土地闲置经处置后延长竣工期限的，不能因</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自身原因再次申请竣工延期。土地使用权人按规定缴纳违约金后，竣工期限按原</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约定的竣工期限顺延。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土地使用权人未申请竣工延期但实际竣工逾期的，逾期2年以内按照前款规定标准缴纳违约金。逾期满2年（含2年）的，土地使用权出让方可按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w:t>
      </w:r>
      <w:r>
        <w:rPr>
          <w:rFonts w:hint="eastAsia" w:ascii="仿宋_GB2312" w:eastAsia="仿宋_GB2312"/>
          <w:color w:val="000000" w:themeColor="text1"/>
          <w:sz w:val="32"/>
          <w:szCs w:val="32"/>
          <w:lang w:eastAsia="zh-CN"/>
          <w14:textFill>
            <w14:solidFill>
              <w14:schemeClr w14:val="tx1"/>
            </w14:solidFill>
          </w14:textFill>
        </w:rPr>
        <w:t>有偿使用价款</w:t>
      </w:r>
      <w:r>
        <w:rPr>
          <w:rFonts w:hint="eastAsia" w:ascii="仿宋_GB2312" w:eastAsia="仿宋_GB2312"/>
          <w:color w:val="000000" w:themeColor="text1"/>
          <w:sz w:val="32"/>
          <w:szCs w:val="32"/>
          <w14:textFill>
            <w14:solidFill>
              <w14:schemeClr w14:val="tx1"/>
            </w14:solidFill>
          </w14:textFill>
        </w:rPr>
        <w:t>的20%计收违约金，如实际逾期期限按照前款规定测算应缴纳违约金的比例高于20%的，按实际测算的比例计收；也可以按划拨决定书或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的规定、约定无偿收回土地使用权及地上建筑物、附着物。</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土地使用权人缴清违约金后，由土地使用权出让方办理延长竣工期限的手续，签订补充协议重新约定竣工期限。</w:t>
      </w:r>
    </w:p>
    <w:p>
      <w:pPr>
        <w:numPr>
          <w:ilvl w:val="0"/>
          <w:numId w:val="0"/>
        </w:num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十</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b w:val="0"/>
          <w:color w:val="000000" w:themeColor="text1"/>
          <w14:textFill>
            <w14:solidFill>
              <w14:schemeClr w14:val="tx1"/>
            </w14:solidFill>
          </w14:textFill>
        </w:rPr>
        <w:t>违约金计收基数</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竣工违约计收违约金应以</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为依据。</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约定以土地出让金为基数计收的，</w:t>
      </w:r>
      <w:r>
        <w:rPr>
          <w:rFonts w:hint="eastAsia" w:ascii="仿宋_GB2312" w:eastAsia="仿宋_GB2312"/>
          <w:color w:val="000000" w:themeColor="text1"/>
          <w:sz w:val="32"/>
          <w:szCs w:val="32"/>
          <w:lang w:eastAsia="zh-CN"/>
          <w14:textFill>
            <w14:solidFill>
              <w14:schemeClr w14:val="tx1"/>
            </w14:solidFill>
          </w14:textFill>
        </w:rPr>
        <w:t>供应合同有明确</w:t>
      </w:r>
      <w:r>
        <w:rPr>
          <w:rFonts w:hint="eastAsia" w:ascii="仿宋_GB2312" w:eastAsia="仿宋_GB2312"/>
          <w:color w:val="000000" w:themeColor="text1"/>
          <w:sz w:val="32"/>
          <w:szCs w:val="32"/>
          <w14:textFill>
            <w14:solidFill>
              <w14:schemeClr w14:val="tx1"/>
            </w14:solidFill>
          </w14:textFill>
        </w:rPr>
        <w:t>土地出让金</w:t>
      </w:r>
      <w:r>
        <w:rPr>
          <w:rFonts w:hint="eastAsia" w:ascii="仿宋_GB2312" w:eastAsia="仿宋_GB2312"/>
          <w:color w:val="000000" w:themeColor="text1"/>
          <w:sz w:val="32"/>
          <w:szCs w:val="32"/>
          <w:lang w:eastAsia="zh-CN"/>
          <w14:textFill>
            <w14:solidFill>
              <w14:schemeClr w14:val="tx1"/>
            </w14:solidFill>
          </w14:textFill>
        </w:rPr>
        <w:t>的，违约基数</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供应合同约定的土地出让金</w:t>
      </w:r>
      <w:r>
        <w:rPr>
          <w:rFonts w:hint="eastAsia" w:ascii="仿宋_GB2312" w:eastAsia="仿宋_GB2312"/>
          <w:color w:val="000000" w:themeColor="text1"/>
          <w:sz w:val="32"/>
          <w:szCs w:val="32"/>
          <w14:textFill>
            <w14:solidFill>
              <w14:schemeClr w14:val="tx1"/>
            </w14:solidFill>
          </w14:textFill>
        </w:rPr>
        <w:t>确定</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未</w:t>
      </w:r>
      <w:r>
        <w:rPr>
          <w:rFonts w:hint="eastAsia" w:ascii="仿宋_GB2312" w:eastAsia="仿宋_GB2312"/>
          <w:color w:val="000000" w:themeColor="text1"/>
          <w:sz w:val="32"/>
          <w:szCs w:val="32"/>
          <w:lang w:eastAsia="zh-CN"/>
          <w14:textFill>
            <w14:solidFill>
              <w14:schemeClr w14:val="tx1"/>
            </w14:solidFill>
          </w14:textFill>
        </w:rPr>
        <w:t>明确土地</w:t>
      </w:r>
      <w:r>
        <w:rPr>
          <w:rFonts w:hint="eastAsia" w:ascii="仿宋_GB2312" w:eastAsia="仿宋_GB2312"/>
          <w:color w:val="000000" w:themeColor="text1"/>
          <w:sz w:val="32"/>
          <w:szCs w:val="32"/>
          <w14:textFill>
            <w14:solidFill>
              <w14:schemeClr w14:val="tx1"/>
            </w14:solidFill>
          </w14:textFill>
        </w:rPr>
        <w:t>出让金的，土地出让金按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w:t>
      </w:r>
      <w:r>
        <w:rPr>
          <w:rFonts w:hint="eastAsia" w:ascii="仿宋_GB2312" w:eastAsia="仿宋_GB2312"/>
          <w:color w:val="000000" w:themeColor="text1"/>
          <w:sz w:val="32"/>
          <w:szCs w:val="32"/>
          <w:lang w:eastAsia="zh-CN"/>
          <w14:textFill>
            <w14:solidFill>
              <w14:schemeClr w14:val="tx1"/>
            </w14:solidFill>
          </w14:textFill>
        </w:rPr>
        <w:t>有偿使用</w:t>
      </w:r>
      <w:r>
        <w:rPr>
          <w:rFonts w:hint="eastAsia" w:ascii="仿宋_GB2312" w:eastAsia="仿宋_GB2312"/>
          <w:color w:val="000000" w:themeColor="text1"/>
          <w:sz w:val="32"/>
          <w:szCs w:val="32"/>
          <w14:textFill>
            <w14:solidFill>
              <w14:schemeClr w14:val="tx1"/>
            </w14:solidFill>
          </w14:textFill>
        </w:rPr>
        <w:t>价款的15%确定</w:t>
      </w:r>
      <w:r>
        <w:rPr>
          <w:rFonts w:hint="eastAsia" w:ascii="仿宋_GB2312" w:eastAsia="仿宋_GB2312"/>
          <w:color w:val="000000" w:themeColor="text1"/>
          <w:sz w:val="32"/>
          <w:szCs w:val="32"/>
          <w:lang w:eastAsia="zh-CN"/>
          <w14:textFill>
            <w14:solidFill>
              <w14:schemeClr w14:val="tx1"/>
            </w14:solidFill>
          </w14:textFill>
        </w:rPr>
        <w:t>。供应合同约定以有偿使用价款为基数计收的</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违约基数</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w:t>
      </w:r>
      <w:r>
        <w:rPr>
          <w:rFonts w:hint="eastAsia" w:ascii="仿宋_GB2312" w:eastAsia="仿宋_GB2312"/>
          <w:color w:val="000000" w:themeColor="text1"/>
          <w:sz w:val="32"/>
          <w:szCs w:val="32"/>
          <w:lang w:eastAsia="zh-CN"/>
          <w14:textFill>
            <w14:solidFill>
              <w14:schemeClr w14:val="tx1"/>
            </w14:solidFill>
          </w14:textFill>
        </w:rPr>
        <w:t>约定的有偿使用</w:t>
      </w:r>
      <w:r>
        <w:rPr>
          <w:rFonts w:hint="eastAsia" w:ascii="仿宋_GB2312" w:eastAsia="仿宋_GB2312"/>
          <w:color w:val="000000" w:themeColor="text1"/>
          <w:sz w:val="32"/>
          <w:szCs w:val="32"/>
          <w14:textFill>
            <w14:solidFill>
              <w14:schemeClr w14:val="tx1"/>
            </w14:solidFill>
          </w14:textFill>
        </w:rPr>
        <w:t>价</w:t>
      </w:r>
      <w:r>
        <w:rPr>
          <w:rFonts w:hint="eastAsia" w:ascii="仿宋_GB2312" w:eastAsia="仿宋_GB2312"/>
          <w:color w:val="000000" w:themeColor="text1"/>
          <w:sz w:val="32"/>
          <w:szCs w:val="32"/>
          <w:lang w:eastAsia="zh-CN"/>
          <w14:textFill>
            <w14:solidFill>
              <w14:schemeClr w14:val="tx1"/>
            </w14:solidFill>
          </w14:textFill>
        </w:rPr>
        <w:t>款</w:t>
      </w:r>
      <w:r>
        <w:rPr>
          <w:rFonts w:hint="eastAsia" w:ascii="仿宋_GB2312" w:eastAsia="仿宋_GB2312"/>
          <w:color w:val="000000" w:themeColor="text1"/>
          <w:sz w:val="32"/>
          <w:szCs w:val="32"/>
          <w14:textFill>
            <w14:solidFill>
              <w14:schemeClr w14:val="tx1"/>
            </w14:solidFill>
          </w14:textFill>
        </w:rPr>
        <w:t>确定</w:t>
      </w:r>
      <w:r>
        <w:rPr>
          <w:rFonts w:hint="eastAsia" w:ascii="仿宋_GB2312"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建设项目竣工前提高容积率的，竣工违约以整宗地的地价（包括提高容积率前的地价和提高容积率后补缴的地价）作为基</w:t>
      </w:r>
    </w:p>
    <w:p>
      <w:pPr>
        <w:ind w:firstLine="0" w:firstLineChars="0"/>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数计收违约金；建设项目竣工后提高容积率的，竣工违约以提高</w:t>
      </w:r>
    </w:p>
    <w:p>
      <w:pPr>
        <w:ind w:firstLine="0" w:firstLineChars="0"/>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容积率</w:t>
      </w:r>
      <w:r>
        <w:rPr>
          <w:rFonts w:hint="eastAsia" w:ascii="仿宋_GB2312" w:eastAsia="仿宋_GB2312"/>
          <w:color w:val="000000" w:themeColor="text1"/>
          <w:sz w:val="32"/>
          <w:szCs w:val="32"/>
          <w:lang w:val="en-US" w:eastAsia="zh-CN"/>
          <w14:textFill>
            <w14:solidFill>
              <w14:schemeClr w14:val="tx1"/>
            </w14:solidFill>
          </w14:textFill>
        </w:rPr>
        <w:t>补缴</w:t>
      </w:r>
      <w:r>
        <w:rPr>
          <w:rFonts w:hint="default" w:ascii="仿宋_GB2312" w:eastAsia="仿宋_GB2312"/>
          <w:color w:val="000000" w:themeColor="text1"/>
          <w:sz w:val="32"/>
          <w:szCs w:val="32"/>
          <w:lang w:val="en-US" w:eastAsia="zh-CN"/>
          <w14:textFill>
            <w14:solidFill>
              <w14:schemeClr w14:val="tx1"/>
            </w14:solidFill>
          </w14:textFill>
        </w:rPr>
        <w:t>的地价作为基数计收违约金。</w:t>
      </w:r>
    </w:p>
    <w:p>
      <w:pPr>
        <w:numPr>
          <w:ilvl w:val="-1"/>
          <w:numId w:val="0"/>
        </w:num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十一</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分期开发</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规定、约定分期开发建设并规定、约定了各分期的竣工期限的，竣工延期的违约责任按划拨决定书或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规定、约定分别确定逾期竣工的期限和面积。划拨决定书或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未规定、约定分期开发建设</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，以整宗地竣工的时间确定逾期竣工的期限</w:t>
      </w:r>
      <w:r>
        <w:rPr>
          <w:rFonts w:hint="eastAsia" w:ascii="仿宋_GB2312" w:eastAsia="仿宋_GB2312"/>
          <w:color w:val="000000" w:themeColor="text1"/>
          <w:sz w:val="32"/>
          <w:szCs w:val="32"/>
          <w:lang w:val="en-US" w:eastAsia="zh-CN"/>
          <w14:textFill>
            <w14:solidFill>
              <w14:schemeClr w14:val="tx1"/>
            </w14:solidFill>
          </w14:textFill>
        </w:rPr>
        <w:t>。</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第十</w:t>
      </w:r>
      <w:r>
        <w:rPr>
          <w:rFonts w:hint="eastAsia" w:ascii="黑体" w:hAnsi="黑体" w:eastAsia="黑体"/>
          <w:b w:val="0"/>
          <w:bCs/>
          <w:color w:val="000000" w:themeColor="text1"/>
          <w:sz w:val="32"/>
          <w:szCs w:val="32"/>
          <w:lang w:val="en-US" w:eastAsia="zh-CN"/>
          <w14:textFill>
            <w14:solidFill>
              <w14:schemeClr w14:val="tx1"/>
            </w14:solidFill>
          </w14:textFill>
        </w:rPr>
        <w:t>二</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规划</w:t>
      </w:r>
      <w:r>
        <w:rPr>
          <w:rStyle w:val="11"/>
          <w:rFonts w:hint="default" w:ascii="Arial"/>
          <w:b w:val="0"/>
          <w:bCs/>
          <w:color w:val="000000" w:themeColor="text1"/>
          <w:lang w:val="en"/>
          <w14:textFill>
            <w14:solidFill>
              <w14:schemeClr w14:val="tx1"/>
            </w14:solidFill>
          </w14:textFill>
        </w:rPr>
        <w:t>条件</w:t>
      </w:r>
      <w:r>
        <w:rPr>
          <w:rStyle w:val="11"/>
          <w:rFonts w:hint="eastAsia"/>
          <w:b w:val="0"/>
          <w:bCs/>
          <w:color w:val="000000" w:themeColor="text1"/>
          <w:lang w:val="en-US"/>
          <w14:textFill>
            <w14:solidFill>
              <w14:schemeClr w14:val="tx1"/>
            </w14:solidFill>
          </w14:textFill>
        </w:rPr>
        <w:t>核实</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政府有关部门在受理土地使用权人申请办理</w:t>
      </w:r>
      <w:r>
        <w:rPr>
          <w:rFonts w:hint="eastAsia" w:ascii="仿宋_GB2312" w:eastAsia="仿宋_GB2312"/>
          <w:color w:val="000000" w:themeColor="text1"/>
          <w:sz w:val="32"/>
          <w:szCs w:val="32"/>
          <w:lang w:val="en-US" w:eastAsia="zh-CN"/>
          <w14:textFill>
            <w14:solidFill>
              <w14:schemeClr w14:val="tx1"/>
            </w14:solidFill>
          </w14:textFill>
        </w:rPr>
        <w:t>整宗地</w:t>
      </w:r>
      <w:r>
        <w:rPr>
          <w:rFonts w:hint="eastAsia" w:ascii="仿宋_GB2312" w:eastAsia="仿宋_GB2312"/>
          <w:color w:val="000000" w:themeColor="text1"/>
          <w:sz w:val="32"/>
          <w:szCs w:val="32"/>
          <w14:textFill>
            <w14:solidFill>
              <w14:schemeClr w14:val="tx1"/>
            </w14:solidFill>
          </w14:textFill>
        </w:rPr>
        <w:t>建设工程规划验收手续</w:t>
      </w:r>
      <w:r>
        <w:rPr>
          <w:rFonts w:hint="eastAsia" w:ascii="仿宋_GB2312" w:eastAsia="仿宋_GB2312"/>
          <w:color w:val="000000" w:themeColor="text1"/>
          <w:sz w:val="32"/>
          <w:szCs w:val="32"/>
          <w:lang w:val="en-US" w:eastAsia="zh-CN"/>
          <w14:textFill>
            <w14:solidFill>
              <w14:schemeClr w14:val="tx1"/>
            </w14:solidFill>
          </w14:textFill>
        </w:rPr>
        <w:t>或分期开发建设的最后一期规划验收手续</w:t>
      </w:r>
      <w:r>
        <w:rPr>
          <w:rFonts w:hint="eastAsia" w:ascii="仿宋_GB2312" w:eastAsia="仿宋_GB2312"/>
          <w:color w:val="000000" w:themeColor="text1"/>
          <w:sz w:val="32"/>
          <w:szCs w:val="32"/>
          <w14:textFill>
            <w14:solidFill>
              <w14:schemeClr w14:val="tx1"/>
            </w14:solidFill>
          </w14:textFill>
        </w:rPr>
        <w:t>时，应核查申请用地是否在划拨决定书或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规定、约定的竣工期限内竣工。逾期竣工的，受理部门应告知土地使用权人在办理延长土地竣工期限手续后，方可办理有关规划和用地手续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按最后一次规划验收的时点计收违约金</w:t>
      </w:r>
      <w:r>
        <w:rPr>
          <w:rFonts w:hint="eastAsia" w:ascii="仿宋_GB2312" w:eastAsia="仿宋_GB2312"/>
          <w:color w:val="000000" w:themeColor="text1"/>
          <w:sz w:val="32"/>
          <w:szCs w:val="32"/>
          <w:lang w:val="en-US" w:eastAsia="zh-CN"/>
          <w14:textFill>
            <w14:solidFill>
              <w14:schemeClr w14:val="tx1"/>
            </w14:solidFill>
          </w14:textFill>
        </w:rPr>
        <w:t>。规划验收面积小于合同约定面积的，应在规划验收后按实际规划验收的用地面积及建筑指标签订补充协议。</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highlight w:val="none"/>
          <w14:textFill>
            <w14:solidFill>
              <w14:schemeClr w14:val="tx1"/>
            </w14:solidFill>
          </w14:textFill>
        </w:rPr>
        <w:t>第十</w:t>
      </w:r>
      <w:r>
        <w:rPr>
          <w:rFonts w:hint="eastAsia" w:ascii="黑体" w:hAnsi="黑体" w:eastAsia="黑体"/>
          <w:b w:val="0"/>
          <w:bCs/>
          <w:color w:val="000000" w:themeColor="text1"/>
          <w:sz w:val="32"/>
          <w:szCs w:val="32"/>
          <w:highlight w:val="none"/>
          <w:lang w:val="en-US" w:eastAsia="zh-CN"/>
          <w14:textFill>
            <w14:solidFill>
              <w14:schemeClr w14:val="tx1"/>
            </w14:solidFill>
          </w14:textFill>
        </w:rPr>
        <w:t>三</w:t>
      </w:r>
      <w:r>
        <w:rPr>
          <w:rFonts w:hint="eastAsia" w:ascii="黑体" w:hAnsi="黑体" w:eastAsia="黑体"/>
          <w:b w:val="0"/>
          <w:bCs/>
          <w:color w:val="000000" w:themeColor="text1"/>
          <w:sz w:val="32"/>
          <w:szCs w:val="32"/>
          <w:highlight w:val="none"/>
          <w14:textFill>
            <w14:solidFill>
              <w14:schemeClr w14:val="tx1"/>
            </w14:solidFill>
          </w14:textFill>
        </w:rPr>
        <w:t>条</w:t>
      </w:r>
      <w:r>
        <w:rPr>
          <w:rStyle w:val="11"/>
          <w:rFonts w:hint="eastAsia" w:ascii="仿宋_GB2312" w:eastAsia="仿宋_GB2312"/>
          <w:b w:val="0"/>
          <w:bCs/>
          <w:color w:val="000000" w:themeColor="text1"/>
          <w:sz w:val="32"/>
          <w:szCs w:val="32"/>
          <w:highlight w:val="none"/>
          <w14:textFill>
            <w14:solidFill>
              <w14:schemeClr w14:val="tx1"/>
            </w14:solidFill>
          </w14:textFill>
        </w:rPr>
        <w:t xml:space="preserve"> </w:t>
      </w:r>
      <w:r>
        <w:rPr>
          <w:rStyle w:val="11"/>
          <w:b w:val="0"/>
          <w:bCs/>
          <w:color w:val="000000" w:themeColor="text1"/>
          <w:highlight w:val="none"/>
          <w14:textFill>
            <w14:solidFill>
              <w14:schemeClr w14:val="tx1"/>
            </w14:solidFill>
          </w14:textFill>
        </w:rPr>
        <w:t>【</w:t>
      </w:r>
      <w:r>
        <w:rPr>
          <w:rStyle w:val="11"/>
          <w:rFonts w:hint="eastAsia"/>
          <w:b w:val="0"/>
          <w:bCs/>
          <w:color w:val="000000" w:themeColor="text1"/>
          <w:highlight w:val="none"/>
          <w:lang w:val="en-US"/>
          <w14:textFill>
            <w14:solidFill>
              <w14:schemeClr w14:val="tx1"/>
            </w14:solidFill>
          </w14:textFill>
        </w:rPr>
        <w:t>监管职责</w:t>
      </w:r>
      <w:r>
        <w:rPr>
          <w:rStyle w:val="11"/>
          <w:b w:val="0"/>
          <w:bCs/>
          <w:color w:val="000000" w:themeColor="text1"/>
          <w:highlight w:val="none"/>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为切实加强建设用地供后开发利用监管，土地使用权出让方应进一步做好预警提醒工作，通过现场核查、闲置土地处置、竣工验收、开发建设进度跟踪管理等手段，构建土地利用全过程动态监管机制。</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第十</w:t>
      </w:r>
      <w:r>
        <w:rPr>
          <w:rFonts w:hint="eastAsia" w:ascii="黑体" w:hAnsi="黑体" w:eastAsia="黑体"/>
          <w:b w:val="0"/>
          <w:bCs/>
          <w:color w:val="000000" w:themeColor="text1"/>
          <w:sz w:val="32"/>
          <w:szCs w:val="32"/>
          <w:lang w:val="en-US" w:eastAsia="zh-CN"/>
          <w14:textFill>
            <w14:solidFill>
              <w14:schemeClr w14:val="tx1"/>
            </w14:solidFill>
          </w14:textFill>
        </w:rPr>
        <w:t>四</w:t>
      </w:r>
      <w:r>
        <w:rPr>
          <w:rFonts w:hint="eastAsia" w:ascii="黑体" w:hAnsi="黑体" w:eastAsia="黑体"/>
          <w:b w:val="0"/>
          <w:bCs/>
          <w:color w:val="000000" w:themeColor="text1"/>
          <w:sz w:val="32"/>
          <w:szCs w:val="32"/>
          <w14:textFill>
            <w14:solidFill>
              <w14:schemeClr w14:val="tx1"/>
            </w14:solidFill>
          </w14:textFill>
        </w:rPr>
        <w:t xml:space="preserve">条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政策衔接</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本办法实施前已签订</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但还未竣工的建设项目，因无法按时竣工申请竣工延期或实际竣工逾期的，违约责任按</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约定执行；</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未约定</w:t>
      </w:r>
      <w:r>
        <w:rPr>
          <w:rFonts w:hint="eastAsia" w:ascii="仿宋_GB2312" w:eastAsia="仿宋_GB2312"/>
          <w:color w:val="000000" w:themeColor="text1"/>
          <w:sz w:val="32"/>
          <w:szCs w:val="32"/>
          <w:lang w:val="en-US" w:eastAsia="zh-CN"/>
          <w14:textFill>
            <w14:solidFill>
              <w14:schemeClr w14:val="tx1"/>
            </w14:solidFill>
          </w14:textFill>
        </w:rPr>
        <w:t>或约定不明</w:t>
      </w:r>
      <w:r>
        <w:rPr>
          <w:rFonts w:hint="eastAsia" w:ascii="仿宋_GB2312" w:eastAsia="仿宋_GB2312"/>
          <w:color w:val="000000" w:themeColor="text1"/>
          <w:sz w:val="32"/>
          <w:szCs w:val="32"/>
          <w14:textFill>
            <w14:solidFill>
              <w14:schemeClr w14:val="tx1"/>
            </w14:solidFill>
          </w14:textFill>
        </w:rPr>
        <w:t>的，按照本办法执行。实际逾期竣工满2年（含2年）的，土地使用权出让方可根据实际情况，与土地使用权人协商一致后，按土地出让金的20%计收违约金</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约定违约责任按合同</w:t>
      </w:r>
      <w:r>
        <w:rPr>
          <w:rFonts w:hint="eastAsia" w:ascii="仿宋_GB2312" w:eastAsia="仿宋_GB2312"/>
          <w:color w:val="000000" w:themeColor="text1"/>
          <w:sz w:val="32"/>
          <w:szCs w:val="32"/>
          <w:lang w:eastAsia="zh-CN"/>
          <w14:textFill>
            <w14:solidFill>
              <w14:schemeClr w14:val="tx1"/>
            </w14:solidFill>
          </w14:textFill>
        </w:rPr>
        <w:t>有偿使用</w:t>
      </w:r>
      <w:r>
        <w:rPr>
          <w:rFonts w:hint="eastAsia" w:ascii="仿宋_GB2312" w:eastAsia="仿宋_GB2312"/>
          <w:color w:val="000000" w:themeColor="text1"/>
          <w:sz w:val="32"/>
          <w:szCs w:val="32"/>
          <w14:textFill>
            <w14:solidFill>
              <w14:schemeClr w14:val="tx1"/>
            </w14:solidFill>
          </w14:textFill>
        </w:rPr>
        <w:t>价款计收的，按合同</w:t>
      </w:r>
      <w:r>
        <w:rPr>
          <w:rFonts w:hint="eastAsia" w:ascii="仿宋_GB2312" w:eastAsia="仿宋_GB2312"/>
          <w:color w:val="000000" w:themeColor="text1"/>
          <w:sz w:val="32"/>
          <w:szCs w:val="32"/>
          <w:lang w:eastAsia="zh-CN"/>
          <w14:textFill>
            <w14:solidFill>
              <w14:schemeClr w14:val="tx1"/>
            </w14:solidFill>
          </w14:textFill>
        </w:rPr>
        <w:t>有偿使用</w:t>
      </w:r>
      <w:r>
        <w:rPr>
          <w:rFonts w:hint="eastAsia" w:ascii="仿宋_GB2312" w:eastAsia="仿宋_GB2312"/>
          <w:color w:val="000000" w:themeColor="text1"/>
          <w:sz w:val="32"/>
          <w:szCs w:val="32"/>
          <w14:textFill>
            <w14:solidFill>
              <w14:schemeClr w14:val="tx1"/>
            </w14:solidFill>
          </w14:textFill>
        </w:rPr>
        <w:t>价款的20%计收违约金</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；也可以按</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约定，无偿收回土地使用权及地上建筑物、附着物。</w:t>
      </w:r>
    </w:p>
    <w:p>
      <w:pPr>
        <w:autoSpaceDE w:val="0"/>
        <w:autoSpaceDN w:val="0"/>
        <w:adjustRightInd w:val="0"/>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第十</w:t>
      </w:r>
      <w:r>
        <w:rPr>
          <w:rFonts w:hint="eastAsia" w:ascii="黑体" w:hAnsi="黑体" w:eastAsia="黑体"/>
          <w:b w:val="0"/>
          <w:bCs/>
          <w:color w:val="000000" w:themeColor="text1"/>
          <w:sz w:val="32"/>
          <w:szCs w:val="32"/>
          <w:lang w:val="en-US" w:eastAsia="zh-CN"/>
          <w14:textFill>
            <w14:solidFill>
              <w14:schemeClr w14:val="tx1"/>
            </w14:solidFill>
          </w14:textFill>
        </w:rPr>
        <w:t>五</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附则</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本办法自发布之日起实施，有效期5年。本办法实施前我市发布的有关规定与本办法不一致的，以本办法规定为准。</w:t>
      </w:r>
    </w:p>
    <w:p>
      <w:pPr>
        <w:autoSpaceDE w:val="0"/>
        <w:autoSpaceDN w:val="0"/>
        <w:adjustRightInd w:val="0"/>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p>
    <w:sectPr>
      <w:footerReference r:id="rId5" w:type="first"/>
      <w:footerReference r:id="rId3" w:type="default"/>
      <w:footerReference r:id="rId4" w:type="even"/>
      <w:pgSz w:w="11906" w:h="16838"/>
      <w:pgMar w:top="2098" w:right="1474" w:bottom="1985" w:left="1588"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仿宋_GB2312"/>
        <w:sz w:val="28"/>
      </w:rPr>
    </w:pPr>
    <w:r>
      <w:rPr>
        <w:rFonts w:ascii="仿宋_GB2312"/>
        <w:kern w:val="0"/>
        <w:sz w:val="28"/>
        <w:szCs w:val="21"/>
      </w:rPr>
      <w:t xml:space="preserve">- </w:t>
    </w:r>
    <w:r>
      <w:rPr>
        <w:rFonts w:ascii="仿宋_GB2312"/>
        <w:kern w:val="0"/>
        <w:sz w:val="28"/>
        <w:szCs w:val="21"/>
      </w:rPr>
      <w:fldChar w:fldCharType="begin"/>
    </w:r>
    <w:r>
      <w:rPr>
        <w:rFonts w:ascii="仿宋_GB2312"/>
        <w:kern w:val="0"/>
        <w:sz w:val="28"/>
        <w:szCs w:val="21"/>
      </w:rPr>
      <w:instrText xml:space="preserve"> PAGE </w:instrText>
    </w:r>
    <w:r>
      <w:rPr>
        <w:rFonts w:ascii="仿宋_GB2312"/>
        <w:kern w:val="0"/>
        <w:sz w:val="28"/>
        <w:szCs w:val="21"/>
      </w:rPr>
      <w:fldChar w:fldCharType="separate"/>
    </w:r>
    <w:r>
      <w:rPr>
        <w:rFonts w:ascii="仿宋_GB2312"/>
        <w:kern w:val="0"/>
        <w:sz w:val="28"/>
        <w:szCs w:val="21"/>
      </w:rPr>
      <w:t>7</w:t>
    </w:r>
    <w:r>
      <w:rPr>
        <w:rFonts w:ascii="仿宋_GB2312"/>
        <w:kern w:val="0"/>
        <w:sz w:val="28"/>
        <w:szCs w:val="21"/>
      </w:rPr>
      <w:fldChar w:fldCharType="end"/>
    </w:r>
    <w:r>
      <w:rPr>
        <w:rFonts w:ascii="仿宋_GB2312"/>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仿宋_GB2312"/>
        <w:sz w:val="28"/>
      </w:rPr>
    </w:pPr>
    <w:r>
      <w:rPr>
        <w:rFonts w:ascii="仿宋_GB2312"/>
        <w:kern w:val="0"/>
        <w:sz w:val="28"/>
        <w:szCs w:val="21"/>
      </w:rPr>
      <w:t xml:space="preserve">- </w:t>
    </w:r>
    <w:r>
      <w:rPr>
        <w:rFonts w:ascii="仿宋_GB2312"/>
        <w:kern w:val="0"/>
        <w:sz w:val="28"/>
        <w:szCs w:val="21"/>
      </w:rPr>
      <w:fldChar w:fldCharType="begin"/>
    </w:r>
    <w:r>
      <w:rPr>
        <w:rFonts w:ascii="仿宋_GB2312"/>
        <w:kern w:val="0"/>
        <w:sz w:val="28"/>
        <w:szCs w:val="21"/>
      </w:rPr>
      <w:instrText xml:space="preserve"> PAGE </w:instrText>
    </w:r>
    <w:r>
      <w:rPr>
        <w:rFonts w:ascii="仿宋_GB2312"/>
        <w:kern w:val="0"/>
        <w:sz w:val="28"/>
        <w:szCs w:val="21"/>
      </w:rPr>
      <w:fldChar w:fldCharType="separate"/>
    </w:r>
    <w:r>
      <w:rPr>
        <w:rFonts w:ascii="仿宋_GB2312"/>
        <w:kern w:val="0"/>
        <w:sz w:val="28"/>
        <w:szCs w:val="21"/>
      </w:rPr>
      <w:t>8</w:t>
    </w:r>
    <w:r>
      <w:rPr>
        <w:rFonts w:ascii="仿宋_GB2312"/>
        <w:kern w:val="0"/>
        <w:sz w:val="28"/>
        <w:szCs w:val="21"/>
      </w:rPr>
      <w:fldChar w:fldCharType="end"/>
    </w:r>
    <w:r>
      <w:rPr>
        <w:rFonts w:ascii="仿宋_GB2312"/>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7"/>
      <w:jc w:val="right"/>
      <w:rPr>
        <w:rFonts w:ascii="仿宋_GB2312"/>
        <w:sz w:val="28"/>
      </w:rPr>
    </w:pPr>
    <w:r>
      <w:rPr>
        <w:rFonts w:ascii="仿宋_GB2312"/>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仿宋_GB2312"/>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91D26"/>
    <w:multiLevelType w:val="multilevel"/>
    <w:tmpl w:val="3A191D26"/>
    <w:lvl w:ilvl="0" w:tentative="0">
      <w:start w:val="1"/>
      <w:numFmt w:val="chineseCountingThousand"/>
      <w:pStyle w:val="2"/>
      <w:lvlText w:val="第%1条 "/>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E31BB"/>
    <w:rsid w:val="001839AC"/>
    <w:rsid w:val="00216279"/>
    <w:rsid w:val="003E31BB"/>
    <w:rsid w:val="00960249"/>
    <w:rsid w:val="00A67415"/>
    <w:rsid w:val="00AB35C0"/>
    <w:rsid w:val="00E328F5"/>
    <w:rsid w:val="010F1DA1"/>
    <w:rsid w:val="01311D17"/>
    <w:rsid w:val="014C4DA3"/>
    <w:rsid w:val="015B3238"/>
    <w:rsid w:val="01F40F97"/>
    <w:rsid w:val="02101892"/>
    <w:rsid w:val="02182489"/>
    <w:rsid w:val="02B01361"/>
    <w:rsid w:val="03125B78"/>
    <w:rsid w:val="035D1A2B"/>
    <w:rsid w:val="03604B36"/>
    <w:rsid w:val="04390170"/>
    <w:rsid w:val="049C1B9D"/>
    <w:rsid w:val="049F53F8"/>
    <w:rsid w:val="04FD0162"/>
    <w:rsid w:val="059E36F3"/>
    <w:rsid w:val="060D24AA"/>
    <w:rsid w:val="066A2FC0"/>
    <w:rsid w:val="071874D5"/>
    <w:rsid w:val="07437260"/>
    <w:rsid w:val="07D24F6B"/>
    <w:rsid w:val="080812F8"/>
    <w:rsid w:val="08425EAC"/>
    <w:rsid w:val="085D7F24"/>
    <w:rsid w:val="08FE4EB4"/>
    <w:rsid w:val="09086540"/>
    <w:rsid w:val="098376DA"/>
    <w:rsid w:val="09E0029E"/>
    <w:rsid w:val="09F63AFE"/>
    <w:rsid w:val="0A726EFC"/>
    <w:rsid w:val="0A8729A8"/>
    <w:rsid w:val="0B2859AD"/>
    <w:rsid w:val="0B897FA5"/>
    <w:rsid w:val="0BAB4DBC"/>
    <w:rsid w:val="0C1D69D7"/>
    <w:rsid w:val="0C22507E"/>
    <w:rsid w:val="0C2E4ABA"/>
    <w:rsid w:val="0CCD3D49"/>
    <w:rsid w:val="0CD45C4C"/>
    <w:rsid w:val="0DA27AF9"/>
    <w:rsid w:val="0E166197"/>
    <w:rsid w:val="0E4E6CFA"/>
    <w:rsid w:val="0EF4624B"/>
    <w:rsid w:val="0F373C44"/>
    <w:rsid w:val="0F6755EC"/>
    <w:rsid w:val="0F7A6F7F"/>
    <w:rsid w:val="10036F74"/>
    <w:rsid w:val="10A2775C"/>
    <w:rsid w:val="115D0906"/>
    <w:rsid w:val="118A44F7"/>
    <w:rsid w:val="11C67690"/>
    <w:rsid w:val="11E3705D"/>
    <w:rsid w:val="12BD0FD5"/>
    <w:rsid w:val="12F80631"/>
    <w:rsid w:val="13315BA7"/>
    <w:rsid w:val="13874CB5"/>
    <w:rsid w:val="142179C9"/>
    <w:rsid w:val="15794927"/>
    <w:rsid w:val="15F555B1"/>
    <w:rsid w:val="17111668"/>
    <w:rsid w:val="17A13219"/>
    <w:rsid w:val="17A451FC"/>
    <w:rsid w:val="17D30CB5"/>
    <w:rsid w:val="17DB2585"/>
    <w:rsid w:val="17FFB527"/>
    <w:rsid w:val="18240EDE"/>
    <w:rsid w:val="18253800"/>
    <w:rsid w:val="18500A65"/>
    <w:rsid w:val="18716994"/>
    <w:rsid w:val="188D1AD1"/>
    <w:rsid w:val="18AC7C87"/>
    <w:rsid w:val="198804EA"/>
    <w:rsid w:val="19A277FE"/>
    <w:rsid w:val="19A46F31"/>
    <w:rsid w:val="1A715A31"/>
    <w:rsid w:val="1ABC48F0"/>
    <w:rsid w:val="1B04202B"/>
    <w:rsid w:val="1B063F6E"/>
    <w:rsid w:val="1B392BF8"/>
    <w:rsid w:val="1B3A157D"/>
    <w:rsid w:val="1B447AD8"/>
    <w:rsid w:val="1B642891"/>
    <w:rsid w:val="1C760ACE"/>
    <w:rsid w:val="1C9827B8"/>
    <w:rsid w:val="1CB74B1B"/>
    <w:rsid w:val="1D61177E"/>
    <w:rsid w:val="1DB45D52"/>
    <w:rsid w:val="1E0A3BC4"/>
    <w:rsid w:val="1E48649A"/>
    <w:rsid w:val="1E535309"/>
    <w:rsid w:val="1E87309B"/>
    <w:rsid w:val="1EE14925"/>
    <w:rsid w:val="1F0B19A2"/>
    <w:rsid w:val="1F132604"/>
    <w:rsid w:val="1FAB713B"/>
    <w:rsid w:val="1FDFC421"/>
    <w:rsid w:val="200C59D1"/>
    <w:rsid w:val="210448FA"/>
    <w:rsid w:val="211F60A6"/>
    <w:rsid w:val="212154AC"/>
    <w:rsid w:val="212270C1"/>
    <w:rsid w:val="21A2142E"/>
    <w:rsid w:val="21C353A0"/>
    <w:rsid w:val="22635651"/>
    <w:rsid w:val="229323DA"/>
    <w:rsid w:val="22DD18A7"/>
    <w:rsid w:val="235D3EFC"/>
    <w:rsid w:val="23C6233B"/>
    <w:rsid w:val="24256991"/>
    <w:rsid w:val="2480698E"/>
    <w:rsid w:val="251B0465"/>
    <w:rsid w:val="25867FD4"/>
    <w:rsid w:val="25A70412"/>
    <w:rsid w:val="25AD37B3"/>
    <w:rsid w:val="26FD3074"/>
    <w:rsid w:val="26FF20C2"/>
    <w:rsid w:val="270D202F"/>
    <w:rsid w:val="270E7C35"/>
    <w:rsid w:val="274509F0"/>
    <w:rsid w:val="277420AE"/>
    <w:rsid w:val="277DCCB5"/>
    <w:rsid w:val="27A00448"/>
    <w:rsid w:val="27CC5A46"/>
    <w:rsid w:val="28210B10"/>
    <w:rsid w:val="28277242"/>
    <w:rsid w:val="283F3172"/>
    <w:rsid w:val="288A1B89"/>
    <w:rsid w:val="28913AA7"/>
    <w:rsid w:val="291F47B2"/>
    <w:rsid w:val="29804D3A"/>
    <w:rsid w:val="2A45603E"/>
    <w:rsid w:val="2A7521A1"/>
    <w:rsid w:val="2A7D127A"/>
    <w:rsid w:val="2AE2704B"/>
    <w:rsid w:val="2AF7102C"/>
    <w:rsid w:val="2B617E7A"/>
    <w:rsid w:val="2BD6309B"/>
    <w:rsid w:val="2BD95A9B"/>
    <w:rsid w:val="2C0B6A6F"/>
    <w:rsid w:val="2C5F157F"/>
    <w:rsid w:val="2C8B7804"/>
    <w:rsid w:val="2C9F3729"/>
    <w:rsid w:val="2F6E2ABF"/>
    <w:rsid w:val="2FC059E0"/>
    <w:rsid w:val="2FE810C8"/>
    <w:rsid w:val="304A5217"/>
    <w:rsid w:val="311C7A3E"/>
    <w:rsid w:val="31302278"/>
    <w:rsid w:val="31903F88"/>
    <w:rsid w:val="31D15433"/>
    <w:rsid w:val="33052544"/>
    <w:rsid w:val="331529E0"/>
    <w:rsid w:val="33BF4737"/>
    <w:rsid w:val="33FB5923"/>
    <w:rsid w:val="343C10FC"/>
    <w:rsid w:val="3454129D"/>
    <w:rsid w:val="349B225B"/>
    <w:rsid w:val="34C53B61"/>
    <w:rsid w:val="34F5162D"/>
    <w:rsid w:val="355B7F36"/>
    <w:rsid w:val="35DE1766"/>
    <w:rsid w:val="35E11A0E"/>
    <w:rsid w:val="360867E3"/>
    <w:rsid w:val="36634FA9"/>
    <w:rsid w:val="3676199F"/>
    <w:rsid w:val="36DA60AE"/>
    <w:rsid w:val="37D35D76"/>
    <w:rsid w:val="37E40B8A"/>
    <w:rsid w:val="38137E16"/>
    <w:rsid w:val="38AF0FB8"/>
    <w:rsid w:val="38DD45AC"/>
    <w:rsid w:val="392C7D40"/>
    <w:rsid w:val="39574312"/>
    <w:rsid w:val="39D3270B"/>
    <w:rsid w:val="39EB4452"/>
    <w:rsid w:val="39F452CD"/>
    <w:rsid w:val="3AB404E0"/>
    <w:rsid w:val="3ADC3D9A"/>
    <w:rsid w:val="3B8221DC"/>
    <w:rsid w:val="3BDF08D7"/>
    <w:rsid w:val="3D08531B"/>
    <w:rsid w:val="3D0C480F"/>
    <w:rsid w:val="3D766728"/>
    <w:rsid w:val="3E300685"/>
    <w:rsid w:val="3E412892"/>
    <w:rsid w:val="3E8927BE"/>
    <w:rsid w:val="3EED0700"/>
    <w:rsid w:val="3F193A6C"/>
    <w:rsid w:val="3F4168C2"/>
    <w:rsid w:val="3F431322"/>
    <w:rsid w:val="3FB9F7A1"/>
    <w:rsid w:val="3FD57736"/>
    <w:rsid w:val="3FFF1AE7"/>
    <w:rsid w:val="40057874"/>
    <w:rsid w:val="401808CF"/>
    <w:rsid w:val="40780A76"/>
    <w:rsid w:val="40AB5F57"/>
    <w:rsid w:val="40BA4B7E"/>
    <w:rsid w:val="40BF2CD3"/>
    <w:rsid w:val="40DD5EB0"/>
    <w:rsid w:val="41BE6C54"/>
    <w:rsid w:val="41EA1493"/>
    <w:rsid w:val="42091919"/>
    <w:rsid w:val="4288213C"/>
    <w:rsid w:val="42ED123B"/>
    <w:rsid w:val="4306692E"/>
    <w:rsid w:val="43070097"/>
    <w:rsid w:val="432D5EDB"/>
    <w:rsid w:val="434A21E9"/>
    <w:rsid w:val="439B566B"/>
    <w:rsid w:val="44953938"/>
    <w:rsid w:val="44A91191"/>
    <w:rsid w:val="45A35BE1"/>
    <w:rsid w:val="45F45C99"/>
    <w:rsid w:val="4645584D"/>
    <w:rsid w:val="46FE3A16"/>
    <w:rsid w:val="4712301E"/>
    <w:rsid w:val="477DB539"/>
    <w:rsid w:val="478657BA"/>
    <w:rsid w:val="478D4D9A"/>
    <w:rsid w:val="47A3011A"/>
    <w:rsid w:val="481538EA"/>
    <w:rsid w:val="48900854"/>
    <w:rsid w:val="4A51014F"/>
    <w:rsid w:val="4ABBB36D"/>
    <w:rsid w:val="4B057A6C"/>
    <w:rsid w:val="4B71616D"/>
    <w:rsid w:val="4BA6642B"/>
    <w:rsid w:val="4C213D03"/>
    <w:rsid w:val="4C3752D5"/>
    <w:rsid w:val="4C580710"/>
    <w:rsid w:val="4C79261D"/>
    <w:rsid w:val="4CCA6149"/>
    <w:rsid w:val="4CD80866"/>
    <w:rsid w:val="4CE17F00"/>
    <w:rsid w:val="4D495FE2"/>
    <w:rsid w:val="4D734307"/>
    <w:rsid w:val="4E1C523E"/>
    <w:rsid w:val="4E1D7913"/>
    <w:rsid w:val="4E1F7674"/>
    <w:rsid w:val="4EA67D4B"/>
    <w:rsid w:val="4F410252"/>
    <w:rsid w:val="4FDF4B40"/>
    <w:rsid w:val="4FFCA66B"/>
    <w:rsid w:val="500D0826"/>
    <w:rsid w:val="503A207C"/>
    <w:rsid w:val="50610B72"/>
    <w:rsid w:val="50A76ECD"/>
    <w:rsid w:val="50BE4216"/>
    <w:rsid w:val="51136310"/>
    <w:rsid w:val="51656440"/>
    <w:rsid w:val="51907961"/>
    <w:rsid w:val="51D77CC7"/>
    <w:rsid w:val="524428FC"/>
    <w:rsid w:val="52456C59"/>
    <w:rsid w:val="52E141EC"/>
    <w:rsid w:val="534B64F8"/>
    <w:rsid w:val="538631DF"/>
    <w:rsid w:val="53A403D9"/>
    <w:rsid w:val="53DE47E6"/>
    <w:rsid w:val="53FA761D"/>
    <w:rsid w:val="54433713"/>
    <w:rsid w:val="549459BA"/>
    <w:rsid w:val="55020B76"/>
    <w:rsid w:val="55560EC1"/>
    <w:rsid w:val="556F3AF4"/>
    <w:rsid w:val="562B5EAA"/>
    <w:rsid w:val="56A33C92"/>
    <w:rsid w:val="56B85264"/>
    <w:rsid w:val="56E322E1"/>
    <w:rsid w:val="57BFDC1D"/>
    <w:rsid w:val="58430A87"/>
    <w:rsid w:val="58466FCB"/>
    <w:rsid w:val="59AC7EC5"/>
    <w:rsid w:val="59E96FC2"/>
    <w:rsid w:val="5A4532B2"/>
    <w:rsid w:val="5A5230F2"/>
    <w:rsid w:val="5AB84B2F"/>
    <w:rsid w:val="5ACB7C5C"/>
    <w:rsid w:val="5B016D42"/>
    <w:rsid w:val="5B547C51"/>
    <w:rsid w:val="5BAA5AC3"/>
    <w:rsid w:val="5BE62FD9"/>
    <w:rsid w:val="5BFBD683"/>
    <w:rsid w:val="5C89392A"/>
    <w:rsid w:val="5CEF83B6"/>
    <w:rsid w:val="5D047455"/>
    <w:rsid w:val="5D6D6DA8"/>
    <w:rsid w:val="5DB243FE"/>
    <w:rsid w:val="5DBB5EB2"/>
    <w:rsid w:val="5E3A3170"/>
    <w:rsid w:val="5EAB6961"/>
    <w:rsid w:val="5F392B72"/>
    <w:rsid w:val="5F6AD10E"/>
    <w:rsid w:val="5F72C5E6"/>
    <w:rsid w:val="5F759A6F"/>
    <w:rsid w:val="5F9E600E"/>
    <w:rsid w:val="5FA50B76"/>
    <w:rsid w:val="5FC15189"/>
    <w:rsid w:val="5FDBDB89"/>
    <w:rsid w:val="5FDE06E5"/>
    <w:rsid w:val="5FF4D3C0"/>
    <w:rsid w:val="60CC2CF9"/>
    <w:rsid w:val="61D513C0"/>
    <w:rsid w:val="61F555BE"/>
    <w:rsid w:val="62107739"/>
    <w:rsid w:val="622E532C"/>
    <w:rsid w:val="62CD7F59"/>
    <w:rsid w:val="63220D61"/>
    <w:rsid w:val="63C83A9A"/>
    <w:rsid w:val="63DF84C1"/>
    <w:rsid w:val="641E3D9C"/>
    <w:rsid w:val="64E21E2A"/>
    <w:rsid w:val="64F7A294"/>
    <w:rsid w:val="65031DA0"/>
    <w:rsid w:val="650C6EA7"/>
    <w:rsid w:val="65E54BA6"/>
    <w:rsid w:val="66383CCB"/>
    <w:rsid w:val="66C043ED"/>
    <w:rsid w:val="66FD46FE"/>
    <w:rsid w:val="67397CFB"/>
    <w:rsid w:val="677F7E04"/>
    <w:rsid w:val="68242759"/>
    <w:rsid w:val="688004CD"/>
    <w:rsid w:val="68E048D2"/>
    <w:rsid w:val="692549DB"/>
    <w:rsid w:val="692B6F4B"/>
    <w:rsid w:val="69441891"/>
    <w:rsid w:val="69A95C81"/>
    <w:rsid w:val="6AC108FF"/>
    <w:rsid w:val="6AD169B9"/>
    <w:rsid w:val="6ADF0BB9"/>
    <w:rsid w:val="6AFBE473"/>
    <w:rsid w:val="6B345C65"/>
    <w:rsid w:val="6B657311"/>
    <w:rsid w:val="6BF84C06"/>
    <w:rsid w:val="6C0E79A8"/>
    <w:rsid w:val="6D1A412B"/>
    <w:rsid w:val="6D213C0C"/>
    <w:rsid w:val="6D25144D"/>
    <w:rsid w:val="6D8B6DD7"/>
    <w:rsid w:val="6DA7490C"/>
    <w:rsid w:val="6DA85BDA"/>
    <w:rsid w:val="6DEC290A"/>
    <w:rsid w:val="6E196DE1"/>
    <w:rsid w:val="6E1B45FE"/>
    <w:rsid w:val="6FEFF021"/>
    <w:rsid w:val="6FF94F5B"/>
    <w:rsid w:val="6FFFCDEF"/>
    <w:rsid w:val="70744DA7"/>
    <w:rsid w:val="707A0DB9"/>
    <w:rsid w:val="71431EA2"/>
    <w:rsid w:val="729B5D0E"/>
    <w:rsid w:val="72A26EFE"/>
    <w:rsid w:val="72D51220"/>
    <w:rsid w:val="73C13552"/>
    <w:rsid w:val="74FB0668"/>
    <w:rsid w:val="75243D99"/>
    <w:rsid w:val="75693EA1"/>
    <w:rsid w:val="7640675C"/>
    <w:rsid w:val="767EFD77"/>
    <w:rsid w:val="76956ACD"/>
    <w:rsid w:val="76982C90"/>
    <w:rsid w:val="769A5E93"/>
    <w:rsid w:val="76A809F9"/>
    <w:rsid w:val="76B63116"/>
    <w:rsid w:val="770519A8"/>
    <w:rsid w:val="773F4148"/>
    <w:rsid w:val="777F175A"/>
    <w:rsid w:val="77ECC4A5"/>
    <w:rsid w:val="7836450F"/>
    <w:rsid w:val="7855070D"/>
    <w:rsid w:val="795716A6"/>
    <w:rsid w:val="799504F0"/>
    <w:rsid w:val="79E66E3D"/>
    <w:rsid w:val="7A0348C4"/>
    <w:rsid w:val="7A744A2F"/>
    <w:rsid w:val="7B315B6D"/>
    <w:rsid w:val="7B7FFFD0"/>
    <w:rsid w:val="7B890DF9"/>
    <w:rsid w:val="7BFA6282"/>
    <w:rsid w:val="7BFE0024"/>
    <w:rsid w:val="7C7F83DB"/>
    <w:rsid w:val="7CED63E0"/>
    <w:rsid w:val="7CF3EA7E"/>
    <w:rsid w:val="7D0A696B"/>
    <w:rsid w:val="7D821FA4"/>
    <w:rsid w:val="7DAC0DCF"/>
    <w:rsid w:val="7DCD719B"/>
    <w:rsid w:val="7DD32B96"/>
    <w:rsid w:val="7E0F4F2E"/>
    <w:rsid w:val="7E52CB36"/>
    <w:rsid w:val="7E77ADD6"/>
    <w:rsid w:val="7EC73890"/>
    <w:rsid w:val="7EED169F"/>
    <w:rsid w:val="7EFEC9E5"/>
    <w:rsid w:val="7F2944D4"/>
    <w:rsid w:val="7F3ED3C5"/>
    <w:rsid w:val="7F683D2A"/>
    <w:rsid w:val="7F6F955B"/>
    <w:rsid w:val="7F73AC25"/>
    <w:rsid w:val="7F8E4C30"/>
    <w:rsid w:val="7FA04963"/>
    <w:rsid w:val="7FBFB4BE"/>
    <w:rsid w:val="7FD33DAE"/>
    <w:rsid w:val="7FEB1DD4"/>
    <w:rsid w:val="8EE25842"/>
    <w:rsid w:val="9D7D8A7D"/>
    <w:rsid w:val="B3FAD174"/>
    <w:rsid w:val="B47655D7"/>
    <w:rsid w:val="B9FE39D7"/>
    <w:rsid w:val="BBF5A98D"/>
    <w:rsid w:val="BBF795B5"/>
    <w:rsid w:val="BDFF99D7"/>
    <w:rsid w:val="BE3235C1"/>
    <w:rsid w:val="BE773DE6"/>
    <w:rsid w:val="BF5F9B6C"/>
    <w:rsid w:val="BF9F741D"/>
    <w:rsid w:val="CBDF2588"/>
    <w:rsid w:val="CFACB7D5"/>
    <w:rsid w:val="CFFF774A"/>
    <w:rsid w:val="D6A588B0"/>
    <w:rsid w:val="DBBF4962"/>
    <w:rsid w:val="DDE9A923"/>
    <w:rsid w:val="DFDFB508"/>
    <w:rsid w:val="DFF25A1E"/>
    <w:rsid w:val="DFF482E8"/>
    <w:rsid w:val="E37CE7E6"/>
    <w:rsid w:val="E5AE9A02"/>
    <w:rsid w:val="E79E74AA"/>
    <w:rsid w:val="E7EF6AD5"/>
    <w:rsid w:val="EDEF8D4A"/>
    <w:rsid w:val="EFDDADAF"/>
    <w:rsid w:val="EFEE62FD"/>
    <w:rsid w:val="EFFE3CB0"/>
    <w:rsid w:val="F1FF2C34"/>
    <w:rsid w:val="F71BCB2C"/>
    <w:rsid w:val="F7EBD553"/>
    <w:rsid w:val="F7ED31CD"/>
    <w:rsid w:val="F89F479A"/>
    <w:rsid w:val="F9FFC69A"/>
    <w:rsid w:val="FAF9182B"/>
    <w:rsid w:val="FAFB2C31"/>
    <w:rsid w:val="FBB704F9"/>
    <w:rsid w:val="FCB75A80"/>
    <w:rsid w:val="FECDA79B"/>
    <w:rsid w:val="FF6FBA6F"/>
    <w:rsid w:val="FF9F2324"/>
    <w:rsid w:val="FFED2D8F"/>
    <w:rsid w:val="FFFBDDC9"/>
    <w:rsid w:val="FFFFE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link w:val="11"/>
    <w:unhideWhenUsed/>
    <w:qFormat/>
    <w:uiPriority w:val="9"/>
    <w:pPr>
      <w:keepNext/>
      <w:keepLines/>
      <w:widowControl w:val="0"/>
      <w:numPr>
        <w:ilvl w:val="0"/>
        <w:numId w:val="1"/>
      </w:numPr>
      <w:spacing w:before="0" w:after="0" w:line="360" w:lineRule="auto"/>
      <w:ind w:firstLine="0" w:firstLineChars="0"/>
      <w:jc w:val="both"/>
      <w:outlineLvl w:val="1"/>
    </w:pPr>
    <w:rPr>
      <w:rFonts w:ascii="Arial" w:hAnsi="Arial" w:eastAsia="黑体" w:cstheme="minorBidi"/>
      <w:bCs/>
      <w:kern w:val="2"/>
      <w:sz w:val="32"/>
      <w:szCs w:val="32"/>
      <w:lang w:val="en-US" w:eastAsia="zh-CN" w:bidi="ar-SA"/>
    </w:rPr>
  </w:style>
  <w:style w:type="paragraph" w:styleId="3">
    <w:name w:val="heading 3"/>
    <w:next w:val="1"/>
    <w:unhideWhenUsed/>
    <w:qFormat/>
    <w:uiPriority w:val="9"/>
    <w:pPr>
      <w:keepNext/>
      <w:keepLines/>
      <w:widowControl w:val="0"/>
      <w:spacing w:before="260" w:after="260" w:line="416" w:lineRule="auto"/>
      <w:ind w:firstLine="200" w:firstLineChars="200"/>
      <w:jc w:val="both"/>
      <w:outlineLvl w:val="2"/>
    </w:pPr>
    <w:rPr>
      <w:rFonts w:eastAsia="仿宋" w:asciiTheme="minorHAnsi" w:hAnsiTheme="minorHAnsi" w:cstheme="minorBidi"/>
      <w:b/>
      <w:bCs/>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脚 字符"/>
    <w:basedOn w:val="8"/>
    <w:semiHidden/>
    <w:qFormat/>
    <w:uiPriority w:val="99"/>
    <w:rPr>
      <w:rFonts w:ascii="Times New Roman" w:hAnsi="Times New Roman" w:eastAsia="宋体" w:cs="Times New Roman"/>
      <w:sz w:val="18"/>
      <w:szCs w:val="18"/>
    </w:rPr>
  </w:style>
  <w:style w:type="character" w:customStyle="1" w:styleId="10">
    <w:name w:val="页脚 Char"/>
    <w:link w:val="5"/>
    <w:qFormat/>
    <w:uiPriority w:val="99"/>
    <w:rPr>
      <w:rFonts w:ascii="Calibri" w:hAnsi="Calibri" w:eastAsia="宋体" w:cs="Times New Roman"/>
      <w:sz w:val="18"/>
      <w:szCs w:val="18"/>
    </w:rPr>
  </w:style>
  <w:style w:type="character" w:customStyle="1" w:styleId="11">
    <w:name w:val="标题 2 字符"/>
    <w:link w:val="2"/>
    <w:qFormat/>
    <w:uiPriority w:val="9"/>
    <w:rPr>
      <w:rFonts w:ascii="Arial" w:hAnsi="Arial" w:eastAsia="黑体" w:cstheme="minorBidi"/>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4581</Words>
  <Characters>4634</Characters>
  <Lines>20</Lines>
  <Paragraphs>5</Paragraphs>
  <TotalTime>14</TotalTime>
  <ScaleCrop>false</ScaleCrop>
  <LinksUpToDate>false</LinksUpToDate>
  <CharactersWithSpaces>4651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2023-03-14T08:06:00Z</dcterms:created>
  <dc:creator>null</dc:creator>
  <cp:lastModifiedBy>chencl</cp:lastModifiedBy>
  <cp:lastPrinted>2023-07-10T10:47:00Z</cp:lastPrinted>
  <dcterms:modified xsi:type="dcterms:W3CDTF">2023-07-12T15:42:01Z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1B0E38F91C074A3187FE8F63CA6715E3_13</vt:lpwstr>
  </property>
</Properties>
</file>