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shd w:val="clear" w:fill="FFFFFF"/>
          <w:lang w:val="en-US" w:eastAsia="zh-CN"/>
        </w:rPr>
      </w:pPr>
      <w:r>
        <w:rPr>
          <w:rFonts w:hint="eastAsia" w:ascii="黑体" w:hAnsi="黑体" w:eastAsia="黑体" w:cs="黑体"/>
          <w:sz w:val="32"/>
          <w:szCs w:val="32"/>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fill="FFFFFF"/>
        </w:rPr>
      </w:pPr>
      <w:r>
        <w:rPr>
          <w:rFonts w:hint="eastAsia" w:ascii="方正小标宋简体" w:hAnsi="方正小标宋简体" w:eastAsia="方正小标宋简体" w:cs="方正小标宋简体"/>
          <w:sz w:val="44"/>
          <w:szCs w:val="44"/>
          <w:shd w:val="clear" w:fill="FFFFFF"/>
          <w:lang w:val="en-US" w:eastAsia="zh-CN"/>
        </w:rPr>
        <w:t>深圳</w:t>
      </w:r>
      <w:r>
        <w:rPr>
          <w:rFonts w:hint="eastAsia" w:ascii="方正小标宋简体" w:hAnsi="方正小标宋简体" w:eastAsia="方正小标宋简体" w:cs="方正小标宋简体"/>
          <w:sz w:val="44"/>
          <w:szCs w:val="44"/>
          <w:shd w:val="clear" w:fill="FFFFFF"/>
        </w:rPr>
        <w:t>市基本医疗保险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fill="FFFFFF"/>
        </w:rPr>
      </w:pPr>
      <w:r>
        <w:rPr>
          <w:rFonts w:hint="eastAsia" w:ascii="方正小标宋简体" w:hAnsi="方正小标宋简体" w:eastAsia="方正小标宋简体" w:cs="方正小标宋简体"/>
          <w:sz w:val="44"/>
          <w:szCs w:val="44"/>
          <w:shd w:val="clear" w:fill="FFFFFF"/>
        </w:rPr>
        <w:t>门诊特定病种管理办法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征求意见稿</w:t>
      </w:r>
      <w:r>
        <w:rPr>
          <w:rFonts w:hint="eastAsia" w:ascii="仿宋_GB2312" w:hAnsi="仿宋_GB2312" w:eastAsia="仿宋_GB2312" w:cs="仿宋_GB2312"/>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eastAsia="zh-CN"/>
        </w:rPr>
      </w:pPr>
      <w:r>
        <w:rPr>
          <w:rFonts w:hint="eastAsia" w:ascii="黑体" w:hAnsi="黑体" w:eastAsia="黑体" w:cs="黑体"/>
          <w:sz w:val="32"/>
          <w:szCs w:val="32"/>
          <w:shd w:val="clear" w:fill="FFFFFF"/>
          <w:lang w:val="en-US" w:eastAsia="zh-CN"/>
        </w:rPr>
        <w:t>第一条</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为减轻参保人医疗费用负担，规范门诊特定病种管理，根据《深圳市医疗保障办法》（深圳市人民政府令第</w:t>
      </w:r>
      <w:r>
        <w:rPr>
          <w:rFonts w:hint="eastAsia" w:ascii="仿宋_GB2312" w:hAnsi="仿宋_GB2312" w:eastAsia="仿宋_GB2312" w:cs="仿宋_GB2312"/>
          <w:sz w:val="32"/>
          <w:szCs w:val="32"/>
          <w:shd w:val="clear" w:fill="FFFFFF"/>
          <w:lang w:val="en-US" w:eastAsia="zh-CN"/>
        </w:rPr>
        <w:t>358</w:t>
      </w:r>
      <w:r>
        <w:rPr>
          <w:rFonts w:hint="eastAsia" w:ascii="仿宋_GB2312" w:hAnsi="仿宋_GB2312" w:eastAsia="仿宋_GB2312" w:cs="仿宋_GB2312"/>
          <w:sz w:val="32"/>
          <w:szCs w:val="32"/>
          <w:shd w:val="clear" w:fill="FFFFFF"/>
        </w:rPr>
        <w:t>号）</w:t>
      </w:r>
      <w:r>
        <w:rPr>
          <w:rFonts w:hint="eastAsia" w:ascii="仿宋_GB2312" w:hAnsi="仿宋_GB2312" w:eastAsia="仿宋_GB2312" w:cs="仿宋_GB2312"/>
          <w:sz w:val="32"/>
          <w:szCs w:val="32"/>
          <w:shd w:val="clear" w:fill="FFFFFF"/>
          <w:lang w:val="en-US" w:eastAsia="zh-CN"/>
        </w:rPr>
        <w:t>和</w:t>
      </w:r>
      <w:r>
        <w:rPr>
          <w:rFonts w:hint="eastAsia" w:ascii="仿宋_GB2312" w:hAnsi="仿宋_GB2312" w:eastAsia="仿宋_GB2312" w:cs="仿宋_GB2312"/>
          <w:kern w:val="0"/>
          <w:sz w:val="32"/>
          <w:szCs w:val="32"/>
          <w:lang w:val="en-US" w:eastAsia="zh-CN" w:bidi="ar-SA"/>
        </w:rPr>
        <w:t>《广东省医疗保障局关于延长广东省基本医疗保险门诊特定病种管理办法有效期的通知</w:t>
      </w:r>
      <w:r>
        <w:rPr>
          <w:rFonts w:hint="eastAsia" w:ascii="仿宋_GB2312" w:hAnsi="仿宋_GB2312" w:eastAsia="仿宋_GB2312" w:cs="仿宋_GB2312"/>
          <w:strike w:val="0"/>
          <w:dstrike w:val="0"/>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（粤医保规</w:t>
      </w:r>
      <w:r>
        <w:rPr>
          <w:rFonts w:hint="eastAsia" w:ascii="仿宋_GB2312" w:hAnsi="仿宋_GB2312" w:eastAsia="仿宋_GB2312" w:cs="仿宋_GB2312"/>
          <w:b w:val="0"/>
          <w:strike w:val="0"/>
          <w:dstrike w:val="0"/>
          <w:color w:val="auto"/>
          <w:sz w:val="32"/>
          <w:szCs w:val="32"/>
          <w:lang w:eastAsia="zh-CN"/>
        </w:rPr>
        <w:t>〔</w:t>
      </w:r>
      <w:r>
        <w:rPr>
          <w:rFonts w:hint="eastAsia" w:ascii="仿宋_GB2312" w:hAnsi="仿宋_GB2312" w:eastAsia="仿宋_GB2312" w:cs="仿宋_GB2312"/>
          <w:b w:val="0"/>
          <w:strike w:val="0"/>
          <w:dstrike w:val="0"/>
          <w:color w:val="auto"/>
          <w:sz w:val="32"/>
          <w:szCs w:val="32"/>
          <w:lang w:val="en-US" w:eastAsia="zh-CN"/>
        </w:rPr>
        <w:t>2023</w:t>
      </w:r>
      <w:r>
        <w:rPr>
          <w:rFonts w:hint="eastAsia" w:ascii="仿宋_GB2312" w:hAnsi="仿宋_GB2312" w:eastAsia="仿宋_GB2312" w:cs="仿宋_GB2312"/>
          <w:b w:val="0"/>
          <w:strike w:val="0"/>
          <w:dstrike w:val="0"/>
          <w:color w:val="auto"/>
          <w:sz w:val="32"/>
          <w:szCs w:val="32"/>
          <w:lang w:eastAsia="zh-CN"/>
        </w:rPr>
        <w:t>〕</w:t>
      </w:r>
      <w:r>
        <w:rPr>
          <w:rFonts w:hint="eastAsia" w:ascii="仿宋_GB2312" w:hAnsi="仿宋_GB2312" w:eastAsia="仿宋_GB2312" w:cs="仿宋_GB2312"/>
          <w:b w:val="0"/>
          <w:strike w:val="0"/>
          <w:dstrike w:val="0"/>
          <w:color w:val="auto"/>
          <w:sz w:val="32"/>
          <w:szCs w:val="32"/>
          <w:lang w:val="en-US" w:eastAsia="zh-CN"/>
        </w:rPr>
        <w:t>3号）</w:t>
      </w:r>
      <w:r>
        <w:rPr>
          <w:rFonts w:hint="eastAsia" w:ascii="仿宋_GB2312" w:hAnsi="仿宋_GB2312" w:eastAsia="仿宋_GB2312" w:cs="仿宋_GB2312"/>
          <w:sz w:val="32"/>
          <w:szCs w:val="32"/>
          <w:shd w:val="clear" w:fill="FFFFFF"/>
          <w:lang w:val="en-US" w:eastAsia="zh-CN"/>
        </w:rPr>
        <w:t>等</w:t>
      </w:r>
      <w:r>
        <w:rPr>
          <w:rFonts w:hint="eastAsia" w:ascii="仿宋_GB2312" w:hAnsi="仿宋_GB2312" w:eastAsia="仿宋_GB2312" w:cs="仿宋_GB2312"/>
          <w:sz w:val="32"/>
          <w:szCs w:val="32"/>
          <w:shd w:val="clear" w:fill="FFFFFF"/>
        </w:rPr>
        <w:t>有关规定，结合我市实际，制定本办法</w:t>
      </w:r>
      <w:r>
        <w:rPr>
          <w:rFonts w:hint="eastAsia" w:ascii="仿宋_GB2312" w:hAnsi="仿宋_GB2312" w:eastAsia="仿宋_GB2312" w:cs="仿宋_GB2312"/>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 xml:space="preserve">    </w:t>
      </w:r>
      <w:r>
        <w:rPr>
          <w:rFonts w:hint="eastAsia" w:ascii="黑体" w:hAnsi="黑体" w:eastAsia="黑体" w:cs="黑体"/>
          <w:sz w:val="32"/>
          <w:szCs w:val="32"/>
          <w:shd w:val="clear" w:fill="FFFFFF"/>
          <w:lang w:val="en-US" w:eastAsia="zh-CN"/>
        </w:rPr>
        <w:t>第二条</w:t>
      </w:r>
      <w:r>
        <w:rPr>
          <w:rFonts w:hint="eastAsia" w:ascii="仿宋_GB2312" w:hAnsi="仿宋_GB2312" w:eastAsia="仿宋_GB2312" w:cs="仿宋_GB2312"/>
          <w:sz w:val="32"/>
          <w:szCs w:val="32"/>
          <w:shd w:val="clear" w:fill="FFFFFF"/>
          <w:lang w:val="en-US" w:eastAsia="zh-CN"/>
        </w:rPr>
        <w:t xml:space="preserve"> 本办法所称门诊特定病种（以下简称门特病种）是指诊断明确、病情相对稳定、需在门诊长期治疗或诊疗方案明确的疾病。</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shd w:val="clear" w:fill="FFFFFF"/>
          <w:lang w:val="en-US" w:eastAsia="zh-CN"/>
        </w:rPr>
      </w:pPr>
      <w:r>
        <w:rPr>
          <w:rFonts w:hint="eastAsia" w:ascii="黑体" w:hAnsi="黑体" w:eastAsia="黑体" w:cs="黑体"/>
          <w:sz w:val="32"/>
          <w:szCs w:val="32"/>
          <w:shd w:val="clear" w:fill="FFFFFF"/>
          <w:lang w:val="en-US" w:eastAsia="zh-CN"/>
        </w:rPr>
        <w:t>第三条</w:t>
      </w:r>
      <w:r>
        <w:rPr>
          <w:rFonts w:hint="eastAsia" w:ascii="仿宋_GB2312" w:hAnsi="仿宋_GB2312" w:eastAsia="仿宋_GB2312" w:cs="仿宋_GB2312"/>
          <w:sz w:val="32"/>
          <w:szCs w:val="32"/>
          <w:shd w:val="clear" w:fill="FFFFFF"/>
          <w:lang w:val="en-US" w:eastAsia="zh-CN"/>
        </w:rPr>
        <w:t xml:space="preserve"> 本市执行广东省统一的门特病种范围，</w:t>
      </w:r>
      <w:r>
        <w:rPr>
          <w:rFonts w:hint="eastAsia" w:ascii="仿宋_GB2312" w:hAnsi="仿宋_GB2312" w:eastAsia="仿宋_GB2312" w:cs="仿宋_GB2312"/>
          <w:sz w:val="32"/>
          <w:szCs w:val="32"/>
          <w:lang w:val="en-US" w:eastAsia="zh-CN"/>
        </w:rPr>
        <w:t>门特病种实行分类管理，具体分为一类门特病种和二类门特病种（详见附件）。本市已开展的颅内良性肿瘤参照一类门特病种继续保障。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仿宋_GB2312"/>
          <w:sz w:val="32"/>
        </w:rPr>
      </w:pPr>
      <w:r>
        <w:rPr>
          <w:rFonts w:hint="eastAsia" w:ascii="黑体" w:hAnsi="黑体" w:eastAsia="黑体" w:cs="黑体"/>
          <w:sz w:val="32"/>
          <w:szCs w:val="32"/>
          <w:shd w:val="clear" w:fill="FFFFFF"/>
          <w:lang w:val="en-US" w:eastAsia="zh-CN"/>
        </w:rPr>
        <w:t>第四条</w:t>
      </w:r>
      <w:r>
        <w:rPr>
          <w:rFonts w:hint="eastAsia" w:ascii="仿宋_GB2312" w:hAnsi="仿宋_GB2312" w:eastAsia="仿宋_GB2312" w:cs="仿宋_GB2312"/>
          <w:sz w:val="32"/>
          <w:szCs w:val="32"/>
          <w:shd w:val="clear" w:fill="FFFFFF"/>
          <w:lang w:val="en-US" w:eastAsia="zh-CN"/>
        </w:rPr>
        <w:t xml:space="preserve"> </w:t>
      </w:r>
      <w:r>
        <w:rPr>
          <w:rFonts w:hint="eastAsia" w:eastAsia="仿宋_GB2312"/>
          <w:sz w:val="32"/>
        </w:rPr>
        <w:t>参保人享受</w:t>
      </w:r>
      <w:r>
        <w:rPr>
          <w:rFonts w:hint="eastAsia" w:ascii="仿宋_GB2312" w:hAnsi="仿宋_GB2312" w:eastAsia="仿宋_GB2312" w:cs="仿宋_GB2312"/>
          <w:sz w:val="32"/>
          <w:szCs w:val="32"/>
          <w:shd w:val="clear" w:fill="FFFFFF"/>
          <w:lang w:val="en-US" w:eastAsia="zh-CN"/>
        </w:rPr>
        <w:t>门特病种</w:t>
      </w:r>
      <w:r>
        <w:rPr>
          <w:rFonts w:hint="eastAsia" w:eastAsia="仿宋_GB2312"/>
          <w:sz w:val="32"/>
        </w:rPr>
        <w:t>待遇须经</w:t>
      </w:r>
      <w:r>
        <w:rPr>
          <w:rFonts w:hint="eastAsia" w:eastAsia="仿宋_GB2312"/>
          <w:sz w:val="32"/>
          <w:lang w:val="en-US" w:eastAsia="zh-CN"/>
        </w:rPr>
        <w:t>医疗保障部门公布的具有门特病种诊断资质</w:t>
      </w:r>
      <w:r>
        <w:rPr>
          <w:rFonts w:hint="eastAsia" w:ascii="仿宋_GB2312" w:hAnsi="仿宋_GB2312" w:eastAsia="仿宋_GB2312" w:cs="仿宋_GB2312"/>
          <w:sz w:val="32"/>
          <w:szCs w:val="32"/>
          <w:shd w:val="clear" w:fill="FFFFFF"/>
          <w:lang w:val="en-US" w:eastAsia="zh-CN"/>
        </w:rPr>
        <w:t>的</w:t>
      </w:r>
      <w:r>
        <w:rPr>
          <w:rFonts w:hint="eastAsia" w:eastAsia="仿宋_GB2312"/>
          <w:sz w:val="32"/>
        </w:rPr>
        <w:t>定点医疗机构</w:t>
      </w:r>
      <w:r>
        <w:rPr>
          <w:rFonts w:hint="eastAsia" w:eastAsia="仿宋_GB2312"/>
          <w:sz w:val="32"/>
          <w:lang w:eastAsia="zh-CN"/>
        </w:rPr>
        <w:t>认定</w:t>
      </w:r>
      <w:r>
        <w:rPr>
          <w:rFonts w:hint="eastAsia" w:eastAsia="仿宋_GB2312"/>
          <w:sz w:val="32"/>
        </w:rPr>
        <w:t>。定点医疗机构应</w:t>
      </w:r>
      <w:r>
        <w:rPr>
          <w:rFonts w:hint="eastAsia" w:eastAsia="仿宋_GB2312"/>
          <w:sz w:val="32"/>
          <w:lang w:eastAsia="zh-CN"/>
        </w:rPr>
        <w:t>当</w:t>
      </w:r>
      <w:r>
        <w:rPr>
          <w:rFonts w:hint="eastAsia" w:eastAsia="仿宋_GB2312"/>
          <w:sz w:val="32"/>
        </w:rPr>
        <w:t>按照相应</w:t>
      </w:r>
      <w:r>
        <w:rPr>
          <w:rFonts w:hint="eastAsia" w:ascii="仿宋_GB2312" w:hAnsi="仿宋_GB2312" w:eastAsia="仿宋_GB2312" w:cs="仿宋_GB2312"/>
          <w:sz w:val="32"/>
          <w:szCs w:val="32"/>
          <w:shd w:val="clear" w:fill="FFFFFF"/>
          <w:lang w:val="en-US" w:eastAsia="zh-CN"/>
        </w:rPr>
        <w:t>门特病种</w:t>
      </w:r>
      <w:r>
        <w:rPr>
          <w:rFonts w:hint="eastAsia" w:eastAsia="仿宋_GB2312"/>
          <w:sz w:val="32"/>
        </w:rPr>
        <w:t>准入标准</w:t>
      </w:r>
      <w:r>
        <w:rPr>
          <w:rFonts w:hint="eastAsia" w:eastAsia="仿宋_GB2312"/>
          <w:sz w:val="32"/>
          <w:lang w:val="en-US" w:eastAsia="zh-CN"/>
        </w:rPr>
        <w:t>对参保人进行</w:t>
      </w:r>
      <w:r>
        <w:rPr>
          <w:rFonts w:hint="eastAsia" w:eastAsia="仿宋_GB2312"/>
          <w:sz w:val="32"/>
          <w:lang w:eastAsia="zh-CN"/>
        </w:rPr>
        <w:t>认定，并</w:t>
      </w:r>
      <w:r>
        <w:rPr>
          <w:rFonts w:hint="eastAsia" w:eastAsia="仿宋_GB2312"/>
          <w:sz w:val="32"/>
          <w:lang w:val="en-US" w:eastAsia="zh-CN"/>
        </w:rPr>
        <w:t>将相关审核确认信息</w:t>
      </w:r>
      <w:r>
        <w:rPr>
          <w:rFonts w:hint="eastAsia" w:eastAsia="仿宋_GB2312" w:cs="仿宋_GB2312"/>
          <w:sz w:val="32"/>
          <w:szCs w:val="32"/>
          <w:lang w:val="en-US" w:eastAsia="zh-CN"/>
        </w:rPr>
        <w:t>报市医保经办机构备案。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imes New Roman" w:hAnsi="Times New Roman" w:eastAsia="仿宋_GB2312"/>
          <w:kern w:val="0"/>
          <w:sz w:val="32"/>
          <w:szCs w:val="32"/>
          <w:lang w:eastAsia="zh-CN"/>
        </w:rPr>
      </w:pPr>
      <w:r>
        <w:rPr>
          <w:rFonts w:hint="eastAsia" w:ascii="黑体" w:hAnsi="黑体" w:eastAsia="黑体" w:cs="黑体"/>
          <w:sz w:val="32"/>
          <w:szCs w:val="32"/>
          <w:shd w:val="clear" w:fill="FFFFFF"/>
          <w:lang w:val="en-US" w:eastAsia="zh-CN"/>
        </w:rPr>
        <w:t>第五条</w:t>
      </w:r>
      <w:r>
        <w:rPr>
          <w:rFonts w:hint="eastAsia" w:ascii="仿宋_GB2312" w:hAnsi="仿宋_GB2312" w:eastAsia="仿宋_GB2312" w:cs="仿宋_GB2312"/>
          <w:sz w:val="32"/>
          <w:szCs w:val="32"/>
          <w:shd w:val="clear" w:fill="FFFFFF"/>
          <w:lang w:val="en-US" w:eastAsia="zh-CN"/>
        </w:rPr>
        <w:t xml:space="preserve"> </w:t>
      </w:r>
      <w:r>
        <w:rPr>
          <w:rFonts w:hint="eastAsia" w:eastAsia="仿宋_GB2312"/>
          <w:sz w:val="32"/>
        </w:rPr>
        <w:t>参保人享受</w:t>
      </w:r>
      <w:r>
        <w:rPr>
          <w:rFonts w:hint="eastAsia" w:ascii="仿宋_GB2312" w:hAnsi="仿宋_GB2312" w:eastAsia="仿宋_GB2312" w:cs="仿宋_GB2312"/>
          <w:sz w:val="32"/>
          <w:szCs w:val="32"/>
          <w:shd w:val="clear" w:fill="FFFFFF"/>
          <w:lang w:val="en-US" w:eastAsia="zh-CN"/>
        </w:rPr>
        <w:t>门特病种</w:t>
      </w:r>
      <w:r>
        <w:rPr>
          <w:rFonts w:hint="eastAsia" w:eastAsia="仿宋_GB2312"/>
          <w:sz w:val="32"/>
        </w:rPr>
        <w:t>待遇</w:t>
      </w:r>
      <w:r>
        <w:rPr>
          <w:rFonts w:hint="eastAsia" w:ascii="仿宋_GB2312" w:hAnsi="仿宋_GB2312" w:eastAsia="仿宋_GB2312" w:cs="仿宋_GB2312"/>
          <w:sz w:val="32"/>
          <w:szCs w:val="32"/>
          <w:shd w:val="clear" w:fill="FFFFFF"/>
          <w:lang w:val="en-US" w:eastAsia="zh-CN"/>
        </w:rPr>
        <w:t>应当在具有门特病种服务资质的定点医疗机构就医</w:t>
      </w:r>
      <w:r>
        <w:rPr>
          <w:rFonts w:hint="eastAsia" w:ascii="Times New Roman" w:hAnsi="Times New Roman" w:eastAsia="仿宋_GB2312"/>
          <w:kern w:val="0"/>
          <w:sz w:val="32"/>
          <w:szCs w:val="32"/>
          <w:lang w:val="en-US" w:eastAsia="zh-CN"/>
        </w:rPr>
        <w:t>，具体</w:t>
      </w:r>
      <w:r>
        <w:rPr>
          <w:rFonts w:hint="eastAsia" w:ascii="Times New Roman" w:hAnsi="Times New Roman" w:eastAsia="仿宋_GB2312"/>
          <w:kern w:val="0"/>
          <w:sz w:val="32"/>
          <w:szCs w:val="32"/>
          <w:lang w:eastAsia="zh-CN"/>
        </w:rPr>
        <w:t>按照我市就医管理</w:t>
      </w:r>
      <w:r>
        <w:rPr>
          <w:rFonts w:hint="eastAsia" w:ascii="Times New Roman" w:hAnsi="Times New Roman" w:eastAsia="仿宋_GB2312"/>
          <w:kern w:val="0"/>
          <w:sz w:val="32"/>
          <w:szCs w:val="32"/>
          <w:lang w:val="en-US" w:eastAsia="zh-CN"/>
        </w:rPr>
        <w:t>办法</w:t>
      </w:r>
      <w:r>
        <w:rPr>
          <w:rFonts w:hint="eastAsia" w:ascii="Times New Roman" w:hAnsi="Times New Roman" w:eastAsia="仿宋_GB2312"/>
          <w:kern w:val="0"/>
          <w:sz w:val="32"/>
          <w:szCs w:val="32"/>
          <w:lang w:eastAsia="zh-CN"/>
        </w:rPr>
        <w:t>规定执行。</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黑体" w:hAnsi="黑体" w:eastAsia="黑体" w:cs="黑体"/>
          <w:sz w:val="32"/>
          <w:szCs w:val="32"/>
          <w:shd w:val="clear" w:fill="FFFFFF"/>
          <w:lang w:val="en-US" w:eastAsia="zh-CN"/>
        </w:rPr>
        <w:t>第六条</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参保人已认定门特病种的，</w:t>
      </w:r>
      <w:r>
        <w:rPr>
          <w:rFonts w:hint="eastAsia" w:ascii="仿宋_GB2312" w:hAnsi="仿宋_GB2312" w:eastAsia="仿宋_GB2312" w:cs="仿宋_GB2312"/>
          <w:sz w:val="32"/>
          <w:szCs w:val="32"/>
          <w:highlight w:val="none"/>
          <w:shd w:val="clear" w:fill="FFFFFF"/>
        </w:rPr>
        <w:t>待遇享受期</w:t>
      </w:r>
      <w:r>
        <w:rPr>
          <w:rFonts w:hint="eastAsia" w:ascii="仿宋_GB2312" w:hAnsi="仿宋_GB2312" w:eastAsia="仿宋_GB2312" w:cs="仿宋_GB2312"/>
          <w:sz w:val="32"/>
          <w:szCs w:val="32"/>
          <w:shd w:val="clear" w:fill="FFFFFF"/>
        </w:rPr>
        <w:t>内在选定医疗机构发生的门特病种基本医疗费用由基本医疗保险统筹基金按照</w:t>
      </w:r>
      <w:r>
        <w:rPr>
          <w:rFonts w:hint="eastAsia" w:ascii="仿宋_GB2312" w:hAnsi="仿宋_GB2312" w:eastAsia="仿宋_GB2312" w:cs="仿宋_GB2312"/>
          <w:sz w:val="32"/>
          <w:szCs w:val="32"/>
          <w:shd w:val="clear" w:fill="FFFFFF"/>
          <w:lang w:eastAsia="zh-CN"/>
        </w:rPr>
        <w:t>《深圳市医疗保障办法》第三十四条</w:t>
      </w:r>
      <w:r>
        <w:rPr>
          <w:rFonts w:hint="eastAsia" w:ascii="仿宋_GB2312" w:hAnsi="仿宋_GB2312" w:eastAsia="仿宋_GB2312" w:cs="仿宋_GB2312"/>
          <w:sz w:val="32"/>
          <w:szCs w:val="32"/>
          <w:shd w:val="clear" w:fill="FFFFFF"/>
        </w:rPr>
        <w:t>规定支付</w:t>
      </w:r>
      <w:r>
        <w:rPr>
          <w:rFonts w:hint="eastAsia" w:ascii="仿宋_GB2312" w:hAnsi="仿宋_GB2312" w:eastAsia="仿宋_GB2312" w:cs="仿宋_GB2312"/>
          <w:sz w:val="32"/>
          <w:szCs w:val="32"/>
          <w:shd w:val="clear" w:fill="FFFFFF"/>
          <w:lang w:eastAsia="zh-CN"/>
        </w:rPr>
        <w:t>；除高血压、糖尿病以外的其他二类门特病种基本医疗费用，职工基本医疗保险一档参保人支付比例为80%，</w:t>
      </w:r>
      <w:r>
        <w:rPr>
          <w:rFonts w:hint="eastAsia" w:ascii="仿宋_GB2312" w:hAnsi="仿宋_GB2312" w:eastAsia="仿宋_GB2312" w:cs="仿宋_GB2312"/>
          <w:sz w:val="32"/>
          <w:szCs w:val="32"/>
          <w:shd w:val="clear" w:fill="FFFFFF"/>
          <w:lang w:val="en-US" w:eastAsia="zh-CN"/>
        </w:rPr>
        <w:t>职工基本医疗保险二档、居民基本医疗保险参保人的支付比例为60%，但其中</w:t>
      </w:r>
      <w:r>
        <w:rPr>
          <w:rFonts w:hint="eastAsia" w:eastAsia="仿宋_GB2312"/>
          <w:sz w:val="32"/>
        </w:rPr>
        <w:t>慢性阻塞性肺疾病、冠心病、脑血管疾病后遗症、类风湿关节炎、支气管哮喘、慢性乙型</w:t>
      </w:r>
      <w:r>
        <w:rPr>
          <w:rFonts w:hint="eastAsia" w:ascii="仿宋_GB2312" w:hAnsi="仿宋_GB2312" w:eastAsia="仿宋_GB2312" w:cs="仿宋_GB2312"/>
          <w:sz w:val="32"/>
          <w:szCs w:val="32"/>
          <w:shd w:val="clear" w:fill="FFFFFF"/>
          <w:lang w:val="en-US" w:eastAsia="zh-CN"/>
        </w:rPr>
        <w:t>肝炎6种门特病种在市内定点社康机构由签约家庭医生开具处方的基本医疗费用，支付比例为80%。</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门特病种待遇与其他由基本医疗保险统筹基金支付的门诊医疗费用待遇不重复享受。</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shd w:val="clear" w:fill="FFFFFF"/>
          <w:lang w:val="en-US" w:eastAsia="zh-CN"/>
        </w:rPr>
      </w:pPr>
      <w:r>
        <w:rPr>
          <w:rFonts w:hint="eastAsia" w:ascii="黑体" w:hAnsi="黑体" w:eastAsia="黑体" w:cs="黑体"/>
          <w:sz w:val="32"/>
          <w:szCs w:val="32"/>
          <w:highlight w:val="none"/>
          <w:shd w:val="clear" w:fill="FFFFFF"/>
          <w:lang w:val="en-US" w:eastAsia="zh-CN"/>
        </w:rPr>
        <w:t>第七条</w:t>
      </w:r>
      <w:r>
        <w:rPr>
          <w:rFonts w:hint="eastAsia" w:ascii="仿宋_GB2312" w:hAnsi="仿宋_GB2312" w:eastAsia="仿宋_GB2312" w:cs="仿宋_GB2312"/>
          <w:sz w:val="32"/>
          <w:szCs w:val="32"/>
          <w:shd w:val="clear" w:fill="FFFFFF"/>
          <w:lang w:val="en-US" w:eastAsia="zh-CN"/>
        </w:rPr>
        <w:t xml:space="preserve"> 参保人按照规定办理异地就医备案手续后，可以享受门特病种医疗费用异地就医直接结算服务，支付比例</w:t>
      </w:r>
      <w:r>
        <w:rPr>
          <w:rFonts w:hint="eastAsia" w:ascii="仿宋_GB2312" w:hAnsi="仿宋_GB2312" w:eastAsia="仿宋_GB2312" w:cs="仿宋_GB2312"/>
          <w:sz w:val="32"/>
          <w:szCs w:val="32"/>
          <w:shd w:val="clear" w:fill="FFFFFF"/>
        </w:rPr>
        <w:t>按照</w:t>
      </w:r>
      <w:r>
        <w:rPr>
          <w:rFonts w:hint="eastAsia" w:ascii="仿宋_GB2312" w:hAnsi="仿宋_GB2312" w:eastAsia="仿宋_GB2312" w:cs="仿宋_GB2312"/>
          <w:sz w:val="32"/>
          <w:szCs w:val="32"/>
          <w:shd w:val="clear" w:fill="FFFFFF"/>
          <w:lang w:eastAsia="zh-CN"/>
        </w:rPr>
        <w:t>《深圳市医疗保障办法》第四十条规定执行；</w:t>
      </w:r>
      <w:r>
        <w:rPr>
          <w:rFonts w:hint="eastAsia" w:ascii="Times New Roman" w:hAnsi="Times New Roman" w:eastAsia="仿宋_GB2312"/>
          <w:kern w:val="0"/>
          <w:sz w:val="32"/>
          <w:szCs w:val="32"/>
        </w:rPr>
        <w:t>支付限额</w:t>
      </w:r>
      <w:r>
        <w:rPr>
          <w:rFonts w:hint="eastAsia" w:ascii="仿宋_GB2312" w:hAnsi="仿宋_GB2312" w:eastAsia="仿宋_GB2312" w:cs="仿宋_GB2312"/>
          <w:sz w:val="32"/>
          <w:szCs w:val="32"/>
          <w:shd w:val="clear" w:fill="FFFFFF"/>
        </w:rPr>
        <w:t>按照</w:t>
      </w:r>
      <w:r>
        <w:rPr>
          <w:rFonts w:hint="eastAsia" w:ascii="仿宋_GB2312" w:hAnsi="仿宋_GB2312" w:eastAsia="仿宋_GB2312" w:cs="仿宋_GB2312"/>
          <w:sz w:val="32"/>
          <w:szCs w:val="32"/>
          <w:shd w:val="clear" w:fill="FFFFFF"/>
          <w:lang w:eastAsia="zh-CN"/>
        </w:rPr>
        <w:t>《深圳市医疗保障办法》第四十一条规定执行。</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line="560" w:lineRule="exact"/>
        <w:ind w:left="0" w:leftChars="0" w:firstLine="640"/>
        <w:textAlignment w:val="auto"/>
        <w:rPr>
          <w:rFonts w:hint="eastAsia" w:ascii="仿宋_GB2312" w:eastAsia="仿宋_GB2312" w:cs="仿宋_GB2312"/>
          <w:color w:val="000000"/>
          <w:highlight w:val="yellow"/>
        </w:rPr>
      </w:pPr>
      <w:r>
        <w:rPr>
          <w:rFonts w:hint="eastAsia" w:ascii="黑体" w:hAnsi="黑体" w:eastAsia="黑体" w:cs="黑体"/>
          <w:sz w:val="32"/>
          <w:szCs w:val="32"/>
          <w:shd w:val="clear" w:fill="FFFFFF"/>
          <w:lang w:val="en-US" w:eastAsia="zh-CN"/>
        </w:rPr>
        <w:t>第八条</w:t>
      </w:r>
      <w:r>
        <w:rPr>
          <w:rFonts w:hint="eastAsia" w:ascii="仿宋_GB2312" w:hAnsi="仿宋_GB2312" w:eastAsia="仿宋_GB2312" w:cs="仿宋_GB2312"/>
          <w:sz w:val="32"/>
          <w:szCs w:val="32"/>
          <w:shd w:val="clear" w:fill="FFFFFF"/>
          <w:lang w:val="en-US" w:eastAsia="zh-CN"/>
        </w:rPr>
        <w:t xml:space="preserve"> 本市一类门特病种不单独设置年度支付限额，计入基本医疗保险统筹基金累计支付限额</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二类门特病种根据病种特点，合理设置年度最高支付限额（详见附件表2）</w:t>
      </w:r>
      <w:r>
        <w:rPr>
          <w:rStyle w:val="12"/>
          <w:rFonts w:hint="eastAsia" w:ascii="仿宋_GB2312" w:eastAsia="仿宋_GB2312" w:cs="仿宋_GB2312"/>
          <w:color w:val="000000"/>
          <w:highlight w:val="none"/>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eastAsia="仿宋_GB2312"/>
          <w:sz w:val="32"/>
        </w:rPr>
        <w:t>参保人同时患有两种以上</w:t>
      </w:r>
      <w:r>
        <w:rPr>
          <w:rFonts w:hint="eastAsia" w:ascii="仿宋_GB2312" w:hAnsi="仿宋_GB2312" w:eastAsia="仿宋_GB2312" w:cs="仿宋_GB2312"/>
          <w:sz w:val="32"/>
          <w:szCs w:val="32"/>
          <w:shd w:val="clear" w:fill="FFFFFF"/>
          <w:lang w:val="en-US" w:eastAsia="zh-CN"/>
        </w:rPr>
        <w:t>门特病种</w:t>
      </w:r>
      <w:r>
        <w:rPr>
          <w:rFonts w:hint="eastAsia" w:eastAsia="仿宋_GB2312"/>
          <w:sz w:val="32"/>
        </w:rPr>
        <w:t>的，</w:t>
      </w:r>
      <w:r>
        <w:rPr>
          <w:rFonts w:hint="eastAsia" w:eastAsia="仿宋_GB2312"/>
          <w:sz w:val="32"/>
          <w:lang w:eastAsia="zh-CN"/>
        </w:rPr>
        <w:t>分别计算</w:t>
      </w:r>
      <w:r>
        <w:rPr>
          <w:rFonts w:hint="eastAsia" w:ascii="仿宋_GB2312" w:hAnsi="仿宋_GB2312" w:eastAsia="仿宋_GB2312" w:cs="仿宋_GB2312"/>
          <w:sz w:val="32"/>
          <w:szCs w:val="32"/>
          <w:shd w:val="clear" w:fill="FFFFFF"/>
          <w:lang w:val="en-US" w:eastAsia="zh-CN"/>
        </w:rPr>
        <w:t>年度支付限额</w:t>
      </w:r>
      <w:r>
        <w:rPr>
          <w:rFonts w:hint="eastAsia" w:eastAsia="仿宋_GB2312"/>
          <w:sz w:val="32"/>
          <w:lang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黑体" w:hAnsi="黑体" w:eastAsia="黑体" w:cs="黑体"/>
          <w:sz w:val="32"/>
          <w:szCs w:val="32"/>
          <w:shd w:val="clear" w:fill="FFFFFF"/>
          <w:lang w:val="en-US" w:eastAsia="zh-CN"/>
        </w:rPr>
        <w:t>第九条</w:t>
      </w:r>
      <w:r>
        <w:rPr>
          <w:rFonts w:hint="eastAsia" w:ascii="仿宋_GB2312" w:hAnsi="仿宋_GB2312" w:eastAsia="仿宋_GB2312" w:cs="仿宋_GB2312"/>
          <w:sz w:val="32"/>
          <w:szCs w:val="32"/>
          <w:shd w:val="clear" w:fill="FFFFFF"/>
          <w:lang w:val="en-US" w:eastAsia="zh-CN"/>
        </w:rPr>
        <w:t xml:space="preserve"> 门诊特病准入标准和待遇享受有效期统一按照省的有关规定执行。</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基本医疗保险统筹基金支付的参保人相应门特病种费用待遇享受范围，由市医疗保障行政部门按照临床必需、安全有效、费用适宜等原则进行遴选，经专家组评审确认后公布实施。如广东省医疗保障部门公布门特病种待遇享受范围后，则按广东省标准执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仿宋_GB2312" w:cs="黑体"/>
          <w:sz w:val="32"/>
          <w:szCs w:val="32"/>
          <w:highlight w:val="yellow"/>
          <w:shd w:val="clear" w:fill="FFFFFF"/>
          <w:lang w:val="en-US" w:eastAsia="zh-CN"/>
        </w:rPr>
      </w:pPr>
      <w:r>
        <w:rPr>
          <w:rFonts w:hint="eastAsia" w:ascii="黑体" w:hAnsi="黑体" w:eastAsia="黑体" w:cs="黑体"/>
          <w:strike w:val="0"/>
          <w:dstrike w:val="0"/>
          <w:sz w:val="32"/>
          <w:szCs w:val="32"/>
          <w:highlight w:val="none"/>
          <w:shd w:val="clear" w:fill="FFFFFF"/>
          <w:lang w:val="en-US" w:eastAsia="zh-CN"/>
        </w:rPr>
        <w:t>第十条</w:t>
      </w:r>
      <w:r>
        <w:rPr>
          <w:rFonts w:hint="eastAsia" w:ascii="仿宋_GB2312" w:hAnsi="仿宋_GB2312" w:eastAsia="仿宋_GB2312" w:cs="仿宋_GB2312"/>
          <w:sz w:val="32"/>
          <w:szCs w:val="32"/>
          <w:highlight w:val="none"/>
          <w:shd w:val="clear" w:fill="FFFFFF"/>
          <w:lang w:val="en-US" w:eastAsia="zh-CN"/>
        </w:rPr>
        <w:t xml:space="preserve"> </w:t>
      </w:r>
      <w:r>
        <w:rPr>
          <w:rFonts w:hint="eastAsia" w:ascii="Times New Roman" w:hAnsi="Times New Roman" w:eastAsia="仿宋_GB2312"/>
          <w:kern w:val="0"/>
          <w:sz w:val="32"/>
          <w:szCs w:val="32"/>
          <w:lang w:eastAsia="zh-CN"/>
        </w:rPr>
        <w:t>参保人可按规定凭选定医疗机构开具的通过医保电子处方中心流转的外配处方在本市符合条件的定点零售药店配药，享受</w:t>
      </w:r>
      <w:r>
        <w:rPr>
          <w:rFonts w:hint="eastAsia" w:ascii="仿宋_GB2312" w:hAnsi="仿宋_GB2312" w:eastAsia="仿宋_GB2312" w:cs="仿宋_GB2312"/>
          <w:sz w:val="32"/>
          <w:szCs w:val="32"/>
          <w:shd w:val="clear" w:fill="FFFFFF"/>
          <w:lang w:val="en-US" w:eastAsia="zh-CN"/>
        </w:rPr>
        <w:t>门特病种</w:t>
      </w:r>
      <w:r>
        <w:rPr>
          <w:rFonts w:hint="eastAsia" w:ascii="Times New Roman" w:hAnsi="Times New Roman" w:eastAsia="仿宋_GB2312"/>
          <w:kern w:val="0"/>
          <w:sz w:val="32"/>
          <w:szCs w:val="32"/>
          <w:lang w:eastAsia="zh-CN"/>
        </w:rPr>
        <w:t>待遇</w:t>
      </w:r>
      <w:r>
        <w:rPr>
          <w:rFonts w:hint="eastAsia" w:ascii="仿宋_GB2312" w:hAnsi="仿宋_GB2312" w:eastAsia="仿宋_GB2312" w:cs="仿宋_GB2312"/>
          <w:strike w:val="0"/>
          <w:dstrike w:val="0"/>
          <w:color w:val="auto"/>
          <w:sz w:val="32"/>
          <w:szCs w:val="32"/>
        </w:rPr>
        <w:t>。</w:t>
      </w:r>
      <w:r>
        <w:rPr>
          <w:rFonts w:hint="eastAsia" w:ascii="仿宋_GB2312" w:hAnsi="仿宋_GB2312" w:eastAsia="仿宋_GB2312" w:cs="仿宋_GB2312"/>
          <w:strike w:val="0"/>
          <w:dstrike w:val="0"/>
          <w:color w:val="auto"/>
          <w:sz w:val="32"/>
          <w:szCs w:val="32"/>
          <w:highlight w:val="none"/>
        </w:rPr>
        <w:t>本市提供</w:t>
      </w:r>
      <w:r>
        <w:rPr>
          <w:rFonts w:hint="eastAsia" w:ascii="仿宋_GB2312" w:hAnsi="仿宋_GB2312" w:eastAsia="仿宋_GB2312" w:cs="仿宋_GB2312"/>
          <w:sz w:val="32"/>
          <w:szCs w:val="32"/>
          <w:highlight w:val="none"/>
          <w:shd w:val="clear" w:fill="FFFFFF"/>
          <w:lang w:val="en-US" w:eastAsia="zh-CN"/>
        </w:rPr>
        <w:t>门特病种</w:t>
      </w:r>
      <w:r>
        <w:rPr>
          <w:rFonts w:hint="eastAsia" w:ascii="仿宋_GB2312" w:hAnsi="仿宋_GB2312" w:eastAsia="仿宋_GB2312" w:cs="仿宋_GB2312"/>
          <w:strike w:val="0"/>
          <w:dstrike w:val="0"/>
          <w:color w:val="auto"/>
          <w:sz w:val="32"/>
          <w:szCs w:val="32"/>
          <w:highlight w:val="none"/>
        </w:rPr>
        <w:t>服务</w:t>
      </w:r>
      <w:r>
        <w:rPr>
          <w:rFonts w:hint="eastAsia" w:ascii="仿宋_GB2312" w:hAnsi="仿宋_GB2312" w:eastAsia="仿宋_GB2312" w:cs="仿宋_GB2312"/>
          <w:strike w:val="0"/>
          <w:dstrike w:val="0"/>
          <w:color w:val="auto"/>
          <w:sz w:val="32"/>
          <w:szCs w:val="32"/>
          <w:highlight w:val="none"/>
          <w:lang w:eastAsia="zh-CN"/>
        </w:rPr>
        <w:t>的</w:t>
      </w:r>
      <w:r>
        <w:rPr>
          <w:rFonts w:hint="eastAsia" w:ascii="仿宋_GB2312" w:hAnsi="仿宋_GB2312" w:eastAsia="仿宋_GB2312" w:cs="仿宋_GB2312"/>
          <w:strike w:val="0"/>
          <w:dstrike w:val="0"/>
          <w:color w:val="auto"/>
          <w:sz w:val="32"/>
          <w:szCs w:val="32"/>
          <w:highlight w:val="none"/>
        </w:rPr>
        <w:t>定点零售药店</w:t>
      </w:r>
      <w:r>
        <w:rPr>
          <w:rFonts w:hint="eastAsia" w:ascii="仿宋_GB2312" w:hAnsi="仿宋_GB2312" w:eastAsia="仿宋_GB2312" w:cs="仿宋_GB2312"/>
          <w:strike w:val="0"/>
          <w:dstrike w:val="0"/>
          <w:color w:val="auto"/>
          <w:sz w:val="32"/>
          <w:szCs w:val="32"/>
          <w:highlight w:val="none"/>
          <w:lang w:val="en-US" w:eastAsia="zh-CN"/>
        </w:rPr>
        <w:t>有关条件</w:t>
      </w:r>
      <w:r>
        <w:rPr>
          <w:rFonts w:hint="eastAsia" w:ascii="仿宋_GB2312" w:hAnsi="仿宋_GB2312" w:eastAsia="仿宋_GB2312" w:cs="仿宋_GB2312"/>
          <w:strike w:val="0"/>
          <w:dstrike w:val="0"/>
          <w:color w:val="auto"/>
          <w:sz w:val="32"/>
          <w:szCs w:val="32"/>
          <w:highlight w:val="none"/>
          <w:lang w:eastAsia="zh-CN"/>
        </w:rPr>
        <w:t>，参</w:t>
      </w:r>
      <w:r>
        <w:rPr>
          <w:rFonts w:hint="eastAsia" w:ascii="仿宋_GB2312" w:hAnsi="仿宋_GB2312" w:eastAsia="仿宋_GB2312" w:cs="仿宋_GB2312"/>
          <w:strike w:val="0"/>
          <w:dstrike w:val="0"/>
          <w:color w:val="auto"/>
          <w:sz w:val="32"/>
          <w:szCs w:val="32"/>
          <w:highlight w:val="none"/>
          <w:lang w:val="en-US" w:eastAsia="zh-CN"/>
        </w:rPr>
        <w:t>照</w:t>
      </w:r>
      <w:r>
        <w:rPr>
          <w:rFonts w:hint="eastAsia" w:ascii="仿宋_GB2312" w:hAnsi="仿宋_GB2312" w:eastAsia="仿宋_GB2312" w:cs="仿宋_GB2312"/>
          <w:strike w:val="0"/>
          <w:dstrike w:val="0"/>
          <w:color w:val="auto"/>
          <w:sz w:val="32"/>
          <w:szCs w:val="32"/>
          <w:highlight w:val="none"/>
          <w:lang w:eastAsia="zh-CN"/>
        </w:rPr>
        <w:t>纳入普通门诊统筹管理的定点零售药店条件执行。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kern w:val="0"/>
          <w:sz w:val="32"/>
          <w:szCs w:val="32"/>
          <w:highlight w:val="yellow"/>
          <w:lang w:val="en-US" w:eastAsia="zh-CN"/>
        </w:rPr>
      </w:pPr>
      <w:r>
        <w:rPr>
          <w:rFonts w:hint="eastAsia" w:ascii="黑体" w:hAnsi="黑体" w:eastAsia="黑体" w:cs="黑体"/>
          <w:sz w:val="32"/>
          <w:szCs w:val="32"/>
          <w:shd w:val="clear" w:fill="FFFFFF"/>
          <w:lang w:val="en-US" w:eastAsia="zh-CN"/>
        </w:rPr>
        <w:t>第十一条</w:t>
      </w:r>
      <w:r>
        <w:rPr>
          <w:rFonts w:hint="eastAsia" w:ascii="仿宋_GB2312" w:hAnsi="仿宋_GB2312" w:eastAsia="仿宋_GB2312" w:cs="仿宋_GB2312"/>
          <w:sz w:val="32"/>
          <w:szCs w:val="32"/>
          <w:shd w:val="clear" w:fill="FFFFFF"/>
          <w:lang w:val="en-US" w:eastAsia="zh-CN"/>
        </w:rPr>
        <w:t xml:space="preserve"> 门特病种</w:t>
      </w:r>
      <w:r>
        <w:rPr>
          <w:rFonts w:ascii="Times New Roman" w:hAnsi="Times New Roman" w:eastAsia="仿宋_GB2312"/>
          <w:kern w:val="0"/>
          <w:sz w:val="32"/>
          <w:szCs w:val="32"/>
        </w:rPr>
        <w:t>单次处方医保用药量</w:t>
      </w:r>
      <w:r>
        <w:rPr>
          <w:rFonts w:hint="eastAsia" w:ascii="仿宋_GB2312" w:hAnsi="仿宋_GB2312" w:eastAsia="仿宋_GB2312" w:cs="仿宋_GB2312"/>
          <w:kern w:val="0"/>
          <w:sz w:val="32"/>
          <w:szCs w:val="32"/>
          <w:highlight w:val="none"/>
          <w:lang w:val="en-US" w:eastAsia="zh-CN"/>
        </w:rPr>
        <w:t>按照国家、广东省及本市长处方管理规范执行。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shd w:val="clear" w:fill="FFFFFF"/>
          <w:lang w:val="en-US" w:eastAsia="zh-CN"/>
        </w:rPr>
        <w:t>第十二条</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color w:val="auto"/>
          <w:sz w:val="32"/>
          <w:szCs w:val="32"/>
        </w:rPr>
        <w:t>定点医疗机构</w:t>
      </w:r>
      <w:r>
        <w:rPr>
          <w:rFonts w:hint="eastAsia" w:ascii="仿宋_GB2312" w:hAnsi="仿宋_GB2312" w:eastAsia="仿宋_GB2312" w:cs="仿宋_GB2312"/>
          <w:sz w:val="32"/>
          <w:szCs w:val="32"/>
        </w:rPr>
        <w:t>应为</w:t>
      </w:r>
      <w:r>
        <w:rPr>
          <w:rFonts w:hint="eastAsia" w:ascii="仿宋_GB2312" w:hAnsi="仿宋_GB2312" w:eastAsia="仿宋_GB2312" w:cs="仿宋_GB2312"/>
          <w:sz w:val="32"/>
          <w:szCs w:val="32"/>
          <w:lang w:val="en-US" w:eastAsia="zh-CN"/>
        </w:rPr>
        <w:t>高血压、糖尿病</w:t>
      </w:r>
      <w:r>
        <w:rPr>
          <w:rFonts w:hint="eastAsia" w:ascii="仿宋_GB2312" w:hAnsi="仿宋_GB2312" w:eastAsia="仿宋_GB2312" w:cs="仿宋_GB2312"/>
          <w:sz w:val="32"/>
          <w:szCs w:val="32"/>
        </w:rPr>
        <w:t>参保人优先选用甲类药品，优先选用国家基本药物，优先选用通过一致性评价的品种，优先选用集中</w:t>
      </w:r>
      <w:r>
        <w:rPr>
          <w:rFonts w:hint="eastAsia" w:ascii="仿宋_GB2312" w:hAnsi="仿宋_GB2312" w:eastAsia="仿宋_GB2312" w:cs="仿宋_GB2312"/>
          <w:sz w:val="32"/>
          <w:szCs w:val="32"/>
          <w:lang w:eastAsia="zh-CN"/>
        </w:rPr>
        <w:t>带量</w:t>
      </w:r>
      <w:r>
        <w:rPr>
          <w:rFonts w:hint="eastAsia" w:ascii="仿宋_GB2312" w:hAnsi="仿宋_GB2312" w:eastAsia="仿宋_GB2312" w:cs="仿宋_GB2312"/>
          <w:sz w:val="32"/>
          <w:szCs w:val="32"/>
        </w:rPr>
        <w:t>采购中选药品。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fill="FFFFFF"/>
          <w:lang w:val="en-US" w:eastAsia="zh-CN"/>
        </w:rPr>
      </w:pPr>
      <w:r>
        <w:rPr>
          <w:rFonts w:hint="eastAsia" w:ascii="黑体" w:hAnsi="黑体" w:eastAsia="黑体" w:cs="黑体"/>
          <w:sz w:val="32"/>
          <w:szCs w:val="32"/>
          <w:shd w:val="clear" w:fill="FFFFFF"/>
          <w:lang w:val="en-US" w:eastAsia="zh-CN"/>
        </w:rPr>
        <w:t>第十三条</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rPr>
        <w:t>本通知未尽事宜，按照</w:t>
      </w:r>
      <w:r>
        <w:rPr>
          <w:rFonts w:hint="eastAsia" w:ascii="仿宋_GB2312" w:hAnsi="仿宋_GB2312" w:eastAsia="仿宋_GB2312" w:cs="仿宋_GB2312"/>
          <w:kern w:val="0"/>
          <w:sz w:val="32"/>
          <w:szCs w:val="32"/>
          <w:lang w:val="en-US" w:eastAsia="zh-CN" w:bidi="ar-SA"/>
        </w:rPr>
        <w:t>《广东省医疗保障局关于延长广东省基本医疗保险门诊特定病种管理办法有效期的通知</w:t>
      </w:r>
      <w:r>
        <w:rPr>
          <w:rFonts w:hint="eastAsia" w:ascii="仿宋_GB2312" w:hAnsi="仿宋_GB2312" w:eastAsia="仿宋_GB2312" w:cs="仿宋_GB2312"/>
          <w:strike w:val="0"/>
          <w:dstrike w:val="0"/>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（粤医保规</w:t>
      </w:r>
      <w:r>
        <w:rPr>
          <w:rFonts w:hint="eastAsia" w:ascii="仿宋_GB2312" w:hAnsi="仿宋_GB2312" w:eastAsia="仿宋_GB2312" w:cs="仿宋_GB2312"/>
          <w:b w:val="0"/>
          <w:strike w:val="0"/>
          <w:dstrike w:val="0"/>
          <w:color w:val="auto"/>
          <w:sz w:val="32"/>
          <w:szCs w:val="32"/>
          <w:lang w:eastAsia="zh-CN"/>
        </w:rPr>
        <w:t>〔</w:t>
      </w:r>
      <w:r>
        <w:rPr>
          <w:rFonts w:hint="eastAsia" w:ascii="仿宋_GB2312" w:hAnsi="仿宋_GB2312" w:eastAsia="仿宋_GB2312" w:cs="仿宋_GB2312"/>
          <w:b w:val="0"/>
          <w:strike w:val="0"/>
          <w:dstrike w:val="0"/>
          <w:color w:val="auto"/>
          <w:sz w:val="32"/>
          <w:szCs w:val="32"/>
          <w:lang w:val="en-US" w:eastAsia="zh-CN"/>
        </w:rPr>
        <w:t>2023</w:t>
      </w:r>
      <w:r>
        <w:rPr>
          <w:rFonts w:hint="eastAsia" w:ascii="仿宋_GB2312" w:hAnsi="仿宋_GB2312" w:eastAsia="仿宋_GB2312" w:cs="仿宋_GB2312"/>
          <w:b w:val="0"/>
          <w:strike w:val="0"/>
          <w:dstrike w:val="0"/>
          <w:color w:val="auto"/>
          <w:sz w:val="32"/>
          <w:szCs w:val="32"/>
          <w:lang w:eastAsia="zh-CN"/>
        </w:rPr>
        <w:t>〕</w:t>
      </w:r>
      <w:r>
        <w:rPr>
          <w:rFonts w:hint="eastAsia" w:ascii="仿宋_GB2312" w:hAnsi="仿宋_GB2312" w:eastAsia="仿宋_GB2312" w:cs="仿宋_GB2312"/>
          <w:b w:val="0"/>
          <w:strike w:val="0"/>
          <w:dstrike w:val="0"/>
          <w:color w:val="auto"/>
          <w:sz w:val="32"/>
          <w:szCs w:val="32"/>
          <w:lang w:val="en-US" w:eastAsia="zh-CN"/>
        </w:rPr>
        <w:t>3号）</w:t>
      </w:r>
      <w:r>
        <w:rPr>
          <w:rFonts w:hint="eastAsia" w:ascii="仿宋_GB2312" w:hAnsi="仿宋_GB2312" w:eastAsia="仿宋_GB2312" w:cs="仿宋_GB2312"/>
          <w:sz w:val="32"/>
          <w:szCs w:val="32"/>
        </w:rPr>
        <w:t>有关规定执行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shd w:val="clear" w:fill="FFFFFF"/>
          <w:lang w:val="en-US" w:eastAsia="zh-CN"/>
        </w:rPr>
      </w:pPr>
      <w:r>
        <w:rPr>
          <w:rFonts w:hint="eastAsia" w:ascii="黑体" w:hAnsi="黑体" w:eastAsia="黑体" w:cs="黑体"/>
          <w:sz w:val="32"/>
          <w:szCs w:val="32"/>
          <w:shd w:val="clear" w:fill="FFFFFF"/>
          <w:lang w:val="en-US" w:eastAsia="zh-CN"/>
        </w:rPr>
        <w:t>第十四条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rPr>
        <w:t>本通知自202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日起实施，有效期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shd w:val="clear" w:fill="FFFFFF"/>
          <w:lang w:val="en-US" w:eastAsia="zh-CN"/>
        </w:rPr>
      </w:pP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eastAsia="仿宋_GB2312" w:cs="仿宋_GB2312"/>
          <w:sz w:val="32"/>
          <w:szCs w:val="32"/>
          <w:shd w:val="clear" w:fill="FFFFFF"/>
          <w:lang w:val="en-US" w:eastAsia="zh-CN"/>
        </w:rPr>
      </w:pPr>
      <w:r>
        <w:rPr>
          <w:rFonts w:hint="eastAsia" w:eastAsia="仿宋_GB2312" w:cs="仿宋_GB2312"/>
          <w:sz w:val="32"/>
          <w:szCs w:val="32"/>
          <w:shd w:val="clear" w:fill="FFFFFF"/>
          <w:lang w:val="en-US" w:eastAsia="zh-CN"/>
        </w:rPr>
        <w:t>附件：深圳市基本医疗保险门诊特定病种目录</w:t>
      </w:r>
    </w:p>
    <w:p>
      <w:pPr>
        <w:keepNext w:val="0"/>
        <w:keepLines w:val="0"/>
        <w:pageBreakBefore w:val="0"/>
        <w:kinsoku/>
        <w:wordWrap/>
        <w:overflowPunct/>
        <w:topLinePunct w:val="0"/>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adjustRightInd/>
        <w:snapToGrid/>
        <w:spacing w:line="54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1-1</w:t>
      </w: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深圳市基本医疗保险门诊特定病种目录</w:t>
      </w:r>
    </w:p>
    <w:p>
      <w:pPr>
        <w:pStyle w:val="4"/>
        <w:keepNext w:val="0"/>
        <w:keepLines w:val="0"/>
        <w:pageBreakBefore w:val="0"/>
        <w:widowControl w:val="0"/>
        <w:kinsoku/>
        <w:wordWrap/>
        <w:overflowPunct/>
        <w:topLinePunct w:val="0"/>
        <w:bidi w:val="0"/>
        <w:adjustRightInd/>
        <w:snapToGrid/>
        <w:spacing w:before="0" w:beforeLines="0" w:after="0" w:afterLines="0" w:line="560" w:lineRule="exact"/>
        <w:textAlignment w:val="auto"/>
        <w:rPr>
          <w:rFonts w:hint="eastAsia" w:ascii="方正小标宋简体" w:hAnsi="方正小标宋简体" w:eastAsia="方正小标宋简体" w:cs="方正小标宋简体"/>
          <w:b w:val="0"/>
          <w:bCs w:val="0"/>
          <w:sz w:val="44"/>
          <w:szCs w:val="44"/>
          <w:lang w:val="en-US" w:eastAsia="zh-CN"/>
        </w:rPr>
      </w:pPr>
    </w:p>
    <w:p>
      <w:pPr>
        <w:pStyle w:val="4"/>
        <w:keepNext w:val="0"/>
        <w:keepLines w:val="0"/>
        <w:pageBreakBefore w:val="0"/>
        <w:widowControl w:val="0"/>
        <w:kinsoku/>
        <w:wordWrap/>
        <w:overflowPunct/>
        <w:topLinePunct w:val="0"/>
        <w:bidi w:val="0"/>
        <w:adjustRightInd/>
        <w:snapToGrid/>
        <w:spacing w:before="0" w:beforeLines="0" w:after="0" w:afterLines="0"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表1  一类门诊特定病种目录</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8070" w:type="dxa"/>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一类门诊特定病种名称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心脏移植术后抗排异治疗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肺脏移植术后抗排异治疗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肝脏移植术后抗排异治疗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肾脏移植术后抗排异治疗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造血干细胞移植后抗排异治疗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6</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7</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活动性肺结核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耐多药肺结核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9</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慢性肾功能不全（血透治疗）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10</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慢性肾功能不全（腹透治疗）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11</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恶性肿瘤（化疗、含生物靶向药物、内分泌治疗）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12</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恶性肿瘤（放疗）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骨髓纤维化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14</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骨髓增生异常综合症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15</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地中海贫血（海洋性贫血或珠蛋白生成障碍性贫血）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16</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再生障碍性贫血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17</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血友病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18</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精神分裂症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19</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分裂情感性障碍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20</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持久的妄想性障碍（偏执性精神病）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21</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双相（情感）障碍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22</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癫痫所致精神障碍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23</w:t>
            </w:r>
          </w:p>
        </w:tc>
        <w:tc>
          <w:tcPr>
            <w:tcW w:w="8070"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精神发育迟滞伴发精神障碍</w:t>
            </w:r>
          </w:p>
        </w:tc>
      </w:tr>
    </w:tbl>
    <w:p>
      <w:pPr>
        <w:rPr>
          <w:rFonts w:hint="eastAsia" w:ascii="黑体" w:hAnsi="黑体" w:eastAsia="黑体" w:cs="黑体"/>
          <w:b w:val="0"/>
          <w:bCs w:val="0"/>
          <w:sz w:val="32"/>
          <w:szCs w:val="32"/>
          <w:lang w:val="en-US" w:eastAsia="zh-CN"/>
        </w:rPr>
      </w:pPr>
    </w:p>
    <w:p>
      <w:pPr>
        <w:pStyle w:val="4"/>
        <w:keepNext w:val="0"/>
        <w:keepLines w:val="0"/>
        <w:pageBreakBefore w:val="0"/>
        <w:widowControl w:val="0"/>
        <w:kinsoku/>
        <w:wordWrap/>
        <w:overflowPunct/>
        <w:topLinePunct w:val="0"/>
        <w:bidi w:val="0"/>
        <w:adjustRightInd/>
        <w:snapToGrid/>
        <w:spacing w:before="0" w:beforeLines="0" w:after="0" w:afterLines="0"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表2  二类门诊特定病种目录</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945"/>
        <w:gridCol w:w="2622"/>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val="en-US" w:eastAsia="zh-CN"/>
              </w:rPr>
              <w:t>序号</w:t>
            </w:r>
          </w:p>
        </w:tc>
        <w:tc>
          <w:tcPr>
            <w:tcW w:w="29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sz w:val="28"/>
                <w:szCs w:val="28"/>
                <w:lang w:val="en-US" w:eastAsia="zh-CN"/>
              </w:rPr>
              <w:t>二类门诊特定病种名称</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职工医保一档参保人年度支付限额</w:t>
            </w:r>
          </w:p>
        </w:tc>
        <w:tc>
          <w:tcPr>
            <w:tcW w:w="278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职工医保二档、居民参保人年度支付限额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高血压病</w:t>
            </w:r>
          </w:p>
        </w:tc>
        <w:tc>
          <w:tcPr>
            <w:tcW w:w="262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8000</w:t>
            </w:r>
            <w:r>
              <w:rPr>
                <w:rFonts w:hint="eastAsia" w:ascii="仿宋_GB2312" w:hAnsi="仿宋_GB2312" w:eastAsia="仿宋_GB2312" w:cs="仿宋_GB2312"/>
                <w:sz w:val="28"/>
                <w:szCs w:val="28"/>
              </w:rPr>
              <w:t>元/年</w:t>
            </w:r>
            <w:r>
              <w:rPr>
                <w:rFonts w:hint="eastAsia" w:ascii="仿宋_GB2312" w:hAnsi="仿宋_GB2312" w:eastAsia="仿宋_GB2312" w:cs="仿宋_GB2312"/>
                <w:sz w:val="28"/>
                <w:szCs w:val="28"/>
                <w:lang w:val="en-US" w:eastAsia="zh-CN"/>
              </w:rPr>
              <w:t>/病种</w:t>
            </w:r>
          </w:p>
        </w:tc>
        <w:tc>
          <w:tcPr>
            <w:tcW w:w="278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6000</w:t>
            </w:r>
            <w:r>
              <w:rPr>
                <w:rFonts w:hint="eastAsia" w:ascii="仿宋_GB2312" w:hAnsi="仿宋_GB2312" w:eastAsia="仿宋_GB2312" w:cs="仿宋_GB2312"/>
                <w:sz w:val="28"/>
                <w:szCs w:val="28"/>
              </w:rPr>
              <w:t>元/年</w:t>
            </w:r>
            <w:r>
              <w:rPr>
                <w:rFonts w:hint="eastAsia" w:ascii="仿宋_GB2312" w:hAnsi="仿宋_GB2312" w:eastAsia="仿宋_GB2312" w:cs="仿宋_GB2312"/>
                <w:sz w:val="28"/>
                <w:szCs w:val="28"/>
                <w:lang w:val="en-US" w:eastAsia="zh-CN"/>
              </w:rPr>
              <w:t>/病种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糖尿病</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慢性阻塞性肺疾病</w:t>
            </w:r>
          </w:p>
        </w:tc>
        <w:tc>
          <w:tcPr>
            <w:tcW w:w="262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000元/年</w:t>
            </w:r>
            <w:r>
              <w:rPr>
                <w:rFonts w:hint="eastAsia" w:ascii="仿宋_GB2312" w:hAnsi="仿宋_GB2312" w:eastAsia="仿宋_GB2312" w:cs="仿宋_GB2312"/>
                <w:sz w:val="28"/>
                <w:szCs w:val="28"/>
                <w:lang w:val="en-US" w:eastAsia="zh-CN"/>
              </w:rPr>
              <w:t>/病种</w:t>
            </w:r>
          </w:p>
        </w:tc>
        <w:tc>
          <w:tcPr>
            <w:tcW w:w="278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10000元/年</w:t>
            </w:r>
            <w:r>
              <w:rPr>
                <w:rFonts w:hint="eastAsia" w:ascii="仿宋_GB2312" w:hAnsi="仿宋_GB2312" w:eastAsia="仿宋_GB2312" w:cs="仿宋_GB2312"/>
                <w:sz w:val="28"/>
                <w:szCs w:val="28"/>
                <w:lang w:val="en-US" w:eastAsia="zh-CN"/>
              </w:rPr>
              <w:t>/病种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冠心病</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脑血管疾病后遗症</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6</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类风湿关节炎</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7</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支气管哮喘</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慢性乙型肝炎</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9</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帕金森病</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10</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癫痫</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11</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强直性脊柱炎</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12</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克罗恩病</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溃疡性结肠炎</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14</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银屑病</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15</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慢性心功能不全</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16</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系统性红斑狼疮</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17</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肝硬化（失代偿期）</w:t>
            </w:r>
          </w:p>
        </w:tc>
        <w:tc>
          <w:tcPr>
            <w:tcW w:w="2622" w:type="dxa"/>
            <w:vMerge w:val="restart"/>
            <w:vAlign w:val="center"/>
          </w:tcPr>
          <w:p>
            <w:pPr>
              <w:spacing w:line="560" w:lineRule="exact"/>
              <w:jc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000元/年</w:t>
            </w:r>
            <w:r>
              <w:rPr>
                <w:rFonts w:hint="eastAsia" w:ascii="仿宋_GB2312" w:hAnsi="仿宋_GB2312" w:eastAsia="仿宋_GB2312" w:cs="仿宋_GB2312"/>
                <w:sz w:val="28"/>
                <w:szCs w:val="28"/>
                <w:lang w:val="en-US" w:eastAsia="zh-CN"/>
              </w:rPr>
              <w:t>/病种</w:t>
            </w:r>
          </w:p>
        </w:tc>
        <w:tc>
          <w:tcPr>
            <w:tcW w:w="2788" w:type="dxa"/>
            <w:vMerge w:val="restart"/>
            <w:vAlign w:val="center"/>
          </w:tcPr>
          <w:p>
            <w:pPr>
              <w:spacing w:line="560" w:lineRule="exact"/>
              <w:jc w:val="center"/>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20000元/年</w:t>
            </w:r>
            <w:r>
              <w:rPr>
                <w:rFonts w:hint="eastAsia" w:ascii="仿宋_GB2312" w:hAnsi="仿宋_GB2312" w:eastAsia="仿宋_GB2312" w:cs="仿宋_GB2312"/>
                <w:sz w:val="28"/>
                <w:szCs w:val="28"/>
                <w:lang w:val="en-US" w:eastAsia="zh-CN"/>
              </w:rPr>
              <w:t>/病种</w:t>
            </w:r>
          </w:p>
          <w:p>
            <w:pPr>
              <w:spacing w:line="560" w:lineRule="exact"/>
              <w:jc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18</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慢性肾功能不全（非透析治疗）</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19</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视网膜静脉阻塞所致黄斑水肿</w:t>
            </w:r>
          </w:p>
        </w:tc>
        <w:tc>
          <w:tcPr>
            <w:tcW w:w="2622" w:type="dxa"/>
            <w:vMerge w:val="continue"/>
            <w:vAlign w:val="center"/>
          </w:tcPr>
          <w:p>
            <w:pPr>
              <w:spacing w:line="560" w:lineRule="exact"/>
              <w:jc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spacing w:line="560" w:lineRule="exact"/>
              <w:jc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20</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新冠肺炎出院患者门诊康复治疗</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21</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恶性肿瘤（非放化疗）</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22</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湿性年龄相关性黄斑变性</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23</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糖尿病黄斑水肿</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脉络膜新生血管</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丙型肝炎（HCV RNA阳性）</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肢端肥大症</w:t>
            </w:r>
          </w:p>
        </w:tc>
        <w:tc>
          <w:tcPr>
            <w:tcW w:w="2622"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0000元/年</w:t>
            </w:r>
          </w:p>
        </w:tc>
        <w:tc>
          <w:tcPr>
            <w:tcW w:w="278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多发性硬化</w:t>
            </w:r>
          </w:p>
        </w:tc>
        <w:tc>
          <w:tcPr>
            <w:tcW w:w="262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0000元/年</w:t>
            </w:r>
            <w:r>
              <w:rPr>
                <w:rFonts w:hint="eastAsia" w:ascii="仿宋_GB2312" w:hAnsi="仿宋_GB2312" w:eastAsia="仿宋_GB2312" w:cs="仿宋_GB2312"/>
                <w:sz w:val="28"/>
                <w:szCs w:val="28"/>
                <w:lang w:val="en-US" w:eastAsia="zh-CN"/>
              </w:rPr>
              <w:t>/病种</w:t>
            </w:r>
          </w:p>
        </w:tc>
        <w:tc>
          <w:tcPr>
            <w:tcW w:w="278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90000元/年</w:t>
            </w:r>
            <w:r>
              <w:rPr>
                <w:rFonts w:hint="eastAsia" w:ascii="仿宋_GB2312" w:hAnsi="仿宋_GB2312" w:eastAsia="仿宋_GB2312" w:cs="仿宋_GB2312"/>
                <w:sz w:val="28"/>
                <w:szCs w:val="28"/>
                <w:lang w:val="en-US" w:eastAsia="zh-CN"/>
              </w:rPr>
              <w:t>/病种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肺动脉高压</w:t>
            </w:r>
          </w:p>
        </w:tc>
        <w:tc>
          <w:tcPr>
            <w:tcW w:w="262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278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w:t>
            </w:r>
          </w:p>
        </w:tc>
        <w:tc>
          <w:tcPr>
            <w:tcW w:w="294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C型尼曼匹克病</w:t>
            </w:r>
          </w:p>
        </w:tc>
        <w:tc>
          <w:tcPr>
            <w:tcW w:w="2622"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0000元/年</w:t>
            </w:r>
          </w:p>
        </w:tc>
        <w:tc>
          <w:tcPr>
            <w:tcW w:w="278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190000元/年</w:t>
            </w:r>
          </w:p>
        </w:tc>
      </w:tr>
    </w:tbl>
    <w:p>
      <w:pPr>
        <w:pStyle w:val="2"/>
        <w:keepNext w:val="0"/>
        <w:keepLines w:val="0"/>
        <w:pageBreakBefore w:val="0"/>
        <w:kinsoku/>
        <w:wordWrap/>
        <w:overflowPunct/>
        <w:topLinePunct w:val="0"/>
        <w:bidi w:val="0"/>
        <w:adjustRightInd/>
        <w:snapToGrid/>
        <w:spacing w:line="540" w:lineRule="exact"/>
        <w:textAlignment w:val="auto"/>
        <w:rPr>
          <w:rFonts w:hint="eastAsi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方正小标宋简体" w:hAnsi="方正小标宋简体" w:eastAsia="方正小标宋简体" w:cs="方正小标宋简体"/>
          <w:color w:val="auto"/>
          <w:sz w:val="44"/>
          <w:szCs w:val="44"/>
          <w:lang w:val="en-US" w:eastAsia="zh-CN"/>
        </w:rPr>
        <w:sectPr>
          <w:headerReference r:id="rId3" w:type="default"/>
          <w:footerReference r:id="rId4" w:type="default"/>
          <w:pgSz w:w="11906" w:h="16838"/>
          <w:pgMar w:top="2098" w:right="1474" w:bottom="1984" w:left="1587" w:header="851" w:footer="992" w:gutter="0"/>
          <w:pgNumType w:fmt="decimal"/>
          <w:cols w:space="0" w:num="1"/>
          <w:rtlGutter w:val="0"/>
          <w:docGrid w:type="lines" w:linePitch="319" w:charSpace="0"/>
        </w:sectPr>
      </w:pPr>
      <w:r>
        <w:rPr>
          <w:rFonts w:hint="eastAsia" w:ascii="仿宋_GB2312" w:hAnsi="仿宋_GB2312" w:eastAsia="仿宋_GB2312" w:cs="仿宋_GB2312"/>
          <w:sz w:val="32"/>
          <w:szCs w:val="32"/>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ZWNkZDI1Y2ZhMTAzNDg3NjVmMTIxMjM3NWE1NzMifQ=="/>
  </w:docVars>
  <w:rsids>
    <w:rsidRoot w:val="5D9B1E17"/>
    <w:rsid w:val="5D9B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3"/>
    <w:next w:val="4"/>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customStyle="1" w:styleId="3">
    <w:name w:val="正文_0"/>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4">
    <w:name w:val="Title"/>
    <w:basedOn w:val="3"/>
    <w:next w:val="3"/>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2">
    <w:name w:val="10"/>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2044</Words>
  <Characters>2150</Characters>
  <Lines>0</Lines>
  <Paragraphs>0</Paragraphs>
  <TotalTime>0</TotalTime>
  <ScaleCrop>false</ScaleCrop>
  <LinksUpToDate>false</LinksUpToDate>
  <CharactersWithSpaces>2196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2023-09-09T06:39:00Z</dcterms:created>
  <dc:creator>杜小猪</dc:creator>
  <cp:lastModifiedBy>杜小猪</cp:lastModifiedBy>
  <dcterms:modified xsi:type="dcterms:W3CDTF">2023-09-09T06:40:42Z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2457D9DAF75A448988BD3466AD83865F_11</vt:lpwstr>
  </property>
</Properties>
</file>