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default" w:ascii="黑体" w:hAnsi="黑体" w:eastAsia="黑体" w:cs="黑体"/>
          <w:sz w:val="32"/>
          <w:szCs w:val="32"/>
        </w:rPr>
      </w:pPr>
      <w:r>
        <w:rPr>
          <w:rFonts w:hint="eastAsia" w:ascii="黑体" w:hAnsi="黑体" w:eastAsia="黑体" w:cs="黑体"/>
          <w:sz w:val="32"/>
          <w:szCs w:val="32"/>
        </w:rPr>
        <w:t>附件</w:t>
      </w:r>
      <w:r>
        <w:rPr>
          <w:rFonts w:hint="default" w:ascii="黑体" w:hAnsi="黑体" w:eastAsia="黑体" w:cs="黑体"/>
          <w:sz w:val="32"/>
          <w:szCs w:val="32"/>
        </w:rPr>
        <w:t>1</w:t>
      </w:r>
    </w:p>
    <w:p>
      <w:pPr>
        <w:pStyle w:val="3"/>
        <w:rPr>
          <w:rFonts w:hint="eastAsia"/>
          <w:lang w:val="en-US" w:eastAsia="zh-CN"/>
        </w:rPr>
      </w:pPr>
    </w:p>
    <w:p>
      <w:pPr>
        <w:pageBreakBefore w:val="0"/>
        <w:kinsoku/>
        <w:wordWrap/>
        <w:overflowPunct/>
        <w:topLinePunct w:val="0"/>
        <w:autoSpaceDE/>
        <w:autoSpaceDN/>
        <w:bidi w:val="0"/>
        <w:adjustRightInd/>
        <w:snapToGrid/>
        <w:spacing w:line="560" w:lineRule="exact"/>
        <w:jc w:val="center"/>
        <w:textAlignment w:val="auto"/>
        <w:rPr>
          <w:rFonts w:hint="default" w:ascii="方正小标宋简体" w:hAnsi="Calibri" w:eastAsia="方正小标宋简体" w:cs="Times New Roman"/>
          <w:spacing w:val="-10"/>
          <w:sz w:val="44"/>
          <w:szCs w:val="44"/>
        </w:rPr>
      </w:pPr>
      <w:r>
        <w:rPr>
          <w:rFonts w:hint="default" w:ascii="方正小标宋简体" w:hAnsi="Calibri" w:eastAsia="方正小标宋简体" w:cs="Times New Roman"/>
          <w:spacing w:val="-10"/>
          <w:sz w:val="44"/>
          <w:szCs w:val="44"/>
          <w:lang w:val="en-US" w:eastAsia="zh-CN"/>
        </w:rPr>
        <w:t>《</w:t>
      </w:r>
      <w:r>
        <w:rPr>
          <w:rFonts w:hint="default" w:ascii="方正小标宋简体" w:hAnsi="Calibri" w:eastAsia="方正小标宋简体" w:cs="Times New Roman"/>
          <w:spacing w:val="-10"/>
          <w:sz w:val="44"/>
          <w:szCs w:val="44"/>
        </w:rPr>
        <w:t xml:space="preserve">深圳市前海深港现代服务业合作区管理局 </w:t>
      </w:r>
    </w:p>
    <w:p>
      <w:pPr>
        <w:pageBreakBefore w:val="0"/>
        <w:kinsoku/>
        <w:wordWrap/>
        <w:overflowPunct/>
        <w:topLinePunct w:val="0"/>
        <w:autoSpaceDE/>
        <w:autoSpaceDN/>
        <w:bidi w:val="0"/>
        <w:adjustRightInd/>
        <w:snapToGrid/>
        <w:spacing w:line="560" w:lineRule="exact"/>
        <w:jc w:val="center"/>
        <w:textAlignment w:val="auto"/>
        <w:rPr>
          <w:rStyle w:val="7"/>
          <w:rFonts w:hint="eastAsia" w:ascii="楷体_GB2312" w:hAnsi="楷体_GB2312" w:eastAsia="楷体_GB2312" w:cs="楷体_GB2312"/>
          <w:bCs w:val="0"/>
          <w:color w:val="auto"/>
          <w:kern w:val="2"/>
          <w:sz w:val="32"/>
          <w:szCs w:val="32"/>
          <w:highlight w:val="none"/>
          <w:lang w:val="en-US" w:eastAsia="zh-CN" w:bidi="ar-SA"/>
        </w:rPr>
      </w:pPr>
      <w:r>
        <w:rPr>
          <w:rFonts w:hint="default" w:ascii="方正小标宋简体" w:hAnsi="Calibri" w:eastAsia="方正小标宋简体" w:cs="Times New Roman"/>
          <w:spacing w:val="-10"/>
          <w:sz w:val="44"/>
          <w:szCs w:val="44"/>
        </w:rPr>
        <w:t>南山区人民政府关于支持船舶租赁等航运业态</w:t>
      </w:r>
      <w:bookmarkStart w:id="0" w:name="_GoBack"/>
      <w:bookmarkEnd w:id="0"/>
      <w:r>
        <w:rPr>
          <w:rFonts w:hint="default" w:ascii="方正小标宋简体" w:hAnsi="Calibri" w:eastAsia="方正小标宋简体" w:cs="Times New Roman"/>
          <w:spacing w:val="-10"/>
          <w:sz w:val="44"/>
          <w:szCs w:val="44"/>
        </w:rPr>
        <w:t>高质量发展的若干措施（征求意见稿）</w:t>
      </w:r>
      <w:r>
        <w:rPr>
          <w:rFonts w:hint="default" w:ascii="方正小标宋简体" w:hAnsi="Calibri" w:eastAsia="方正小标宋简体" w:cs="Times New Roman"/>
          <w:spacing w:val="-10"/>
          <w:sz w:val="44"/>
          <w:szCs w:val="44"/>
          <w:lang w:val="en-US" w:eastAsia="zh-CN"/>
        </w:rPr>
        <w:t>》</w:t>
      </w:r>
    </w:p>
    <w:p>
      <w:pPr>
        <w:pageBreakBefore w:val="0"/>
        <w:kinsoku/>
        <w:wordWrap/>
        <w:overflowPunct/>
        <w:topLinePunct w:val="0"/>
        <w:autoSpaceDE/>
        <w:autoSpaceDN/>
        <w:bidi w:val="0"/>
        <w:adjustRightInd/>
        <w:snapToGrid/>
        <w:spacing w:line="560" w:lineRule="exact"/>
        <w:textAlignment w:val="auto"/>
        <w:rPr>
          <w:rStyle w:val="7"/>
          <w:rFonts w:hint="default" w:ascii="CESI楷体-GB2312" w:hAnsi="CESI楷体-GB2312" w:eastAsia="CESI楷体-GB2312" w:cs="CESI楷体-GB2312"/>
          <w:bCs w:val="0"/>
          <w:color w:val="auto"/>
          <w:kern w:val="2"/>
          <w:sz w:val="32"/>
          <w:szCs w:val="32"/>
          <w:highlight w:val="none"/>
          <w:lang w:eastAsia="zh-CN" w:bidi="ar-SA"/>
        </w:rPr>
      </w:pPr>
    </w:p>
    <w:p>
      <w:pPr>
        <w:pageBreakBefore w:val="0"/>
        <w:kinsoku/>
        <w:wordWrap/>
        <w:overflowPunct/>
        <w:topLinePunct w:val="0"/>
        <w:autoSpaceDE/>
        <w:autoSpaceDN/>
        <w:bidi w:val="0"/>
        <w:adjustRightInd/>
        <w:snapToGrid/>
        <w:spacing w:line="560" w:lineRule="exact"/>
        <w:ind w:firstLine="640" w:firstLineChars="200"/>
        <w:jc w:val="left"/>
        <w:textAlignment w:val="auto"/>
        <w:rPr>
          <w:rStyle w:val="7"/>
          <w:rFonts w:hint="default" w:ascii="仿宋_GB2312" w:hAnsi="Calibri" w:eastAsia="仿宋_GB2312" w:cs="Times New Roman"/>
          <w:color w:val="auto"/>
          <w:kern w:val="2"/>
          <w:sz w:val="32"/>
          <w:szCs w:val="32"/>
          <w:highlight w:val="none"/>
          <w:shd w:val="clear" w:color="auto" w:fill="auto"/>
          <w:lang w:eastAsia="zh-CN" w:bidi="ar"/>
        </w:rPr>
      </w:pPr>
      <w:r>
        <w:rPr>
          <w:rFonts w:hint="eastAsia" w:ascii="仿宋_GB2312" w:hAnsi="仿宋_GB2312" w:eastAsia="仿宋_GB2312" w:cs="仿宋_GB2312"/>
          <w:b w:val="0"/>
          <w:i w:val="0"/>
          <w:caps w:val="0"/>
          <w:color w:val="000000"/>
          <w:spacing w:val="0"/>
          <w:sz w:val="32"/>
          <w:szCs w:val="32"/>
          <w:shd w:val="clear" w:color="auto" w:fill="auto"/>
        </w:rPr>
        <w:t>为</w:t>
      </w:r>
      <w:r>
        <w:rPr>
          <w:rFonts w:hint="eastAsia" w:ascii="仿宋_GB2312" w:hAnsi="仿宋_GB2312" w:eastAsia="仿宋_GB2312" w:cs="仿宋_GB2312"/>
          <w:b w:val="0"/>
          <w:i w:val="0"/>
          <w:caps w:val="0"/>
          <w:color w:val="000000"/>
          <w:spacing w:val="0"/>
          <w:sz w:val="32"/>
          <w:szCs w:val="32"/>
          <w:shd w:val="clear" w:color="auto" w:fill="auto"/>
          <w:lang w:val="en-US" w:eastAsia="zh-CN"/>
        </w:rPr>
        <w:t>深入</w:t>
      </w:r>
      <w:r>
        <w:rPr>
          <w:rFonts w:hint="eastAsia" w:ascii="仿宋_GB2312" w:hAnsi="仿宋_GB2312" w:eastAsia="仿宋_GB2312" w:cs="仿宋_GB2312"/>
          <w:b w:val="0"/>
          <w:i w:val="0"/>
          <w:caps w:val="0"/>
          <w:color w:val="000000"/>
          <w:spacing w:val="0"/>
          <w:sz w:val="32"/>
          <w:szCs w:val="32"/>
          <w:shd w:val="clear" w:color="auto" w:fill="auto"/>
        </w:rPr>
        <w:t>贯彻落实</w:t>
      </w:r>
      <w:r>
        <w:rPr>
          <w:rStyle w:val="7"/>
          <w:rFonts w:hint="default" w:ascii="仿宋_GB2312" w:hAnsi="Calibri" w:eastAsia="仿宋_GB2312" w:cs="Times New Roman"/>
          <w:color w:val="auto"/>
          <w:kern w:val="2"/>
          <w:sz w:val="32"/>
          <w:szCs w:val="32"/>
          <w:highlight w:val="none"/>
          <w:shd w:val="clear" w:color="auto" w:fill="auto"/>
          <w:lang w:eastAsia="zh-CN" w:bidi="ar"/>
        </w:rPr>
        <w:t>《粤港澳大湾区发展规划纲要》《全面深化前海深港现代服务业合作区改革开放方案》重要精神</w:t>
      </w:r>
      <w:r>
        <w:rPr>
          <w:rStyle w:val="7"/>
          <w:rFonts w:hint="eastAsia" w:ascii="仿宋_GB2312" w:hAnsi="Calibri" w:eastAsia="仿宋_GB2312" w:cs="Times New Roman"/>
          <w:color w:val="auto"/>
          <w:kern w:val="2"/>
          <w:sz w:val="32"/>
          <w:szCs w:val="32"/>
          <w:highlight w:val="none"/>
          <w:shd w:val="clear" w:color="auto" w:fill="auto"/>
          <w:lang w:eastAsia="zh-CN" w:bidi="ar"/>
        </w:rPr>
        <w:t>，</w:t>
      </w:r>
      <w:r>
        <w:rPr>
          <w:rFonts w:hint="default" w:ascii="仿宋_GB2312" w:hAnsi="仿宋_GB2312" w:eastAsia="仿宋_GB2312" w:cs="仿宋_GB2312"/>
          <w:sz w:val="32"/>
          <w:szCs w:val="32"/>
        </w:rPr>
        <w:t>抢抓</w:t>
      </w:r>
      <w:r>
        <w:rPr>
          <w:rFonts w:hint="eastAsia" w:ascii="仿宋_GB2312" w:hAnsi="仿宋_GB2312" w:eastAsia="仿宋_GB2312" w:cs="仿宋_GB2312"/>
          <w:sz w:val="32"/>
          <w:szCs w:val="32"/>
        </w:rPr>
        <w:t>建设交通强国、海洋强国、粤港澳大湾区、深圳先行示范区带来的发展机遇，</w:t>
      </w:r>
      <w:r>
        <w:rPr>
          <w:rFonts w:hint="eastAsia" w:ascii="仿宋_GB2312" w:hAnsi="仿宋_GB2312" w:eastAsia="仿宋_GB2312" w:cs="仿宋_GB2312"/>
          <w:sz w:val="32"/>
          <w:szCs w:val="32"/>
          <w:lang w:eastAsia="zh-CN"/>
        </w:rPr>
        <w:t>充分发挥</w:t>
      </w:r>
      <w:r>
        <w:rPr>
          <w:rStyle w:val="7"/>
          <w:rFonts w:hint="eastAsia" w:ascii="仿宋_GB2312" w:eastAsia="仿宋_GB2312"/>
          <w:color w:val="auto"/>
          <w:sz w:val="32"/>
          <w:szCs w:val="32"/>
          <w:highlight w:val="none"/>
        </w:rPr>
        <w:t>深圳前海深港现代服务业合作区（以下简称“前海合作区”）</w:t>
      </w:r>
      <w:r>
        <w:rPr>
          <w:rFonts w:hint="eastAsia" w:ascii="仿宋_GB2312" w:hAnsi="仿宋_GB2312" w:eastAsia="仿宋_GB2312" w:cs="仿宋_GB2312"/>
          <w:sz w:val="32"/>
          <w:szCs w:val="32"/>
          <w:lang w:eastAsia="zh-CN"/>
        </w:rPr>
        <w:t>综合政策优势，</w:t>
      </w:r>
      <w:r>
        <w:rPr>
          <w:rFonts w:hint="eastAsia" w:ascii="仿宋_GB2312" w:hAnsi="仿宋_GB2312" w:eastAsia="仿宋_GB2312" w:cs="仿宋_GB2312"/>
          <w:sz w:val="32"/>
          <w:szCs w:val="32"/>
        </w:rPr>
        <w:t>大力</w:t>
      </w:r>
      <w:r>
        <w:rPr>
          <w:rFonts w:hint="eastAsia" w:ascii="仿宋_GB2312" w:hAnsi="仿宋_GB2312" w:eastAsia="仿宋_GB2312" w:cs="仿宋_GB2312"/>
          <w:sz w:val="32"/>
          <w:szCs w:val="32"/>
          <w:lang w:eastAsia="zh-CN"/>
        </w:rPr>
        <w:t>推动船舶租赁</w:t>
      </w:r>
      <w:r>
        <w:rPr>
          <w:rFonts w:hint="default" w:ascii="仿宋_GB2312" w:hAnsi="仿宋_GB2312" w:eastAsia="仿宋_GB2312" w:cs="仿宋_GB2312"/>
          <w:sz w:val="32"/>
          <w:szCs w:val="32"/>
          <w:lang w:eastAsia="zh-CN"/>
        </w:rPr>
        <w:t>等航运业态</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全面助力深圳加快建设全球知名的国际航运中心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特制定《</w:t>
      </w:r>
      <w:r>
        <w:rPr>
          <w:rFonts w:hint="eastAsia" w:ascii="仿宋_GB2312" w:hAnsi="仿宋_GB2312" w:eastAsia="仿宋_GB2312" w:cs="仿宋_GB2312"/>
          <w:sz w:val="32"/>
          <w:szCs w:val="32"/>
          <w:lang w:eastAsia="zh-CN"/>
        </w:rPr>
        <w:t>深圳市前海</w:t>
      </w:r>
      <w:r>
        <w:rPr>
          <w:rFonts w:hint="default" w:ascii="仿宋_GB2312" w:hAnsi="仿宋_GB2312" w:eastAsia="仿宋_GB2312" w:cs="仿宋_GB2312"/>
          <w:sz w:val="32"/>
          <w:szCs w:val="32"/>
          <w:lang w:eastAsia="zh-CN"/>
        </w:rPr>
        <w:t>深港现代服务业合作区</w:t>
      </w:r>
      <w:r>
        <w:rPr>
          <w:rFonts w:hint="eastAsia" w:ascii="仿宋_GB2312" w:hAnsi="仿宋_GB2312" w:eastAsia="仿宋_GB2312" w:cs="仿宋_GB2312"/>
          <w:sz w:val="32"/>
          <w:szCs w:val="32"/>
          <w:lang w:eastAsia="zh-CN"/>
        </w:rPr>
        <w:t>管理局</w:t>
      </w:r>
      <w:r>
        <w:rPr>
          <w:rFonts w:hint="default" w:ascii="仿宋_GB2312" w:hAnsi="仿宋_GB2312" w:eastAsia="仿宋_GB2312" w:cs="仿宋_GB2312"/>
          <w:sz w:val="32"/>
          <w:szCs w:val="32"/>
          <w:lang w:eastAsia="zh-CN"/>
        </w:rPr>
        <w:t xml:space="preserve"> 南山区人民政府</w:t>
      </w:r>
      <w:r>
        <w:rPr>
          <w:rFonts w:hint="eastAsia" w:ascii="仿宋_GB2312" w:hAnsi="仿宋_GB2312" w:eastAsia="仿宋_GB2312" w:cs="仿宋_GB2312"/>
          <w:sz w:val="32"/>
          <w:szCs w:val="32"/>
          <w:lang w:eastAsia="zh-CN"/>
        </w:rPr>
        <w:t>关于</w:t>
      </w:r>
      <w:r>
        <w:rPr>
          <w:rFonts w:hint="default" w:ascii="仿宋_GB2312" w:hAnsi="仿宋_GB2312" w:eastAsia="仿宋_GB2312" w:cs="仿宋_GB2312"/>
          <w:sz w:val="32"/>
          <w:szCs w:val="32"/>
          <w:lang w:eastAsia="zh-CN"/>
        </w:rPr>
        <w:t>支持</w:t>
      </w:r>
      <w:r>
        <w:rPr>
          <w:rFonts w:hint="eastAsia" w:ascii="仿宋_GB2312" w:hAnsi="仿宋_GB2312" w:eastAsia="仿宋_GB2312" w:cs="仿宋_GB2312"/>
          <w:sz w:val="32"/>
          <w:szCs w:val="32"/>
          <w:lang w:eastAsia="zh-CN"/>
        </w:rPr>
        <w:t>船舶租赁高质量</w:t>
      </w:r>
      <w:r>
        <w:rPr>
          <w:rFonts w:hint="default" w:ascii="仿宋_GB2312" w:hAnsi="仿宋_GB2312" w:eastAsia="仿宋_GB2312" w:cs="仿宋_GB2312"/>
          <w:sz w:val="32"/>
          <w:szCs w:val="32"/>
          <w:lang w:eastAsia="zh-CN"/>
        </w:rPr>
        <w:t>发展的若干措施》。</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Style w:val="7"/>
          <w:rFonts w:hint="default" w:ascii="黑体" w:hAnsi="黑体" w:eastAsia="黑体"/>
          <w:color w:val="auto"/>
          <w:sz w:val="32"/>
          <w:szCs w:val="32"/>
          <w:highlight w:val="none"/>
          <w:lang w:eastAsia="zh-CN"/>
        </w:rPr>
      </w:pPr>
      <w:r>
        <w:rPr>
          <w:rStyle w:val="7"/>
          <w:rFonts w:hint="default" w:ascii="黑体" w:hAnsi="黑体" w:eastAsia="黑体"/>
          <w:color w:val="auto"/>
          <w:sz w:val="32"/>
          <w:szCs w:val="32"/>
          <w:highlight w:val="none"/>
          <w:lang w:eastAsia="zh-CN"/>
        </w:rPr>
        <w:t>一、总则</w:t>
      </w:r>
    </w:p>
    <w:p>
      <w:pPr>
        <w:pStyle w:val="8"/>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kern w:val="2"/>
          <w:sz w:val="32"/>
          <w:szCs w:val="32"/>
          <w:lang w:val="en-US" w:eastAsia="zh-CN" w:bidi="ar-SA"/>
        </w:rPr>
        <w:t>为贯彻落实《全面深化前海深港现代服务业合作区改革开放方案》精神，促进前海合作区</w:t>
      </w:r>
      <w:r>
        <w:rPr>
          <w:rFonts w:hint="default" w:ascii="仿宋_GB2312" w:hAnsi="仿宋_GB2312" w:eastAsia="仿宋_GB2312" w:cs="仿宋_GB2312"/>
          <w:kern w:val="2"/>
          <w:sz w:val="32"/>
          <w:szCs w:val="32"/>
          <w:lang w:val="en-US" w:eastAsia="zh-CN" w:bidi="ar-SA"/>
        </w:rPr>
        <w:t>船舶租赁等航运业态发展</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根据相关规定，结合前海合作区实际</w:t>
      </w:r>
      <w:r>
        <w:rPr>
          <w:rFonts w:hint="eastAsia" w:ascii="仿宋_GB2312" w:hAnsi="仿宋_GB2312" w:eastAsia="仿宋_GB2312" w:cs="仿宋_GB2312"/>
          <w:kern w:val="2"/>
          <w:sz w:val="32"/>
          <w:szCs w:val="32"/>
          <w:lang w:val="en-US" w:eastAsia="zh-CN" w:bidi="ar-SA"/>
        </w:rPr>
        <w:t>，制定本</w:t>
      </w:r>
      <w:r>
        <w:rPr>
          <w:rFonts w:hint="default" w:ascii="仿宋_GB2312" w:hAnsi="仿宋_GB2312" w:eastAsia="仿宋_GB2312" w:cs="仿宋_GB2312"/>
          <w:kern w:val="2"/>
          <w:sz w:val="32"/>
          <w:szCs w:val="32"/>
          <w:lang w:val="en-US" w:eastAsia="zh-CN" w:bidi="ar-SA"/>
        </w:rPr>
        <w:t>实施细则</w:t>
      </w:r>
      <w:r>
        <w:rPr>
          <w:rFonts w:hint="eastAsia" w:ascii="仿宋_GB2312" w:hAnsi="仿宋_GB2312" w:eastAsia="仿宋_GB2312" w:cs="仿宋_GB2312"/>
          <w:kern w:val="2"/>
          <w:sz w:val="32"/>
          <w:szCs w:val="32"/>
          <w:lang w:val="en-US" w:eastAsia="zh-CN" w:bidi="ar-SA"/>
        </w:rPr>
        <w:t>。</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kern w:val="2"/>
          <w:sz w:val="32"/>
          <w:szCs w:val="32"/>
          <w:lang w:val="en-US" w:eastAsia="zh-CN" w:bidi="ar-SA"/>
        </w:rPr>
        <w:t>扶持资金支持在前海合作区从事船舶租赁等航运业态等的机构，以及在上述机构工作的个人。</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w:t>
      </w:r>
      <w:r>
        <w:rPr>
          <w:rFonts w:hint="default" w:ascii="仿宋_GB2312" w:hAnsi="仿宋_GB2312" w:eastAsia="仿宋_GB2312" w:cs="仿宋_GB2312"/>
          <w:kern w:val="2"/>
          <w:sz w:val="32"/>
          <w:szCs w:val="32"/>
          <w:lang w:val="en-US" w:eastAsia="zh-CN" w:bidi="ar-SA"/>
        </w:rPr>
        <w:t>扶持</w:t>
      </w:r>
      <w:r>
        <w:rPr>
          <w:rFonts w:hint="eastAsia" w:ascii="仿宋_GB2312" w:hAnsi="仿宋_GB2312" w:eastAsia="仿宋_GB2312" w:cs="仿宋_GB2312"/>
          <w:kern w:val="2"/>
          <w:sz w:val="32"/>
          <w:szCs w:val="32"/>
          <w:lang w:val="en-US" w:eastAsia="zh-CN" w:bidi="ar-SA"/>
        </w:rPr>
        <w:t>资金支持的机构应符合以下基本条件：</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机构属于独立法人</w:t>
      </w:r>
      <w:r>
        <w:rPr>
          <w:rFonts w:hint="default" w:ascii="仿宋_GB2312" w:hAnsi="仿宋_GB2312" w:eastAsia="仿宋_GB2312" w:cs="仿宋_GB2312"/>
          <w:kern w:val="2"/>
          <w:sz w:val="32"/>
          <w:szCs w:val="32"/>
          <w:lang w:eastAsia="zh-CN" w:bidi="ar-SA"/>
        </w:rPr>
        <w:t>或</w:t>
      </w:r>
      <w:r>
        <w:rPr>
          <w:rFonts w:hint="eastAsia" w:ascii="仿宋_GB2312" w:hAnsi="仿宋_GB2312" w:eastAsia="仿宋_GB2312" w:cs="仿宋_GB2312"/>
          <w:kern w:val="2"/>
          <w:sz w:val="32"/>
          <w:szCs w:val="32"/>
          <w:lang w:val="en-US" w:eastAsia="zh-CN" w:bidi="ar-SA"/>
        </w:rPr>
        <w:t>非法人组织，但本办法其他章节另有规定除外；</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机构</w:t>
      </w:r>
      <w:r>
        <w:rPr>
          <w:rFonts w:hint="eastAsia" w:ascii="仿宋_GB2312" w:hAnsi="仿宋_GB2312" w:eastAsia="仿宋_GB2312" w:cs="仿宋_GB2312"/>
          <w:kern w:val="2"/>
          <w:sz w:val="32"/>
          <w:szCs w:val="32"/>
          <w:lang w:val="en-US" w:eastAsia="zh-Hans" w:bidi="ar-SA"/>
        </w:rPr>
        <w:t>需</w:t>
      </w:r>
      <w:r>
        <w:rPr>
          <w:rFonts w:hint="eastAsia" w:ascii="仿宋_GB2312" w:hAnsi="仿宋_GB2312" w:eastAsia="仿宋_GB2312" w:cs="仿宋_GB2312"/>
          <w:kern w:val="2"/>
          <w:sz w:val="32"/>
          <w:szCs w:val="32"/>
          <w:lang w:val="en-US" w:eastAsia="zh-CN" w:bidi="ar-SA"/>
        </w:rPr>
        <w:t>在</w:t>
      </w:r>
      <w:r>
        <w:rPr>
          <w:rFonts w:hint="default" w:ascii="仿宋_GB2312" w:hAnsi="仿宋_GB2312" w:eastAsia="仿宋_GB2312" w:cs="仿宋_GB2312"/>
          <w:kern w:val="2"/>
          <w:sz w:val="32"/>
          <w:szCs w:val="32"/>
          <w:lang w:val="en-US" w:eastAsia="zh-CN" w:bidi="ar-SA"/>
        </w:rPr>
        <w:t>前海合作区</w:t>
      </w:r>
      <w:r>
        <w:rPr>
          <w:rFonts w:hint="eastAsia" w:ascii="仿宋_GB2312" w:hAnsi="仿宋_GB2312" w:eastAsia="仿宋_GB2312" w:cs="仿宋_GB2312"/>
          <w:kern w:val="2"/>
          <w:sz w:val="32"/>
          <w:szCs w:val="32"/>
          <w:lang w:val="en-US" w:eastAsia="zh-Hans" w:bidi="ar-SA"/>
        </w:rPr>
        <w:t>实地经营</w:t>
      </w:r>
      <w:r>
        <w:rPr>
          <w:rFonts w:hint="eastAsia" w:ascii="仿宋_GB2312" w:hAnsi="仿宋_GB2312" w:eastAsia="仿宋_GB2312" w:cs="仿宋_GB2312"/>
          <w:kern w:val="2"/>
          <w:sz w:val="32"/>
          <w:szCs w:val="32"/>
          <w:lang w:val="en-US" w:eastAsia="zh-CN" w:bidi="ar-SA"/>
        </w:rPr>
        <w:t>。</w:t>
      </w:r>
    </w:p>
    <w:p>
      <w:pPr>
        <w:pStyle w:val="8"/>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机构的主营业务符合前海合作区产业发展导向。</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kern w:val="2"/>
          <w:sz w:val="32"/>
          <w:szCs w:val="32"/>
          <w:lang w:val="en-US" w:eastAsia="zh-CN" w:bidi="ar-SA"/>
        </w:rPr>
        <w:t>同时符合本办法及</w:t>
      </w:r>
      <w:r>
        <w:rPr>
          <w:rFonts w:hint="default" w:ascii="仿宋_GB2312" w:hAnsi="仿宋_GB2312" w:eastAsia="仿宋_GB2312" w:cs="仿宋_GB2312"/>
          <w:kern w:val="2"/>
          <w:sz w:val="32"/>
          <w:szCs w:val="32"/>
          <w:lang w:val="en-US" w:eastAsia="zh-CN" w:bidi="ar-SA"/>
        </w:rPr>
        <w:t>深圳市其他奖补政策中</w:t>
      </w:r>
      <w:r>
        <w:rPr>
          <w:rFonts w:hint="eastAsia" w:ascii="仿宋_GB2312" w:hAnsi="仿宋_GB2312" w:eastAsia="仿宋_GB2312" w:cs="仿宋_GB2312"/>
          <w:kern w:val="2"/>
          <w:sz w:val="32"/>
          <w:szCs w:val="32"/>
          <w:lang w:val="en-US" w:eastAsia="zh-CN" w:bidi="ar-SA"/>
        </w:rPr>
        <w:t>同类性质支持政策规定的，</w:t>
      </w:r>
      <w:r>
        <w:rPr>
          <w:rFonts w:hint="default" w:ascii="仿宋_GB2312" w:hAnsi="仿宋_GB2312" w:eastAsia="仿宋_GB2312" w:cs="仿宋_GB2312"/>
          <w:kern w:val="2"/>
          <w:sz w:val="32"/>
          <w:szCs w:val="32"/>
          <w:lang w:val="en-US" w:eastAsia="zh-CN" w:bidi="ar-SA"/>
        </w:rPr>
        <w:t>按照“就高不重复”的原则发放，涉及金额币种均为人民币</w:t>
      </w:r>
      <w:r>
        <w:rPr>
          <w:rFonts w:hint="eastAsia" w:ascii="仿宋_GB2312" w:hAnsi="仿宋_GB2312" w:eastAsia="仿宋_GB2312" w:cs="仿宋_GB2312"/>
          <w:kern w:val="2"/>
          <w:sz w:val="32"/>
          <w:szCs w:val="32"/>
          <w:lang w:val="en-US" w:eastAsia="zh-CN" w:bidi="ar-SA"/>
        </w:rPr>
        <w:t>。</w:t>
      </w:r>
    </w:p>
    <w:p>
      <w:pPr>
        <w:pStyle w:val="9"/>
        <w:keepNext w:val="0"/>
        <w:keepLines w:val="0"/>
        <w:pageBreakBefore w:val="0"/>
        <w:kinsoku/>
        <w:wordWrap/>
        <w:overflowPunct/>
        <w:topLinePunct w:val="0"/>
        <w:autoSpaceDE/>
        <w:autoSpaceDN/>
        <w:bidi w:val="0"/>
        <w:adjustRightInd/>
        <w:snapToGrid/>
        <w:spacing w:line="560" w:lineRule="exact"/>
        <w:ind w:left="0" w:firstLine="704"/>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（四）扶持</w:t>
      </w:r>
      <w:r>
        <w:rPr>
          <w:rFonts w:hint="eastAsia" w:ascii="仿宋_GB2312" w:hAnsi="仿宋_GB2312" w:eastAsia="仿宋_GB2312" w:cs="仿宋_GB2312"/>
          <w:kern w:val="2"/>
          <w:sz w:val="32"/>
          <w:szCs w:val="32"/>
          <w:lang w:val="en-US" w:eastAsia="zh-CN" w:bidi="ar-SA"/>
        </w:rPr>
        <w:t>资金原则上采用事后支持方式，实行预算管理，按年度在前海合作区产业发展资金预算中安排。如通过审核的支持金额超过当年</w:t>
      </w:r>
      <w:r>
        <w:rPr>
          <w:rFonts w:hint="default" w:ascii="仿宋_GB2312" w:hAnsi="仿宋_GB2312" w:eastAsia="仿宋_GB2312" w:cs="仿宋_GB2312"/>
          <w:kern w:val="2"/>
          <w:sz w:val="32"/>
          <w:szCs w:val="32"/>
          <w:lang w:val="en-US" w:eastAsia="zh-CN" w:bidi="ar-SA"/>
        </w:rPr>
        <w:t>扶持</w:t>
      </w:r>
      <w:r>
        <w:rPr>
          <w:rFonts w:hint="eastAsia" w:ascii="仿宋_GB2312" w:hAnsi="仿宋_GB2312" w:eastAsia="仿宋_GB2312" w:cs="仿宋_GB2312"/>
          <w:kern w:val="2"/>
          <w:sz w:val="32"/>
          <w:szCs w:val="32"/>
          <w:lang w:val="en-US" w:eastAsia="zh-CN" w:bidi="ar-SA"/>
        </w:rPr>
        <w:t>资金的预算总额，则按适当比例对通过审核的支持金额进行调整。</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textAlignment w:val="baseline"/>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（五）申报主体单一年度享受本办法支持原则上不超过3000万元，其中，申请“1.船舶租赁出租方支持”的申报主体最多仅可选择其中1个项目，且不得享受本政策其它条款。</w:t>
      </w:r>
    </w:p>
    <w:p>
      <w:pPr>
        <w:pageBreakBefore w:val="0"/>
        <w:kinsoku/>
        <w:wordWrap/>
        <w:overflowPunct/>
        <w:topLinePunct w:val="0"/>
        <w:autoSpaceDE/>
        <w:autoSpaceDN/>
        <w:bidi w:val="0"/>
        <w:adjustRightInd/>
        <w:snapToGrid/>
        <w:spacing w:line="560" w:lineRule="exact"/>
        <w:ind w:firstLine="640" w:firstLineChars="200"/>
        <w:textAlignment w:val="auto"/>
        <w:rPr>
          <w:rStyle w:val="7"/>
          <w:rFonts w:hint="default" w:ascii="黑体" w:hAnsi="黑体" w:eastAsia="黑体"/>
          <w:color w:val="auto"/>
          <w:sz w:val="32"/>
          <w:szCs w:val="32"/>
          <w:highlight w:val="none"/>
          <w:lang w:eastAsia="zh-CN"/>
        </w:rPr>
      </w:pPr>
      <w:r>
        <w:rPr>
          <w:rStyle w:val="7"/>
          <w:rFonts w:hint="default" w:ascii="黑体" w:hAnsi="黑体" w:eastAsia="黑体"/>
          <w:color w:val="auto"/>
          <w:sz w:val="32"/>
          <w:szCs w:val="32"/>
          <w:highlight w:val="none"/>
          <w:lang w:eastAsia="zh-CN"/>
        </w:rPr>
        <w:t>二、具体措施</w:t>
      </w:r>
    </w:p>
    <w:p>
      <w:pPr>
        <w:pageBreakBefore w:val="0"/>
        <w:kinsoku/>
        <w:wordWrap/>
        <w:overflowPunct/>
        <w:topLinePunct w:val="0"/>
        <w:autoSpaceDE/>
        <w:autoSpaceDN/>
        <w:bidi w:val="0"/>
        <w:adjustRightInd/>
        <w:snapToGrid/>
        <w:spacing w:line="560" w:lineRule="exact"/>
        <w:ind w:firstLine="480" w:firstLineChars="150"/>
        <w:textAlignment w:val="auto"/>
        <w:rPr>
          <w:rStyle w:val="7"/>
          <w:rFonts w:hint="eastAsia" w:ascii="CESI楷体-GB2312" w:hAnsi="CESI楷体-GB2312" w:eastAsia="CESI楷体-GB2312" w:cs="CESI楷体-GB2312"/>
          <w:b/>
          <w:bCs/>
          <w:color w:val="auto"/>
          <w:kern w:val="2"/>
          <w:sz w:val="32"/>
          <w:szCs w:val="32"/>
          <w:highlight w:val="none"/>
          <w:lang w:eastAsia="zh-CN" w:bidi="ar-SA"/>
        </w:rPr>
      </w:pPr>
      <w:r>
        <w:rPr>
          <w:rStyle w:val="7"/>
          <w:rFonts w:hint="eastAsia" w:ascii="CESI楷体-GB2312" w:hAnsi="CESI楷体-GB2312" w:eastAsia="CESI楷体-GB2312" w:cs="CESI楷体-GB2312"/>
          <w:color w:val="auto"/>
          <w:kern w:val="2"/>
          <w:sz w:val="32"/>
          <w:szCs w:val="32"/>
          <w:highlight w:val="none"/>
          <w:shd w:val="clear" w:color="auto" w:fill="auto"/>
          <w:lang w:eastAsia="zh-CN" w:bidi="ar"/>
        </w:rPr>
        <w:t>（</w:t>
      </w:r>
      <w:r>
        <w:rPr>
          <w:rStyle w:val="7"/>
          <w:rFonts w:hint="eastAsia" w:ascii="CESI楷体-GB2312" w:hAnsi="CESI楷体-GB2312" w:eastAsia="CESI楷体-GB2312" w:cs="CESI楷体-GB2312"/>
          <w:color w:val="auto"/>
          <w:sz w:val="32"/>
          <w:szCs w:val="32"/>
          <w:highlight w:val="none"/>
          <w:lang w:eastAsia="zh-CN"/>
        </w:rPr>
        <w:t>一</w:t>
      </w:r>
      <w:r>
        <w:rPr>
          <w:rStyle w:val="7"/>
          <w:rFonts w:hint="eastAsia" w:ascii="CESI楷体-GB2312" w:hAnsi="CESI楷体-GB2312" w:eastAsia="CESI楷体-GB2312" w:cs="CESI楷体-GB2312"/>
          <w:color w:val="auto"/>
          <w:kern w:val="2"/>
          <w:sz w:val="32"/>
          <w:szCs w:val="32"/>
          <w:highlight w:val="none"/>
          <w:shd w:val="clear" w:color="auto" w:fill="auto"/>
          <w:lang w:eastAsia="zh-CN" w:bidi="ar"/>
        </w:rPr>
        <w:t>）</w:t>
      </w:r>
      <w:r>
        <w:rPr>
          <w:rStyle w:val="7"/>
          <w:rFonts w:hint="eastAsia" w:ascii="CESI楷体-GB2312" w:hAnsi="CESI楷体-GB2312" w:eastAsia="CESI楷体-GB2312" w:cs="CESI楷体-GB2312"/>
          <w:color w:val="auto"/>
          <w:sz w:val="32"/>
          <w:szCs w:val="32"/>
          <w:highlight w:val="none"/>
          <w:lang w:val="en-US" w:eastAsia="zh-CN"/>
        </w:rPr>
        <w:t>支持</w:t>
      </w:r>
      <w:r>
        <w:rPr>
          <w:rStyle w:val="7"/>
          <w:rFonts w:hint="eastAsia" w:ascii="CESI楷体-GB2312" w:hAnsi="CESI楷体-GB2312" w:eastAsia="CESI楷体-GB2312" w:cs="CESI楷体-GB2312"/>
          <w:color w:val="auto"/>
          <w:sz w:val="32"/>
          <w:szCs w:val="32"/>
          <w:highlight w:val="none"/>
          <w:lang w:eastAsia="zh-CN"/>
        </w:rPr>
        <w:t>船舶租赁</w:t>
      </w:r>
      <w:r>
        <w:rPr>
          <w:rStyle w:val="7"/>
          <w:rFonts w:hint="eastAsia" w:ascii="CESI楷体-GB2312" w:hAnsi="CESI楷体-GB2312" w:eastAsia="CESI楷体-GB2312" w:cs="CESI楷体-GB2312"/>
          <w:color w:val="auto"/>
          <w:sz w:val="32"/>
          <w:szCs w:val="32"/>
          <w:highlight w:val="none"/>
          <w:lang w:val="en-US" w:eastAsia="zh-CN"/>
        </w:rPr>
        <w:t>发展</w:t>
      </w:r>
    </w:p>
    <w:p>
      <w:pPr>
        <w:pStyle w:val="4"/>
        <w:pageBreakBefore w:val="0"/>
        <w:widowControl/>
        <w:numPr>
          <w:ilvl w:val="0"/>
          <w:numId w:val="0"/>
        </w:numPr>
        <w:shd w:val="clear" w:color="auto" w:fill="auto"/>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b/>
          <w:bCs/>
          <w:kern w:val="2"/>
          <w:sz w:val="32"/>
          <w:szCs w:val="32"/>
          <w:lang w:val="en-US" w:eastAsia="zh-Hans" w:bidi="ar-SA"/>
        </w:rPr>
      </w:pPr>
      <w:r>
        <w:rPr>
          <w:rFonts w:hint="default" w:ascii="仿宋_GB2312" w:hAnsi="仿宋_GB2312" w:eastAsia="仿宋_GB2312" w:cs="仿宋_GB2312"/>
          <w:b/>
          <w:bCs/>
          <w:kern w:val="2"/>
          <w:sz w:val="32"/>
          <w:szCs w:val="32"/>
          <w:lang w:val="en-US" w:eastAsia="zh-CN" w:bidi="ar-SA"/>
        </w:rPr>
        <w:t>1.</w:t>
      </w:r>
      <w:r>
        <w:rPr>
          <w:rFonts w:hint="eastAsia" w:ascii="仿宋_GB2312" w:hAnsi="仿宋_GB2312" w:eastAsia="仿宋_GB2312" w:cs="仿宋_GB2312"/>
          <w:b/>
          <w:bCs/>
          <w:kern w:val="2"/>
          <w:sz w:val="32"/>
          <w:szCs w:val="32"/>
          <w:lang w:val="en-US" w:eastAsia="zh-CN" w:bidi="ar-SA"/>
        </w:rPr>
        <w:t>船舶租赁出租方支持</w:t>
      </w:r>
      <w:r>
        <w:rPr>
          <w:rFonts w:hint="default" w:ascii="仿宋_GB2312" w:hAnsi="仿宋_GB2312" w:eastAsia="仿宋_GB2312" w:cs="仿宋_GB2312"/>
          <w:b/>
          <w:bCs/>
          <w:kern w:val="2"/>
          <w:sz w:val="32"/>
          <w:szCs w:val="32"/>
          <w:lang w:val="en-US" w:eastAsia="zh-Hans" w:bidi="ar-SA"/>
        </w:rPr>
        <w:t>。</w:t>
      </w:r>
    </w:p>
    <w:p>
      <w:pPr>
        <w:pStyle w:val="8"/>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对在前海合作区内开展船舶</w:t>
      </w:r>
      <w:r>
        <w:rPr>
          <w:rFonts w:hint="eastAsia" w:ascii="仿宋_GB2312" w:hAnsi="仿宋_GB2312" w:eastAsia="仿宋_GB2312" w:cs="仿宋_GB2312"/>
          <w:kern w:val="2"/>
          <w:sz w:val="32"/>
          <w:szCs w:val="32"/>
          <w:lang w:val="en-US" w:eastAsia="zh-CN" w:bidi="ar-SA"/>
        </w:rPr>
        <w:t>融资</w:t>
      </w:r>
      <w:r>
        <w:rPr>
          <w:rFonts w:hint="default" w:ascii="仿宋_GB2312" w:hAnsi="仿宋_GB2312" w:eastAsia="仿宋_GB2312" w:cs="仿宋_GB2312"/>
          <w:kern w:val="2"/>
          <w:sz w:val="32"/>
          <w:szCs w:val="32"/>
          <w:lang w:val="en-US" w:eastAsia="zh-CN" w:bidi="ar-SA"/>
        </w:rPr>
        <w:t>租赁业务（回租型融资租赁除外）的融资租赁公司（含金融租赁、融资租赁专业子公司、项目公司等），单笔业务合同租赁期限3年以上的，按照</w:t>
      </w:r>
      <w:r>
        <w:rPr>
          <w:rFonts w:hint="eastAsia" w:ascii="仿宋_GB2312" w:hAnsi="仿宋_GB2312" w:eastAsia="仿宋_GB2312" w:cs="仿宋_GB2312"/>
          <w:kern w:val="2"/>
          <w:sz w:val="32"/>
          <w:szCs w:val="32"/>
          <w:lang w:val="en-US" w:eastAsia="zh-CN" w:bidi="ar-SA"/>
        </w:rPr>
        <w:t>上一自然年度</w:t>
      </w:r>
      <w:r>
        <w:rPr>
          <w:rFonts w:hint="default" w:ascii="仿宋_GB2312" w:hAnsi="仿宋_GB2312" w:eastAsia="仿宋_GB2312" w:cs="仿宋_GB2312"/>
          <w:kern w:val="2"/>
          <w:sz w:val="32"/>
          <w:szCs w:val="32"/>
          <w:lang w:val="en-US" w:eastAsia="zh-CN" w:bidi="ar-SA"/>
        </w:rPr>
        <w:t>实际交易租赁合同金额或者租赁资产购买合同金额的1%给予奖励。</w:t>
      </w:r>
    </w:p>
    <w:p>
      <w:pPr>
        <w:pStyle w:val="8"/>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对在前海合作区内开展船舶</w:t>
      </w:r>
      <w:r>
        <w:rPr>
          <w:rFonts w:hint="eastAsia" w:ascii="仿宋_GB2312" w:hAnsi="仿宋_GB2312" w:eastAsia="仿宋_GB2312" w:cs="仿宋_GB2312"/>
          <w:kern w:val="2"/>
          <w:sz w:val="32"/>
          <w:szCs w:val="32"/>
          <w:lang w:val="en-US" w:eastAsia="zh-CN" w:bidi="ar-SA"/>
        </w:rPr>
        <w:t>经营</w:t>
      </w:r>
      <w:r>
        <w:rPr>
          <w:rFonts w:hint="default" w:ascii="仿宋_GB2312" w:hAnsi="仿宋_GB2312" w:eastAsia="仿宋_GB2312" w:cs="仿宋_GB2312"/>
          <w:kern w:val="2"/>
          <w:sz w:val="32"/>
          <w:szCs w:val="32"/>
          <w:lang w:val="en-US" w:eastAsia="zh-CN" w:bidi="ar-SA"/>
        </w:rPr>
        <w:t>租赁业务的融资租赁公司（含金融租赁、融资租赁专业子公司、项目公司等）</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申报主体或母公司当年度在前海合作区内开展5艘以上船舶</w:t>
      </w:r>
      <w:r>
        <w:rPr>
          <w:rFonts w:hint="eastAsia" w:ascii="仿宋_GB2312" w:hAnsi="仿宋_GB2312" w:eastAsia="仿宋_GB2312" w:cs="仿宋_GB2312"/>
          <w:kern w:val="2"/>
          <w:sz w:val="32"/>
          <w:szCs w:val="32"/>
          <w:lang w:val="en-US" w:eastAsia="zh-CN" w:bidi="ar-SA"/>
        </w:rPr>
        <w:t>经营</w:t>
      </w:r>
      <w:r>
        <w:rPr>
          <w:rFonts w:hint="default" w:ascii="仿宋_GB2312" w:hAnsi="仿宋_GB2312" w:eastAsia="仿宋_GB2312" w:cs="仿宋_GB2312"/>
          <w:kern w:val="2"/>
          <w:sz w:val="32"/>
          <w:szCs w:val="32"/>
          <w:lang w:val="en-US" w:eastAsia="zh-CN" w:bidi="ar-SA"/>
        </w:rPr>
        <w:t>租赁业务，且母公司或申报主体</w:t>
      </w:r>
      <w:r>
        <w:rPr>
          <w:rFonts w:hint="eastAsia" w:ascii="仿宋_GB2312" w:hAnsi="仿宋_GB2312" w:eastAsia="仿宋_GB2312" w:cs="仿宋_GB2312"/>
          <w:kern w:val="2"/>
          <w:sz w:val="32"/>
          <w:szCs w:val="32"/>
          <w:lang w:val="en-US" w:eastAsia="zh-CN" w:bidi="ar-SA"/>
        </w:rPr>
        <w:t>自申报之日起前</w:t>
      </w:r>
      <w:r>
        <w:rPr>
          <w:rFonts w:hint="eastAsia" w:ascii="仿宋_GB2312" w:hAnsi="仿宋_GB2312" w:eastAsia="仿宋_GB2312" w:cs="仿宋_GB2312"/>
          <w:kern w:val="2"/>
          <w:sz w:val="32"/>
          <w:szCs w:val="32"/>
          <w:lang w:val="en-US" w:eastAsia="zh-Hans" w:bidi="ar-SA"/>
        </w:rPr>
        <w:t>12个月内</w:t>
      </w:r>
      <w:r>
        <w:rPr>
          <w:rFonts w:hint="default" w:ascii="仿宋_GB2312" w:hAnsi="仿宋_GB2312" w:eastAsia="仿宋_GB2312" w:cs="仿宋_GB2312"/>
          <w:kern w:val="2"/>
          <w:sz w:val="32"/>
          <w:szCs w:val="32"/>
          <w:lang w:val="en-US" w:eastAsia="zh-CN" w:bidi="ar-SA"/>
        </w:rPr>
        <w:t>营业收入在1亿元以上，在租赁合同期限内，每年</w:t>
      </w:r>
      <w:r>
        <w:rPr>
          <w:rFonts w:hint="default" w:ascii="仿宋_GB2312" w:hAnsi="仿宋_GB2312" w:eastAsia="仿宋_GB2312" w:cs="仿宋_GB2312"/>
          <w:kern w:val="2"/>
          <w:sz w:val="32"/>
          <w:szCs w:val="32"/>
          <w:lang w:eastAsia="zh-CN" w:bidi="ar-SA"/>
        </w:rPr>
        <w:t>最高</w:t>
      </w:r>
      <w:r>
        <w:rPr>
          <w:rFonts w:hint="eastAsia" w:ascii="仿宋_GB2312" w:hAnsi="仿宋_GB2312" w:eastAsia="仿宋_GB2312" w:cs="仿宋_GB2312"/>
          <w:kern w:val="2"/>
          <w:sz w:val="32"/>
          <w:szCs w:val="32"/>
          <w:lang w:val="en-US" w:eastAsia="zh-CN" w:bidi="ar-SA"/>
        </w:rPr>
        <w:t>奖励</w:t>
      </w:r>
      <w:r>
        <w:rPr>
          <w:rFonts w:hint="default" w:ascii="仿宋_GB2312" w:hAnsi="仿宋_GB2312" w:eastAsia="仿宋_GB2312" w:cs="仿宋_GB2312"/>
          <w:kern w:val="2"/>
          <w:sz w:val="32"/>
          <w:szCs w:val="32"/>
          <w:lang w:val="en-US" w:eastAsia="zh-CN" w:bidi="ar-SA"/>
        </w:rPr>
        <w:t>申报主体</w:t>
      </w:r>
      <w:r>
        <w:rPr>
          <w:rFonts w:hint="eastAsia" w:ascii="仿宋_GB2312" w:hAnsi="仿宋_GB2312" w:eastAsia="仿宋_GB2312" w:cs="仿宋_GB2312"/>
          <w:kern w:val="2"/>
          <w:sz w:val="32"/>
          <w:szCs w:val="32"/>
          <w:lang w:val="en-US" w:eastAsia="zh-CN" w:bidi="ar-SA"/>
        </w:rPr>
        <w:t>上</w:t>
      </w:r>
      <w:r>
        <w:rPr>
          <w:rFonts w:hint="default"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kern w:val="2"/>
          <w:sz w:val="32"/>
          <w:szCs w:val="32"/>
          <w:lang w:val="en-US" w:eastAsia="zh-CN" w:bidi="ar-SA"/>
        </w:rPr>
        <w:t>自然年度</w:t>
      </w:r>
      <w:r>
        <w:rPr>
          <w:rFonts w:hint="default" w:ascii="仿宋_GB2312" w:hAnsi="仿宋_GB2312" w:eastAsia="仿宋_GB2312" w:cs="仿宋_GB2312"/>
          <w:kern w:val="2"/>
          <w:sz w:val="32"/>
          <w:szCs w:val="32"/>
          <w:lang w:val="en-US" w:eastAsia="zh-CN" w:bidi="ar-SA"/>
        </w:rPr>
        <w:t>利润总额的10%。</w:t>
      </w:r>
    </w:p>
    <w:p>
      <w:pPr>
        <w:pStyle w:val="4"/>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rPr>
          <w:rFonts w:hint="default"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Hans" w:bidi="ar-SA"/>
        </w:rPr>
        <w:t>超大型船舶租赁支持。</w:t>
      </w:r>
      <w:r>
        <w:rPr>
          <w:rFonts w:hint="eastAsia" w:ascii="仿宋_GB2312" w:hAnsi="仿宋_GB2312" w:eastAsia="仿宋_GB2312" w:cs="仿宋_GB2312"/>
          <w:kern w:val="2"/>
          <w:sz w:val="32"/>
          <w:szCs w:val="32"/>
          <w:lang w:val="en-US" w:eastAsia="zh-Hans" w:bidi="ar-SA"/>
        </w:rPr>
        <w:t>对造价在10亿元以上，吊重能力3000吨以上的海上风电船舶</w:t>
      </w:r>
      <w:r>
        <w:rPr>
          <w:rFonts w:hint="default" w:ascii="仿宋_GB2312" w:hAnsi="仿宋_GB2312" w:eastAsia="仿宋_GB2312" w:cs="仿宋_GB2312"/>
          <w:kern w:val="2"/>
          <w:sz w:val="32"/>
          <w:szCs w:val="32"/>
          <w:lang w:val="en-US" w:eastAsia="zh-Hans" w:bidi="ar-SA"/>
        </w:rPr>
        <w:t>或16</w:t>
      </w:r>
      <w:r>
        <w:rPr>
          <w:rFonts w:hint="default" w:ascii="仿宋_GB2312" w:hAnsi="仿宋_GB2312" w:eastAsia="仿宋_GB2312" w:cs="仿宋_GB2312"/>
          <w:kern w:val="2"/>
          <w:sz w:val="32"/>
          <w:szCs w:val="32"/>
          <w:lang w:val="en-US" w:eastAsia="zh-CN" w:bidi="ar-SA"/>
        </w:rPr>
        <w:t>万立方米及以上等级</w:t>
      </w:r>
      <w:r>
        <w:rPr>
          <w:rFonts w:hint="default" w:ascii="仿宋_GB2312" w:hAnsi="仿宋_GB2312" w:eastAsia="仿宋_GB2312" w:cs="仿宋_GB2312"/>
          <w:kern w:val="2"/>
          <w:sz w:val="32"/>
          <w:szCs w:val="32"/>
          <w:lang w:eastAsia="zh-CN" w:bidi="ar-SA"/>
        </w:rPr>
        <w:t>天然气运输船舶</w:t>
      </w:r>
      <w:r>
        <w:rPr>
          <w:rFonts w:hint="default" w:ascii="仿宋_GB2312" w:hAnsi="仿宋_GB2312" w:eastAsia="仿宋_GB2312" w:cs="仿宋_GB2312"/>
          <w:kern w:val="2"/>
          <w:sz w:val="32"/>
          <w:szCs w:val="32"/>
          <w:lang w:val="en-US" w:eastAsia="zh-CN" w:bidi="ar-SA"/>
        </w:rPr>
        <w:t>等超大型船舶租赁业务的</w:t>
      </w:r>
      <w:r>
        <w:rPr>
          <w:rFonts w:hint="eastAsia" w:ascii="仿宋_GB2312" w:hAnsi="仿宋_GB2312" w:eastAsia="仿宋_GB2312" w:cs="仿宋_GB2312"/>
          <w:kern w:val="2"/>
          <w:sz w:val="32"/>
          <w:szCs w:val="32"/>
          <w:lang w:val="en-US" w:eastAsia="zh-Hans" w:bidi="ar-SA"/>
        </w:rPr>
        <w:t>，船舶登记“</w:t>
      </w:r>
      <w:r>
        <w:rPr>
          <w:rFonts w:hint="default" w:ascii="仿宋_GB2312" w:hAnsi="仿宋_GB2312" w:eastAsia="仿宋_GB2312" w:cs="仿宋_GB2312"/>
          <w:kern w:val="2"/>
          <w:sz w:val="32"/>
          <w:szCs w:val="32"/>
          <w:lang w:val="en-US" w:eastAsia="zh-Hans" w:bidi="ar-SA"/>
        </w:rPr>
        <w:t>深圳</w:t>
      </w:r>
      <w:r>
        <w:rPr>
          <w:rFonts w:hint="eastAsia" w:ascii="仿宋_GB2312" w:hAnsi="仿宋_GB2312" w:eastAsia="仿宋_GB2312" w:cs="仿宋_GB2312"/>
          <w:kern w:val="2"/>
          <w:sz w:val="32"/>
          <w:szCs w:val="32"/>
          <w:lang w:val="en-US" w:eastAsia="zh-Hans" w:bidi="ar-SA"/>
        </w:rPr>
        <w:t>”</w:t>
      </w:r>
      <w:r>
        <w:rPr>
          <w:rFonts w:hint="default" w:ascii="仿宋_GB2312" w:hAnsi="仿宋_GB2312" w:eastAsia="仿宋_GB2312" w:cs="仿宋_GB2312"/>
          <w:kern w:val="2"/>
          <w:sz w:val="32"/>
          <w:szCs w:val="32"/>
          <w:lang w:val="en-US" w:eastAsia="zh-Hans" w:bidi="ar-SA"/>
        </w:rPr>
        <w:t>或</w:t>
      </w:r>
      <w:r>
        <w:rPr>
          <w:rFonts w:hint="eastAsia" w:ascii="仿宋_GB2312" w:hAnsi="仿宋_GB2312" w:eastAsia="仿宋_GB2312" w:cs="仿宋_GB2312"/>
          <w:kern w:val="2"/>
          <w:sz w:val="32"/>
          <w:szCs w:val="32"/>
          <w:lang w:val="en-US" w:eastAsia="zh-Hans" w:bidi="ar-SA"/>
        </w:rPr>
        <w:t>“</w:t>
      </w:r>
      <w:r>
        <w:rPr>
          <w:rFonts w:hint="default" w:ascii="仿宋_GB2312" w:hAnsi="仿宋_GB2312" w:eastAsia="仿宋_GB2312" w:cs="仿宋_GB2312"/>
          <w:kern w:val="2"/>
          <w:sz w:val="32"/>
          <w:szCs w:val="32"/>
          <w:lang w:val="en-US" w:eastAsia="zh-Hans" w:bidi="ar-SA"/>
        </w:rPr>
        <w:t>中国前海</w:t>
      </w:r>
      <w:r>
        <w:rPr>
          <w:rFonts w:hint="eastAsia"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CN" w:bidi="ar-SA"/>
        </w:rPr>
        <w:t>船籍港</w:t>
      </w:r>
      <w:r>
        <w:rPr>
          <w:rFonts w:hint="default" w:ascii="仿宋_GB2312" w:hAnsi="仿宋_GB2312" w:eastAsia="仿宋_GB2312" w:cs="仿宋_GB2312"/>
          <w:kern w:val="2"/>
          <w:sz w:val="32"/>
          <w:szCs w:val="32"/>
          <w:lang w:val="en-US" w:eastAsia="zh-Hans" w:bidi="ar-SA"/>
        </w:rPr>
        <w:t>的，</w:t>
      </w:r>
      <w:r>
        <w:rPr>
          <w:rFonts w:hint="eastAsia" w:ascii="仿宋_GB2312" w:hAnsi="仿宋_GB2312" w:eastAsia="仿宋_GB2312" w:cs="仿宋_GB2312"/>
          <w:kern w:val="2"/>
          <w:sz w:val="32"/>
          <w:szCs w:val="32"/>
          <w:lang w:val="en-US" w:eastAsia="zh-Hans" w:bidi="ar-SA"/>
        </w:rPr>
        <w:t>一次性给予</w:t>
      </w:r>
      <w:r>
        <w:rPr>
          <w:rFonts w:hint="default" w:ascii="仿宋_GB2312" w:hAnsi="仿宋_GB2312" w:eastAsia="仿宋_GB2312" w:cs="仿宋_GB2312"/>
          <w:kern w:val="2"/>
          <w:sz w:val="32"/>
          <w:szCs w:val="32"/>
          <w:lang w:val="en-US" w:eastAsia="zh-Hans" w:bidi="ar-SA"/>
        </w:rPr>
        <w:t>1000万元</w:t>
      </w:r>
      <w:r>
        <w:rPr>
          <w:rFonts w:hint="eastAsia" w:ascii="仿宋_GB2312" w:hAnsi="仿宋_GB2312" w:eastAsia="仿宋_GB2312" w:cs="仿宋_GB2312"/>
          <w:kern w:val="2"/>
          <w:sz w:val="32"/>
          <w:szCs w:val="32"/>
          <w:lang w:val="en-US" w:eastAsia="zh-Hans" w:bidi="ar-SA"/>
        </w:rPr>
        <w:t>奖励。上述</w:t>
      </w:r>
      <w:r>
        <w:rPr>
          <w:rFonts w:hint="default" w:ascii="仿宋_GB2312" w:hAnsi="仿宋_GB2312" w:eastAsia="仿宋_GB2312" w:cs="仿宋_GB2312"/>
          <w:kern w:val="2"/>
          <w:sz w:val="32"/>
          <w:szCs w:val="32"/>
          <w:lang w:val="en-US" w:eastAsia="zh-Hans" w:bidi="ar-SA"/>
        </w:rPr>
        <w:t>船舶</w:t>
      </w:r>
      <w:r>
        <w:rPr>
          <w:rFonts w:hint="eastAsia" w:ascii="仿宋_GB2312" w:hAnsi="仿宋_GB2312" w:eastAsia="仿宋_GB2312" w:cs="仿宋_GB2312"/>
          <w:kern w:val="2"/>
          <w:sz w:val="32"/>
          <w:szCs w:val="32"/>
          <w:lang w:val="en-US" w:eastAsia="zh-Hans" w:bidi="ar-SA"/>
        </w:rPr>
        <w:t>公司自登记之日起，如</w:t>
      </w:r>
      <w:r>
        <w:rPr>
          <w:rFonts w:hint="eastAsia" w:ascii="仿宋_GB2312" w:hAnsi="仿宋_GB2312" w:eastAsia="仿宋_GB2312" w:cs="仿宋_GB2312"/>
          <w:kern w:val="2"/>
          <w:sz w:val="32"/>
          <w:szCs w:val="32"/>
          <w:lang w:val="en-US" w:eastAsia="zh-CN" w:bidi="ar-SA"/>
        </w:rPr>
        <w:t>自申报之日起前</w:t>
      </w:r>
      <w:r>
        <w:rPr>
          <w:rFonts w:hint="eastAsia" w:ascii="仿宋_GB2312" w:hAnsi="仿宋_GB2312" w:eastAsia="仿宋_GB2312" w:cs="仿宋_GB2312"/>
          <w:kern w:val="2"/>
          <w:sz w:val="32"/>
          <w:szCs w:val="32"/>
          <w:lang w:val="en-US" w:eastAsia="zh-Hans" w:bidi="ar-SA"/>
        </w:rPr>
        <w:t>12个月内利润总额达</w:t>
      </w:r>
      <w:r>
        <w:rPr>
          <w:rFonts w:hint="default" w:ascii="仿宋_GB2312" w:hAnsi="仿宋_GB2312" w:eastAsia="仿宋_GB2312" w:cs="仿宋_GB2312"/>
          <w:kern w:val="2"/>
          <w:sz w:val="32"/>
          <w:szCs w:val="32"/>
          <w:lang w:val="en-US" w:eastAsia="zh-Hans" w:bidi="ar-SA"/>
        </w:rPr>
        <w:t>1.2</w:t>
      </w:r>
      <w:r>
        <w:rPr>
          <w:rFonts w:hint="eastAsia" w:ascii="仿宋_GB2312" w:hAnsi="仿宋_GB2312" w:eastAsia="仿宋_GB2312" w:cs="仿宋_GB2312"/>
          <w:kern w:val="2"/>
          <w:sz w:val="32"/>
          <w:szCs w:val="32"/>
          <w:lang w:val="en-US" w:eastAsia="zh-Hans" w:bidi="ar-SA"/>
        </w:rPr>
        <w:t>亿以上或者营业收入达</w:t>
      </w:r>
      <w:r>
        <w:rPr>
          <w:rFonts w:hint="default" w:ascii="仿宋_GB2312" w:hAnsi="仿宋_GB2312" w:eastAsia="仿宋_GB2312" w:cs="仿宋_GB2312"/>
          <w:kern w:val="2"/>
          <w:sz w:val="32"/>
          <w:szCs w:val="32"/>
          <w:lang w:val="en-US" w:eastAsia="zh-Hans" w:bidi="ar-SA"/>
        </w:rPr>
        <w:t>2.2</w:t>
      </w:r>
      <w:r>
        <w:rPr>
          <w:rFonts w:hint="eastAsia" w:ascii="仿宋_GB2312" w:hAnsi="仿宋_GB2312" w:eastAsia="仿宋_GB2312" w:cs="仿宋_GB2312"/>
          <w:kern w:val="2"/>
          <w:sz w:val="32"/>
          <w:szCs w:val="32"/>
          <w:lang w:val="en-US" w:eastAsia="zh-Hans" w:bidi="ar-SA"/>
        </w:rPr>
        <w:t>亿以上，6年</w:t>
      </w:r>
      <w:r>
        <w:rPr>
          <w:rFonts w:hint="default" w:ascii="仿宋_GB2312" w:hAnsi="仿宋_GB2312" w:eastAsia="仿宋_GB2312" w:cs="仿宋_GB2312"/>
          <w:kern w:val="2"/>
          <w:sz w:val="32"/>
          <w:szCs w:val="32"/>
          <w:lang w:val="en-US" w:eastAsia="zh-Hans" w:bidi="ar-SA"/>
        </w:rPr>
        <w:t>内</w:t>
      </w:r>
      <w:r>
        <w:rPr>
          <w:rFonts w:hint="eastAsia" w:ascii="仿宋_GB2312" w:hAnsi="仿宋_GB2312" w:eastAsia="仿宋_GB2312" w:cs="仿宋_GB2312"/>
          <w:kern w:val="2"/>
          <w:sz w:val="32"/>
          <w:szCs w:val="32"/>
          <w:lang w:val="en-US" w:eastAsia="zh-Hans" w:bidi="ar-SA"/>
        </w:rPr>
        <w:t>每年奖励</w:t>
      </w:r>
      <w:r>
        <w:rPr>
          <w:rFonts w:hint="default" w:ascii="仿宋_GB2312" w:hAnsi="仿宋_GB2312" w:eastAsia="仿宋_GB2312" w:cs="仿宋_GB2312"/>
          <w:kern w:val="2"/>
          <w:sz w:val="32"/>
          <w:szCs w:val="32"/>
          <w:lang w:val="en-US" w:eastAsia="zh-Hans" w:bidi="ar-SA"/>
        </w:rPr>
        <w:t>船舶</w:t>
      </w:r>
      <w:r>
        <w:rPr>
          <w:rFonts w:hint="eastAsia" w:ascii="仿宋_GB2312" w:hAnsi="仿宋_GB2312" w:eastAsia="仿宋_GB2312" w:cs="仿宋_GB2312"/>
          <w:kern w:val="2"/>
          <w:sz w:val="32"/>
          <w:szCs w:val="32"/>
          <w:lang w:val="en-US" w:eastAsia="zh-Hans" w:bidi="ar-SA"/>
        </w:rPr>
        <w:t>公司利润总额的3%且不超过</w:t>
      </w:r>
      <w:r>
        <w:rPr>
          <w:rFonts w:hint="default" w:ascii="仿宋_GB2312" w:hAnsi="仿宋_GB2312" w:eastAsia="仿宋_GB2312" w:cs="仿宋_GB2312"/>
          <w:kern w:val="2"/>
          <w:sz w:val="32"/>
          <w:szCs w:val="32"/>
          <w:lang w:val="en-US" w:eastAsia="zh-Hans" w:bidi="ar-SA"/>
        </w:rPr>
        <w:t>400万元</w:t>
      </w:r>
      <w:r>
        <w:rPr>
          <w:rFonts w:hint="eastAsia"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CN" w:bidi="ar-SA"/>
        </w:rPr>
        <w:t>以上奖励企业</w:t>
      </w:r>
      <w:r>
        <w:rPr>
          <w:rFonts w:hint="eastAsia" w:ascii="仿宋_GB2312" w:hAnsi="仿宋_GB2312" w:eastAsia="仿宋_GB2312" w:cs="仿宋_GB2312"/>
          <w:kern w:val="2"/>
          <w:sz w:val="32"/>
          <w:szCs w:val="32"/>
          <w:lang w:val="en-US" w:eastAsia="zh-Hans" w:bidi="ar-SA"/>
        </w:rPr>
        <w:t>自获得奖励之日起，在</w:t>
      </w:r>
      <w:r>
        <w:rPr>
          <w:rFonts w:hint="eastAsia" w:ascii="仿宋_GB2312" w:hAnsi="仿宋_GB2312" w:eastAsia="仿宋_GB2312" w:cs="仿宋_GB2312"/>
          <w:kern w:val="2"/>
          <w:sz w:val="32"/>
          <w:szCs w:val="32"/>
          <w:lang w:val="en-US" w:eastAsia="zh-CN" w:bidi="ar-SA"/>
        </w:rPr>
        <w:t>奖励期限及租赁期</w:t>
      </w:r>
      <w:r>
        <w:rPr>
          <w:rFonts w:hint="eastAsia" w:ascii="仿宋_GB2312" w:hAnsi="仿宋_GB2312" w:eastAsia="仿宋_GB2312" w:cs="仿宋_GB2312"/>
          <w:kern w:val="2"/>
          <w:sz w:val="32"/>
          <w:szCs w:val="32"/>
          <w:lang w:val="en-US" w:eastAsia="zh-Hans" w:bidi="ar-SA"/>
        </w:rPr>
        <w:t>的2倍年限内，不得迁离前海合作区。</w:t>
      </w:r>
      <w:r>
        <w:rPr>
          <w:rFonts w:hint="eastAsia" w:ascii="仿宋_GB2312" w:hAnsi="仿宋_GB2312" w:eastAsia="仿宋_GB2312" w:cs="仿宋_GB2312"/>
          <w:kern w:val="2"/>
          <w:sz w:val="32"/>
          <w:szCs w:val="32"/>
          <w:lang w:val="en-US" w:eastAsia="zh-CN" w:bidi="ar-SA"/>
        </w:rPr>
        <w:t>获得奖励的企业需提供专项审计报告，不得转移利润。</w:t>
      </w:r>
    </w:p>
    <w:p>
      <w:pPr>
        <w:pStyle w:val="4"/>
        <w:pageBreakBefore w:val="0"/>
        <w:widowControl/>
        <w:numPr>
          <w:ilvl w:val="0"/>
          <w:numId w:val="0"/>
        </w:numPr>
        <w:shd w:val="clear" w:color="auto" w:fill="auto"/>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kern w:val="2"/>
          <w:sz w:val="32"/>
          <w:szCs w:val="32"/>
          <w:lang w:val="en-US" w:eastAsia="zh-Hans" w:bidi="ar-SA"/>
        </w:rPr>
      </w:pPr>
      <w:r>
        <w:rPr>
          <w:rFonts w:hint="default" w:ascii="仿宋_GB2312" w:hAnsi="仿宋_GB2312" w:eastAsia="仿宋_GB2312" w:cs="仿宋_GB2312"/>
          <w:b/>
          <w:bCs/>
          <w:kern w:val="2"/>
          <w:sz w:val="32"/>
          <w:szCs w:val="32"/>
          <w:lang w:val="en-US" w:eastAsia="zh-CN" w:bidi="ar-SA"/>
        </w:rPr>
        <w:t>2.船舶租赁承租方支持</w:t>
      </w:r>
      <w:r>
        <w:rPr>
          <w:rFonts w:hint="default" w:ascii="仿宋_GB2312" w:hAnsi="仿宋_GB2312" w:eastAsia="仿宋_GB2312" w:cs="仿宋_GB2312"/>
          <w:b/>
          <w:bCs/>
          <w:kern w:val="2"/>
          <w:sz w:val="32"/>
          <w:szCs w:val="32"/>
          <w:lang w:val="en-US" w:eastAsia="zh-Hans" w:bidi="ar-SA"/>
        </w:rPr>
        <w:t>。</w:t>
      </w:r>
      <w:r>
        <w:rPr>
          <w:rFonts w:hint="eastAsia" w:ascii="仿宋_GB2312" w:hAnsi="仿宋_GB2312" w:eastAsia="仿宋_GB2312" w:cs="仿宋_GB2312"/>
          <w:kern w:val="2"/>
          <w:sz w:val="32"/>
          <w:szCs w:val="32"/>
          <w:lang w:val="en-US" w:eastAsia="zh-Hans" w:bidi="ar-SA"/>
        </w:rPr>
        <w:t>对2022年</w:t>
      </w:r>
      <w:r>
        <w:rPr>
          <w:rFonts w:hint="default" w:ascii="仿宋_GB2312" w:hAnsi="仿宋_GB2312" w:eastAsia="仿宋_GB2312" w:cs="仿宋_GB2312"/>
          <w:kern w:val="2"/>
          <w:sz w:val="32"/>
          <w:szCs w:val="32"/>
          <w:lang w:val="en-US" w:eastAsia="zh-Hans" w:bidi="ar-SA"/>
        </w:rPr>
        <w:t>7月1日</w:t>
      </w:r>
      <w:r>
        <w:rPr>
          <w:rFonts w:hint="eastAsia" w:ascii="仿宋_GB2312" w:hAnsi="仿宋_GB2312" w:eastAsia="仿宋_GB2312" w:cs="仿宋_GB2312"/>
          <w:kern w:val="2"/>
          <w:sz w:val="32"/>
          <w:szCs w:val="32"/>
          <w:lang w:val="en-US" w:eastAsia="zh-Hans" w:bidi="ar-SA"/>
        </w:rPr>
        <w:t>起在前海开展船舶融资租赁业务的承租方给予奖励。要求船舶租赁合同（回租型融资租赁除外）3年以上，在前海设立对应新船的船舶运营公司，船舶登记</w:t>
      </w:r>
      <w:r>
        <w:rPr>
          <w:rFonts w:hint="default" w:ascii="仿宋_GB2312" w:hAnsi="仿宋_GB2312" w:eastAsia="仿宋_GB2312" w:cs="仿宋_GB2312"/>
          <w:kern w:val="2"/>
          <w:sz w:val="32"/>
          <w:szCs w:val="32"/>
          <w:lang w:val="en-US" w:eastAsia="zh-Hans" w:bidi="ar-SA"/>
        </w:rPr>
        <w:t>为</w:t>
      </w:r>
      <w:r>
        <w:rPr>
          <w:rFonts w:hint="default"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Hans" w:bidi="ar-SA"/>
        </w:rPr>
        <w:t>深圳</w:t>
      </w:r>
      <w:r>
        <w:rPr>
          <w:rFonts w:hint="default"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Hans" w:bidi="ar-SA"/>
        </w:rPr>
        <w:t>或</w:t>
      </w:r>
      <w:r>
        <w:rPr>
          <w:rFonts w:hint="default"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Hans" w:bidi="ar-SA"/>
        </w:rPr>
        <w:t>中国前海</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Hans" w:bidi="ar-SA"/>
        </w:rPr>
        <w:t>。奖励金给予该承租方在前海设立的船舶运营公司，奖励期从船舶运营之日起计算，不超过船舶融资租赁合同期限</w:t>
      </w:r>
      <w:r>
        <w:rPr>
          <w:rFonts w:hint="eastAsia" w:ascii="仿宋_GB2312" w:hAnsi="仿宋_GB2312" w:eastAsia="仿宋_GB2312" w:cs="仿宋_GB2312"/>
          <w:kern w:val="2"/>
          <w:sz w:val="32"/>
          <w:szCs w:val="32"/>
          <w:lang w:val="en-US" w:eastAsia="zh-CN" w:bidi="ar-SA"/>
        </w:rPr>
        <w:t>，最长不超过2029年</w:t>
      </w:r>
      <w:r>
        <w:rPr>
          <w:rFonts w:hint="eastAsia" w:ascii="仿宋_GB2312" w:hAnsi="仿宋_GB2312" w:eastAsia="仿宋_GB2312" w:cs="仿宋_GB2312"/>
          <w:kern w:val="2"/>
          <w:sz w:val="32"/>
          <w:szCs w:val="32"/>
          <w:lang w:val="en-US" w:eastAsia="zh-Hans" w:bidi="ar-SA"/>
        </w:rPr>
        <w:t>。</w:t>
      </w:r>
    </w:p>
    <w:p>
      <w:pPr>
        <w:pStyle w:val="4"/>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rPr>
          <w:rFonts w:hint="eastAsia" w:ascii="仿宋_GB2312" w:hAnsi="仿宋_GB2312" w:eastAsia="仿宋_GB2312" w:cs="仿宋_GB2312"/>
          <w:kern w:val="2"/>
          <w:sz w:val="32"/>
          <w:szCs w:val="32"/>
          <w:lang w:val="en-US" w:eastAsia="zh-Hans" w:bidi="ar-SA"/>
        </w:rPr>
      </w:pPr>
      <w:r>
        <w:rPr>
          <w:rFonts w:hint="default" w:ascii="仿宋_GB2312" w:hAnsi="仿宋_GB2312" w:eastAsia="仿宋_GB2312" w:cs="仿宋_GB2312"/>
          <w:kern w:val="2"/>
          <w:sz w:val="32"/>
          <w:szCs w:val="32"/>
          <w:lang w:val="en-US" w:eastAsia="zh-Hans" w:bidi="ar-SA"/>
        </w:rPr>
        <w:t>（</w:t>
      </w:r>
      <w:r>
        <w:rPr>
          <w:rFonts w:hint="default"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Hans" w:bidi="ar-SA"/>
        </w:rPr>
        <w:t>自运营之日起，承租方在前海设立的船舶运营公司，如</w:t>
      </w:r>
      <w:r>
        <w:rPr>
          <w:rFonts w:hint="eastAsia" w:ascii="仿宋_GB2312" w:hAnsi="仿宋_GB2312" w:eastAsia="仿宋_GB2312" w:cs="仿宋_GB2312"/>
          <w:kern w:val="2"/>
          <w:sz w:val="32"/>
          <w:szCs w:val="32"/>
          <w:lang w:val="en-US" w:eastAsia="zh-CN" w:bidi="ar-SA"/>
        </w:rPr>
        <w:t>自申报之日起</w:t>
      </w:r>
      <w:r>
        <w:rPr>
          <w:rFonts w:hint="default" w:ascii="仿宋_GB2312" w:hAnsi="仿宋_GB2312" w:eastAsia="仿宋_GB2312" w:cs="仿宋_GB2312"/>
          <w:kern w:val="2"/>
          <w:sz w:val="32"/>
          <w:szCs w:val="32"/>
          <w:lang w:val="en-US" w:eastAsia="zh-CN" w:bidi="ar-SA"/>
        </w:rPr>
        <w:t>前</w:t>
      </w:r>
      <w:r>
        <w:rPr>
          <w:rFonts w:hint="eastAsia" w:ascii="仿宋_GB2312" w:hAnsi="仿宋_GB2312" w:eastAsia="仿宋_GB2312" w:cs="仿宋_GB2312"/>
          <w:kern w:val="2"/>
          <w:sz w:val="32"/>
          <w:szCs w:val="32"/>
          <w:lang w:val="en-US" w:eastAsia="zh-Hans" w:bidi="ar-SA"/>
        </w:rPr>
        <w:t>12个月内利润总额达1.5亿以上或者营业收入达3亿以上，每年奖励上一年度利润总额的</w:t>
      </w:r>
      <w:r>
        <w:rPr>
          <w:rFonts w:hint="default" w:ascii="仿宋_GB2312" w:hAnsi="仿宋_GB2312" w:eastAsia="仿宋_GB2312" w:cs="仿宋_GB2312"/>
          <w:kern w:val="2"/>
          <w:sz w:val="32"/>
          <w:szCs w:val="32"/>
          <w:lang w:val="en-US" w:eastAsia="zh-Hans" w:bidi="ar-SA"/>
        </w:rPr>
        <w:t>6</w:t>
      </w:r>
      <w:r>
        <w:rPr>
          <w:rFonts w:hint="eastAsia" w:ascii="仿宋_GB2312" w:hAnsi="仿宋_GB2312" w:eastAsia="仿宋_GB2312" w:cs="仿宋_GB2312"/>
          <w:kern w:val="2"/>
          <w:sz w:val="32"/>
          <w:szCs w:val="32"/>
          <w:lang w:val="en-US" w:eastAsia="zh-Hans" w:bidi="ar-SA"/>
        </w:rPr>
        <w:t>%且不超过600万元。</w:t>
      </w:r>
    </w:p>
    <w:p>
      <w:pPr>
        <w:pStyle w:val="4"/>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right="0" w:firstLine="640" w:firstLineChars="200"/>
        <w:jc w:val="both"/>
        <w:rPr>
          <w:rFonts w:hint="eastAsia" w:ascii="仿宋_GB2312" w:hAnsi="仿宋_GB2312" w:eastAsia="仿宋_GB2312" w:cs="仿宋_GB2312"/>
          <w:kern w:val="2"/>
          <w:sz w:val="32"/>
          <w:szCs w:val="32"/>
          <w:lang w:val="en-US" w:eastAsia="zh-Hans" w:bidi="ar-SA"/>
        </w:rPr>
      </w:pPr>
      <w:r>
        <w:rPr>
          <w:rFonts w:hint="default" w:ascii="仿宋_GB2312" w:hAnsi="仿宋_GB2312" w:eastAsia="仿宋_GB2312" w:cs="仿宋_GB2312"/>
          <w:kern w:val="2"/>
          <w:sz w:val="32"/>
          <w:szCs w:val="32"/>
          <w:lang w:val="en-US" w:eastAsia="zh-Hans" w:bidi="ar-SA"/>
        </w:rPr>
        <w:t>（</w:t>
      </w:r>
      <w:r>
        <w:rPr>
          <w:rFonts w:hint="default" w:ascii="仿宋_GB2312" w:hAnsi="仿宋_GB2312" w:eastAsia="仿宋_GB2312" w:cs="仿宋_GB2312"/>
          <w:kern w:val="2"/>
          <w:sz w:val="32"/>
          <w:szCs w:val="32"/>
          <w:lang w:val="en-US" w:eastAsia="zh-CN" w:bidi="ar-SA"/>
        </w:rPr>
        <w:t>2</w:t>
      </w:r>
      <w:r>
        <w:rPr>
          <w:rFonts w:hint="default"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Hans" w:bidi="ar-SA"/>
        </w:rPr>
        <w:t>自运营之日起，承租方在前海设立的船舶运营公司，如</w:t>
      </w:r>
      <w:r>
        <w:rPr>
          <w:rFonts w:hint="eastAsia" w:ascii="仿宋_GB2312" w:hAnsi="仿宋_GB2312" w:eastAsia="仿宋_GB2312" w:cs="仿宋_GB2312"/>
          <w:kern w:val="2"/>
          <w:sz w:val="32"/>
          <w:szCs w:val="32"/>
          <w:lang w:val="en-US" w:eastAsia="zh-CN" w:bidi="ar-SA"/>
        </w:rPr>
        <w:t>自申报之日起前</w:t>
      </w:r>
      <w:r>
        <w:rPr>
          <w:rFonts w:hint="eastAsia" w:ascii="仿宋_GB2312" w:hAnsi="仿宋_GB2312" w:eastAsia="仿宋_GB2312" w:cs="仿宋_GB2312"/>
          <w:kern w:val="2"/>
          <w:sz w:val="32"/>
          <w:szCs w:val="32"/>
          <w:lang w:val="en-US" w:eastAsia="zh-Hans" w:bidi="ar-SA"/>
        </w:rPr>
        <w:t>12个月内利润总额达</w:t>
      </w:r>
      <w:r>
        <w:rPr>
          <w:rFonts w:hint="default" w:ascii="仿宋_GB2312" w:hAnsi="仿宋_GB2312" w:eastAsia="仿宋_GB2312" w:cs="仿宋_GB2312"/>
          <w:kern w:val="2"/>
          <w:sz w:val="32"/>
          <w:szCs w:val="32"/>
          <w:lang w:val="en-US" w:eastAsia="zh-Hans" w:bidi="ar-SA"/>
        </w:rPr>
        <w:t>7000万元</w:t>
      </w:r>
      <w:r>
        <w:rPr>
          <w:rFonts w:hint="eastAsia" w:ascii="仿宋_GB2312" w:hAnsi="仿宋_GB2312" w:eastAsia="仿宋_GB2312" w:cs="仿宋_GB2312"/>
          <w:kern w:val="2"/>
          <w:sz w:val="32"/>
          <w:szCs w:val="32"/>
          <w:lang w:val="en-US" w:eastAsia="zh-Hans" w:bidi="ar-SA"/>
        </w:rPr>
        <w:t>以上或者营业收入达1.5亿以上，每年奖励上一年度利润总额的6%且不超过500万元。</w:t>
      </w:r>
    </w:p>
    <w:p>
      <w:pPr>
        <w:pStyle w:val="4"/>
        <w:keepNext w:val="0"/>
        <w:keepLines w:val="0"/>
        <w:pageBreakBefore w:val="0"/>
        <w:widowControl/>
        <w:shd w:val="clear" w:color="auto" w:fill="auto"/>
        <w:kinsoku/>
        <w:wordWrap/>
        <w:overflowPunct/>
        <w:topLinePunct w:val="0"/>
        <w:autoSpaceDE/>
        <w:autoSpaceDN/>
        <w:bidi w:val="0"/>
        <w:adjustRightInd/>
        <w:snapToGrid/>
        <w:spacing w:before="0" w:after="0" w:line="560" w:lineRule="exact"/>
        <w:ind w:left="0" w:right="0" w:firstLine="640" w:firstLineChars="200"/>
        <w:jc w:val="both"/>
        <w:rPr>
          <w:rFonts w:hint="eastAsia" w:ascii="仿宋_GB2312" w:hAnsi="仿宋_GB2312" w:eastAsia="仿宋_GB2312" w:cs="仿宋_GB2312"/>
          <w:kern w:val="2"/>
          <w:sz w:val="32"/>
          <w:szCs w:val="32"/>
          <w:lang w:val="en-US" w:eastAsia="zh-Hans" w:bidi="ar-SA"/>
        </w:rPr>
      </w:pPr>
      <w:r>
        <w:rPr>
          <w:rFonts w:hint="default" w:ascii="仿宋_GB2312" w:hAnsi="仿宋_GB2312" w:eastAsia="仿宋_GB2312" w:cs="仿宋_GB2312"/>
          <w:kern w:val="2"/>
          <w:sz w:val="32"/>
          <w:szCs w:val="32"/>
          <w:lang w:val="en-US" w:eastAsia="zh-Hans" w:bidi="ar-SA"/>
        </w:rPr>
        <w:t>（</w:t>
      </w:r>
      <w:r>
        <w:rPr>
          <w:rFonts w:hint="default" w:ascii="仿宋_GB2312" w:hAnsi="仿宋_GB2312" w:eastAsia="仿宋_GB2312" w:cs="仿宋_GB2312"/>
          <w:kern w:val="2"/>
          <w:sz w:val="32"/>
          <w:szCs w:val="32"/>
          <w:lang w:val="en-US" w:eastAsia="zh-CN" w:bidi="ar-SA"/>
        </w:rPr>
        <w:t>3</w:t>
      </w:r>
      <w:r>
        <w:rPr>
          <w:rFonts w:hint="default"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Hans" w:bidi="ar-SA"/>
        </w:rPr>
        <w:t>自运营之日起，承租方在前海设立的船舶运营公司，如</w:t>
      </w:r>
      <w:r>
        <w:rPr>
          <w:rFonts w:hint="eastAsia" w:ascii="仿宋_GB2312" w:hAnsi="仿宋_GB2312" w:eastAsia="仿宋_GB2312" w:cs="仿宋_GB2312"/>
          <w:kern w:val="2"/>
          <w:sz w:val="32"/>
          <w:szCs w:val="32"/>
          <w:lang w:val="en-US" w:eastAsia="zh-CN" w:bidi="ar-SA"/>
        </w:rPr>
        <w:t>自申报之日起前</w:t>
      </w:r>
      <w:r>
        <w:rPr>
          <w:rFonts w:hint="eastAsia" w:ascii="仿宋_GB2312" w:hAnsi="仿宋_GB2312" w:eastAsia="仿宋_GB2312" w:cs="仿宋_GB2312"/>
          <w:kern w:val="2"/>
          <w:sz w:val="32"/>
          <w:szCs w:val="32"/>
          <w:lang w:val="en-US" w:eastAsia="zh-Hans" w:bidi="ar-SA"/>
        </w:rPr>
        <w:t>12个月内利润总额达0.</w:t>
      </w:r>
      <w:r>
        <w:rPr>
          <w:rFonts w:hint="default" w:ascii="仿宋_GB2312" w:hAnsi="仿宋_GB2312" w:eastAsia="仿宋_GB2312" w:cs="仿宋_GB2312"/>
          <w:kern w:val="2"/>
          <w:sz w:val="32"/>
          <w:szCs w:val="32"/>
          <w:lang w:val="en-US" w:eastAsia="zh-Hans" w:bidi="ar-SA"/>
        </w:rPr>
        <w:t>4</w:t>
      </w:r>
      <w:r>
        <w:rPr>
          <w:rFonts w:hint="eastAsia" w:ascii="仿宋_GB2312" w:hAnsi="仿宋_GB2312" w:eastAsia="仿宋_GB2312" w:cs="仿宋_GB2312"/>
          <w:kern w:val="2"/>
          <w:sz w:val="32"/>
          <w:szCs w:val="32"/>
          <w:lang w:val="en-US" w:eastAsia="zh-Hans" w:bidi="ar-SA"/>
        </w:rPr>
        <w:t>亿以上或者营业收入达0.8亿以上，每年奖励上一年度利润总额的</w:t>
      </w:r>
      <w:r>
        <w:rPr>
          <w:rFonts w:hint="default" w:ascii="仿宋_GB2312" w:hAnsi="仿宋_GB2312" w:eastAsia="仿宋_GB2312" w:cs="仿宋_GB2312"/>
          <w:kern w:val="2"/>
          <w:sz w:val="32"/>
          <w:szCs w:val="32"/>
          <w:lang w:val="en-US" w:eastAsia="zh-Hans" w:bidi="ar-SA"/>
        </w:rPr>
        <w:t>6</w:t>
      </w:r>
      <w:r>
        <w:rPr>
          <w:rFonts w:hint="eastAsia" w:ascii="仿宋_GB2312" w:hAnsi="仿宋_GB2312" w:eastAsia="仿宋_GB2312" w:cs="仿宋_GB2312"/>
          <w:kern w:val="2"/>
          <w:sz w:val="32"/>
          <w:szCs w:val="32"/>
          <w:lang w:val="en-US" w:eastAsia="zh-Hans" w:bidi="ar-SA"/>
        </w:rPr>
        <w:t>%且不超过</w:t>
      </w:r>
      <w:r>
        <w:rPr>
          <w:rFonts w:hint="default" w:ascii="仿宋_GB2312" w:hAnsi="仿宋_GB2312" w:eastAsia="仿宋_GB2312" w:cs="仿宋_GB2312"/>
          <w:kern w:val="2"/>
          <w:sz w:val="32"/>
          <w:szCs w:val="32"/>
          <w:lang w:val="en-US" w:eastAsia="zh-Hans" w:bidi="ar-SA"/>
        </w:rPr>
        <w:t>4</w:t>
      </w:r>
      <w:r>
        <w:rPr>
          <w:rFonts w:hint="eastAsia" w:ascii="仿宋_GB2312" w:hAnsi="仿宋_GB2312" w:eastAsia="仿宋_GB2312" w:cs="仿宋_GB2312"/>
          <w:kern w:val="2"/>
          <w:sz w:val="32"/>
          <w:szCs w:val="32"/>
          <w:lang w:val="en-US" w:eastAsia="zh-Hans" w:bidi="ar-SA"/>
        </w:rPr>
        <w:t>00万元。</w:t>
      </w:r>
    </w:p>
    <w:p>
      <w:pPr>
        <w:pStyle w:val="4"/>
        <w:keepNext w:val="0"/>
        <w:keepLines w:val="0"/>
        <w:pageBreakBefore w:val="0"/>
        <w:widowControl/>
        <w:shd w:val="clear" w:color="auto" w:fill="auto"/>
        <w:kinsoku/>
        <w:wordWrap/>
        <w:overflowPunct/>
        <w:topLinePunct w:val="0"/>
        <w:autoSpaceDE/>
        <w:autoSpaceDN/>
        <w:bidi w:val="0"/>
        <w:adjustRightInd/>
        <w:snapToGrid/>
        <w:spacing w:before="0" w:after="0" w:line="560" w:lineRule="exact"/>
        <w:ind w:left="0" w:right="0" w:firstLine="640" w:firstLineChars="200"/>
        <w:jc w:val="both"/>
        <w:rPr>
          <w:rFonts w:hint="eastAsia" w:ascii="仿宋_GB2312" w:hAnsi="仿宋_GB2312" w:eastAsia="仿宋_GB2312" w:cs="仿宋_GB2312"/>
          <w:kern w:val="2"/>
          <w:sz w:val="32"/>
          <w:szCs w:val="32"/>
          <w:lang w:val="en-US" w:eastAsia="zh-Hans" w:bidi="ar-SA"/>
        </w:rPr>
      </w:pPr>
      <w:r>
        <w:rPr>
          <w:rFonts w:hint="default" w:ascii="仿宋_GB2312" w:hAnsi="仿宋_GB2312" w:eastAsia="仿宋_GB2312" w:cs="仿宋_GB2312"/>
          <w:kern w:val="2"/>
          <w:sz w:val="32"/>
          <w:szCs w:val="32"/>
          <w:lang w:val="en-US" w:eastAsia="zh-Hans" w:bidi="ar-SA"/>
        </w:rPr>
        <w:t>（</w:t>
      </w:r>
      <w:r>
        <w:rPr>
          <w:rFonts w:hint="default" w:ascii="仿宋_GB2312" w:hAnsi="仿宋_GB2312" w:eastAsia="仿宋_GB2312" w:cs="仿宋_GB2312"/>
          <w:kern w:val="2"/>
          <w:sz w:val="32"/>
          <w:szCs w:val="32"/>
          <w:lang w:val="en-US" w:eastAsia="zh-CN" w:bidi="ar-SA"/>
        </w:rPr>
        <w:t>4</w:t>
      </w:r>
      <w:r>
        <w:rPr>
          <w:rFonts w:hint="default"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Hans" w:bidi="ar-SA"/>
        </w:rPr>
        <w:t>自运营之日起，承租方在前海设立的船舶运营公司，如</w:t>
      </w:r>
      <w:r>
        <w:rPr>
          <w:rFonts w:hint="eastAsia" w:ascii="仿宋_GB2312" w:hAnsi="仿宋_GB2312" w:eastAsia="仿宋_GB2312" w:cs="仿宋_GB2312"/>
          <w:kern w:val="2"/>
          <w:sz w:val="32"/>
          <w:szCs w:val="32"/>
          <w:lang w:val="en-US" w:eastAsia="zh-CN" w:bidi="ar-SA"/>
        </w:rPr>
        <w:t>自申报之日起前</w:t>
      </w:r>
      <w:r>
        <w:rPr>
          <w:rFonts w:hint="eastAsia" w:ascii="仿宋_GB2312" w:hAnsi="仿宋_GB2312" w:eastAsia="仿宋_GB2312" w:cs="仿宋_GB2312"/>
          <w:kern w:val="2"/>
          <w:sz w:val="32"/>
          <w:szCs w:val="32"/>
          <w:lang w:val="en-US" w:eastAsia="zh-Hans" w:bidi="ar-SA"/>
        </w:rPr>
        <w:t>12个月内利润总额达0.</w:t>
      </w:r>
      <w:r>
        <w:rPr>
          <w:rFonts w:hint="default" w:ascii="仿宋_GB2312" w:hAnsi="仿宋_GB2312" w:eastAsia="仿宋_GB2312" w:cs="仿宋_GB2312"/>
          <w:kern w:val="2"/>
          <w:sz w:val="32"/>
          <w:szCs w:val="32"/>
          <w:lang w:val="en-US" w:eastAsia="zh-Hans" w:bidi="ar-SA"/>
        </w:rPr>
        <w:t>2</w:t>
      </w:r>
      <w:r>
        <w:rPr>
          <w:rFonts w:hint="eastAsia" w:ascii="仿宋_GB2312" w:hAnsi="仿宋_GB2312" w:eastAsia="仿宋_GB2312" w:cs="仿宋_GB2312"/>
          <w:kern w:val="2"/>
          <w:sz w:val="32"/>
          <w:szCs w:val="32"/>
          <w:lang w:val="en-US" w:eastAsia="zh-Hans" w:bidi="ar-SA"/>
        </w:rPr>
        <w:t>亿以上或者营业收入达0.</w:t>
      </w:r>
      <w:r>
        <w:rPr>
          <w:rFonts w:hint="default" w:ascii="仿宋_GB2312" w:hAnsi="仿宋_GB2312" w:eastAsia="仿宋_GB2312" w:cs="仿宋_GB2312"/>
          <w:kern w:val="2"/>
          <w:sz w:val="32"/>
          <w:szCs w:val="32"/>
          <w:lang w:val="en-US" w:eastAsia="zh-Hans" w:bidi="ar-SA"/>
        </w:rPr>
        <w:t>4</w:t>
      </w:r>
      <w:r>
        <w:rPr>
          <w:rFonts w:hint="eastAsia" w:ascii="仿宋_GB2312" w:hAnsi="仿宋_GB2312" w:eastAsia="仿宋_GB2312" w:cs="仿宋_GB2312"/>
          <w:kern w:val="2"/>
          <w:sz w:val="32"/>
          <w:szCs w:val="32"/>
          <w:lang w:val="en-US" w:eastAsia="zh-Hans" w:bidi="ar-SA"/>
        </w:rPr>
        <w:t>亿以上，每年奖励上一年度利润总额的</w:t>
      </w:r>
      <w:r>
        <w:rPr>
          <w:rFonts w:hint="default" w:ascii="仿宋_GB2312" w:hAnsi="仿宋_GB2312" w:eastAsia="仿宋_GB2312" w:cs="仿宋_GB2312"/>
          <w:kern w:val="2"/>
          <w:sz w:val="32"/>
          <w:szCs w:val="32"/>
          <w:lang w:val="en-US" w:eastAsia="zh-Hans" w:bidi="ar-SA"/>
        </w:rPr>
        <w:t>6</w:t>
      </w:r>
      <w:r>
        <w:rPr>
          <w:rFonts w:hint="eastAsia" w:ascii="仿宋_GB2312" w:hAnsi="仿宋_GB2312" w:eastAsia="仿宋_GB2312" w:cs="仿宋_GB2312"/>
          <w:kern w:val="2"/>
          <w:sz w:val="32"/>
          <w:szCs w:val="32"/>
          <w:lang w:val="en-US" w:eastAsia="zh-Hans" w:bidi="ar-SA"/>
        </w:rPr>
        <w:t>%且不超过</w:t>
      </w:r>
      <w:r>
        <w:rPr>
          <w:rFonts w:hint="default" w:ascii="仿宋_GB2312" w:hAnsi="仿宋_GB2312" w:eastAsia="仿宋_GB2312" w:cs="仿宋_GB2312"/>
          <w:kern w:val="2"/>
          <w:sz w:val="32"/>
          <w:szCs w:val="32"/>
          <w:lang w:val="en-US" w:eastAsia="zh-Hans" w:bidi="ar-SA"/>
        </w:rPr>
        <w:t>200</w:t>
      </w:r>
      <w:r>
        <w:rPr>
          <w:rFonts w:hint="eastAsia" w:ascii="仿宋_GB2312" w:hAnsi="仿宋_GB2312" w:eastAsia="仿宋_GB2312" w:cs="仿宋_GB2312"/>
          <w:kern w:val="2"/>
          <w:sz w:val="32"/>
          <w:szCs w:val="32"/>
          <w:lang w:val="en-US" w:eastAsia="zh-Hans" w:bidi="ar-SA"/>
        </w:rPr>
        <w:t>万元。</w:t>
      </w:r>
    </w:p>
    <w:p>
      <w:pPr>
        <w:pStyle w:val="4"/>
        <w:keepNext w:val="0"/>
        <w:keepLines w:val="0"/>
        <w:pageBreakBefore w:val="0"/>
        <w:widowControl/>
        <w:shd w:val="clear" w:color="auto" w:fill="auto"/>
        <w:kinsoku/>
        <w:wordWrap/>
        <w:overflowPunct/>
        <w:topLinePunct w:val="0"/>
        <w:autoSpaceDE/>
        <w:autoSpaceDN/>
        <w:bidi w:val="0"/>
        <w:adjustRightInd/>
        <w:snapToGrid/>
        <w:spacing w:before="0" w:after="0" w:line="560" w:lineRule="exact"/>
        <w:ind w:left="0" w:right="0" w:firstLine="640" w:firstLineChars="200"/>
        <w:jc w:val="both"/>
        <w:rPr>
          <w:rStyle w:val="7"/>
          <w:rFonts w:hint="default" w:ascii="仿宋_GB2312" w:hAnsi="Calibri" w:eastAsia="仿宋_GB2312" w:cs="Times New Roman"/>
          <w:b w:val="0"/>
          <w:bCs w:val="0"/>
          <w:color w:val="auto"/>
          <w:kern w:val="2"/>
          <w:sz w:val="32"/>
          <w:szCs w:val="32"/>
          <w:highlight w:val="none"/>
          <w:shd w:val="clear" w:color="auto" w:fill="auto"/>
          <w:lang w:eastAsia="zh-Hans" w:bidi="ar"/>
        </w:rPr>
      </w:pPr>
      <w:r>
        <w:rPr>
          <w:rFonts w:hint="default" w:ascii="仿宋_GB2312" w:hAnsi="仿宋_GB2312" w:eastAsia="仿宋_GB2312" w:cs="仿宋_GB2312"/>
          <w:kern w:val="2"/>
          <w:sz w:val="32"/>
          <w:szCs w:val="32"/>
          <w:lang w:val="en-US" w:eastAsia="zh-Hans" w:bidi="ar-SA"/>
        </w:rPr>
        <w:t>具体</w:t>
      </w:r>
      <w:r>
        <w:rPr>
          <w:rFonts w:hint="eastAsia" w:ascii="仿宋_GB2312" w:hAnsi="仿宋_GB2312" w:eastAsia="仿宋_GB2312" w:cs="仿宋_GB2312"/>
          <w:kern w:val="2"/>
          <w:sz w:val="32"/>
          <w:szCs w:val="32"/>
          <w:lang w:val="en-US" w:eastAsia="zh-CN" w:bidi="ar-SA"/>
        </w:rPr>
        <w:t>奖励</w:t>
      </w:r>
      <w:r>
        <w:rPr>
          <w:rFonts w:hint="eastAsia" w:ascii="仿宋_GB2312" w:hAnsi="仿宋_GB2312" w:eastAsia="仿宋_GB2312" w:cs="仿宋_GB2312"/>
          <w:kern w:val="2"/>
          <w:sz w:val="32"/>
          <w:szCs w:val="32"/>
          <w:lang w:val="en-US" w:eastAsia="zh-Hans" w:bidi="ar-SA"/>
        </w:rPr>
        <w:t>标准如下</w:t>
      </w:r>
      <w:r>
        <w:rPr>
          <w:rStyle w:val="7"/>
          <w:rFonts w:hint="eastAsia" w:ascii="仿宋_GB2312" w:hAnsi="Calibri" w:eastAsia="仿宋_GB2312" w:cs="Times New Roman"/>
          <w:b w:val="0"/>
          <w:bCs w:val="0"/>
          <w:color w:val="auto"/>
          <w:kern w:val="2"/>
          <w:sz w:val="32"/>
          <w:szCs w:val="32"/>
          <w:highlight w:val="none"/>
          <w:shd w:val="clear" w:color="auto" w:fill="auto"/>
          <w:lang w:eastAsia="zh-Hans" w:bidi="ar"/>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2"/>
        <w:gridCol w:w="1687"/>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455" w:type="dxa"/>
            <w:gridSpan w:val="2"/>
            <w:tcBorders>
              <w:top w:val="dotted" w:color="auto" w:sz="8" w:space="0"/>
              <w:left w:val="dotted" w:color="auto" w:sz="8" w:space="0"/>
              <w:bottom w:val="dotted" w:color="auto" w:sz="1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门槛条件（二选一）</w:t>
            </w:r>
          </w:p>
        </w:tc>
        <w:tc>
          <w:tcPr>
            <w:tcW w:w="5352" w:type="dxa"/>
            <w:tcBorders>
              <w:top w:val="dotted" w:color="auto" w:sz="8" w:space="0"/>
              <w:left w:val="dotted" w:color="auto" w:sz="8" w:space="0"/>
              <w:bottom w:val="dotted" w:color="auto" w:sz="1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融资租赁承租方（船舶运营公司）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利润总额</w:t>
            </w:r>
          </w:p>
        </w:tc>
        <w:tc>
          <w:tcPr>
            <w:tcW w:w="1730"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营业收入</w:t>
            </w:r>
          </w:p>
        </w:tc>
        <w:tc>
          <w:tcPr>
            <w:tcW w:w="5352"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eastAsia" w:ascii="华文仿宋" w:hAnsi="华文仿宋" w:eastAsia="华文仿宋" w:cs="华文仿宋"/>
                <w:b/>
                <w:bCs/>
                <w:color w:val="000000"/>
                <w:kern w:val="2"/>
                <w:sz w:val="28"/>
                <w:szCs w:val="28"/>
                <w:highlight w:val="none"/>
                <w:shd w:val="clear" w:color="auto" w:fill="auto"/>
                <w:lang w:eastAsia="zh-Hans" w:bidi="ar"/>
              </w:rPr>
              <w:t>按照上一年度利润总额的6%奖励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t>≥</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1.5亿元</w:t>
            </w:r>
          </w:p>
        </w:tc>
        <w:tc>
          <w:tcPr>
            <w:tcW w:w="173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t>≥</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3亿元</w:t>
            </w:r>
          </w:p>
        </w:tc>
        <w:tc>
          <w:tcPr>
            <w:tcW w:w="5352"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t>上一年度利润总额6%，</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t>≥</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7000万元</w:t>
            </w:r>
          </w:p>
        </w:tc>
        <w:tc>
          <w:tcPr>
            <w:tcW w:w="173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t>≥</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1.5亿元</w:t>
            </w:r>
          </w:p>
        </w:tc>
        <w:tc>
          <w:tcPr>
            <w:tcW w:w="5352"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t>上一年度利润总额6%，</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t>≥</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4000万元</w:t>
            </w:r>
          </w:p>
        </w:tc>
        <w:tc>
          <w:tcPr>
            <w:tcW w:w="173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t>≥</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8000万元</w:t>
            </w:r>
          </w:p>
        </w:tc>
        <w:tc>
          <w:tcPr>
            <w:tcW w:w="5352"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t>上一年度利润总额6%，</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t>≥</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2000万元</w:t>
            </w:r>
          </w:p>
        </w:tc>
        <w:tc>
          <w:tcPr>
            <w:tcW w:w="173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t>≥</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4000万元</w:t>
            </w:r>
          </w:p>
        </w:tc>
        <w:tc>
          <w:tcPr>
            <w:tcW w:w="5352"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t>上一年度利润总额6%，</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≤200万元</w:t>
            </w:r>
          </w:p>
        </w:tc>
      </w:tr>
    </w:tbl>
    <w:p>
      <w:pPr>
        <w:pStyle w:val="4"/>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以上奖励企业</w:t>
      </w:r>
      <w:r>
        <w:rPr>
          <w:rFonts w:hint="eastAsia" w:ascii="仿宋_GB2312" w:hAnsi="仿宋_GB2312" w:eastAsia="仿宋_GB2312" w:cs="仿宋_GB2312"/>
          <w:kern w:val="2"/>
          <w:sz w:val="32"/>
          <w:szCs w:val="32"/>
          <w:lang w:val="en-US" w:eastAsia="zh-Hans" w:bidi="ar-SA"/>
        </w:rPr>
        <w:t>自获得奖励之日起，在</w:t>
      </w:r>
      <w:r>
        <w:rPr>
          <w:rFonts w:hint="eastAsia" w:ascii="仿宋_GB2312" w:hAnsi="仿宋_GB2312" w:eastAsia="仿宋_GB2312" w:cs="仿宋_GB2312"/>
          <w:kern w:val="2"/>
          <w:sz w:val="32"/>
          <w:szCs w:val="32"/>
          <w:lang w:val="en-US" w:eastAsia="zh-CN" w:bidi="ar-SA"/>
        </w:rPr>
        <w:t>奖励期限及租赁期</w:t>
      </w:r>
      <w:r>
        <w:rPr>
          <w:rFonts w:hint="eastAsia" w:ascii="仿宋_GB2312" w:hAnsi="仿宋_GB2312" w:eastAsia="仿宋_GB2312" w:cs="仿宋_GB2312"/>
          <w:kern w:val="2"/>
          <w:sz w:val="32"/>
          <w:szCs w:val="32"/>
          <w:lang w:val="en-US" w:eastAsia="zh-Hans" w:bidi="ar-SA"/>
        </w:rPr>
        <w:t>的2倍年限内，不得迁离前海合作区。</w:t>
      </w:r>
      <w:r>
        <w:rPr>
          <w:rFonts w:hint="eastAsia" w:ascii="仿宋_GB2312" w:hAnsi="仿宋_GB2312" w:eastAsia="仿宋_GB2312" w:cs="仿宋_GB2312"/>
          <w:kern w:val="2"/>
          <w:sz w:val="32"/>
          <w:szCs w:val="32"/>
          <w:lang w:val="en-US" w:eastAsia="zh-CN" w:bidi="ar-SA"/>
        </w:rPr>
        <w:t>获得奖励的企业需提供专项审计报告，不得转移利润。</w:t>
      </w:r>
    </w:p>
    <w:p>
      <w:pPr>
        <w:pageBreakBefore w:val="0"/>
        <w:numPr>
          <w:ilvl w:val="0"/>
          <w:numId w:val="0"/>
        </w:numPr>
        <w:kinsoku/>
        <w:wordWrap/>
        <w:overflowPunct/>
        <w:topLinePunct w:val="0"/>
        <w:autoSpaceDE/>
        <w:autoSpaceDN/>
        <w:bidi w:val="0"/>
        <w:adjustRightInd/>
        <w:snapToGrid/>
        <w:spacing w:line="560" w:lineRule="exact"/>
        <w:textAlignment w:val="auto"/>
        <w:rPr>
          <w:rStyle w:val="7"/>
          <w:rFonts w:hint="eastAsia" w:ascii="CESI楷体-GB2312" w:hAnsi="CESI楷体-GB2312" w:eastAsia="CESI楷体-GB2312" w:cs="CESI楷体-GB2312"/>
          <w:color w:val="auto"/>
          <w:kern w:val="2"/>
          <w:sz w:val="32"/>
          <w:szCs w:val="32"/>
          <w:highlight w:val="none"/>
          <w:shd w:val="clear" w:color="auto" w:fill="auto"/>
          <w:lang w:eastAsia="zh-CN" w:bidi="ar"/>
        </w:rPr>
      </w:pPr>
      <w:r>
        <w:rPr>
          <w:rStyle w:val="7"/>
          <w:rFonts w:hint="default" w:ascii="CESI楷体-GB2312" w:hAnsi="CESI楷体-GB2312" w:eastAsia="CESI楷体-GB2312" w:cs="CESI楷体-GB2312"/>
          <w:color w:val="auto"/>
          <w:kern w:val="2"/>
          <w:sz w:val="32"/>
          <w:szCs w:val="32"/>
          <w:highlight w:val="none"/>
          <w:shd w:val="clear" w:color="auto" w:fill="auto"/>
          <w:lang w:eastAsia="zh-CN" w:bidi="ar"/>
        </w:rPr>
        <w:t xml:space="preserve">    </w:t>
      </w:r>
      <w:r>
        <w:rPr>
          <w:rStyle w:val="7"/>
          <w:rFonts w:hint="eastAsia" w:ascii="CESI楷体-GB2312" w:hAnsi="CESI楷体-GB2312" w:eastAsia="CESI楷体-GB2312" w:cs="CESI楷体-GB2312"/>
          <w:color w:val="auto"/>
          <w:kern w:val="2"/>
          <w:sz w:val="32"/>
          <w:szCs w:val="32"/>
          <w:highlight w:val="none"/>
          <w:shd w:val="clear" w:color="auto" w:fill="auto"/>
          <w:lang w:eastAsia="zh-CN" w:bidi="ar"/>
        </w:rPr>
        <w:t>（</w:t>
      </w:r>
      <w:r>
        <w:rPr>
          <w:rStyle w:val="7"/>
          <w:rFonts w:hint="default" w:ascii="CESI楷体-GB2312" w:hAnsi="CESI楷体-GB2312" w:eastAsia="CESI楷体-GB2312" w:cs="CESI楷体-GB2312"/>
          <w:color w:val="auto"/>
          <w:kern w:val="2"/>
          <w:sz w:val="32"/>
          <w:szCs w:val="32"/>
          <w:highlight w:val="none"/>
          <w:shd w:val="clear" w:color="auto" w:fill="auto"/>
          <w:lang w:eastAsia="zh-CN" w:bidi="ar"/>
        </w:rPr>
        <w:t>二</w:t>
      </w:r>
      <w:r>
        <w:rPr>
          <w:rStyle w:val="7"/>
          <w:rFonts w:hint="eastAsia" w:ascii="CESI楷体-GB2312" w:hAnsi="CESI楷体-GB2312" w:eastAsia="CESI楷体-GB2312" w:cs="CESI楷体-GB2312"/>
          <w:color w:val="auto"/>
          <w:kern w:val="2"/>
          <w:sz w:val="32"/>
          <w:szCs w:val="32"/>
          <w:highlight w:val="none"/>
          <w:shd w:val="clear" w:color="auto" w:fill="auto"/>
          <w:lang w:eastAsia="zh-CN" w:bidi="ar"/>
        </w:rPr>
        <w:t>）</w:t>
      </w:r>
      <w:r>
        <w:rPr>
          <w:rStyle w:val="7"/>
          <w:rFonts w:hint="eastAsia" w:ascii="CESI楷体-GB2312" w:hAnsi="CESI楷体-GB2312" w:eastAsia="CESI楷体-GB2312" w:cs="CESI楷体-GB2312"/>
          <w:color w:val="auto"/>
          <w:kern w:val="2"/>
          <w:sz w:val="32"/>
          <w:szCs w:val="32"/>
          <w:highlight w:val="none"/>
          <w:shd w:val="clear" w:color="auto" w:fill="auto"/>
          <w:lang w:val="en-US" w:eastAsia="zh-CN" w:bidi="ar"/>
        </w:rPr>
        <w:t>支持</w:t>
      </w:r>
      <w:r>
        <w:rPr>
          <w:rStyle w:val="7"/>
          <w:rFonts w:hint="eastAsia" w:ascii="CESI楷体-GB2312" w:hAnsi="CESI楷体-GB2312" w:eastAsia="CESI楷体-GB2312" w:cs="CESI楷体-GB2312"/>
          <w:color w:val="auto"/>
          <w:kern w:val="2"/>
          <w:sz w:val="32"/>
          <w:szCs w:val="32"/>
          <w:highlight w:val="none"/>
          <w:shd w:val="clear" w:color="auto" w:fill="auto"/>
          <w:lang w:eastAsia="zh-CN" w:bidi="ar"/>
        </w:rPr>
        <w:t>船队</w:t>
      </w:r>
      <w:r>
        <w:rPr>
          <w:rStyle w:val="7"/>
          <w:rFonts w:hint="eastAsia" w:ascii="CESI楷体-GB2312" w:hAnsi="CESI楷体-GB2312" w:eastAsia="CESI楷体-GB2312" w:cs="CESI楷体-GB2312"/>
          <w:color w:val="auto"/>
          <w:kern w:val="2"/>
          <w:sz w:val="32"/>
          <w:szCs w:val="32"/>
          <w:highlight w:val="none"/>
          <w:shd w:val="clear" w:color="auto" w:fill="auto"/>
          <w:lang w:val="en-US" w:eastAsia="zh-CN" w:bidi="ar"/>
        </w:rPr>
        <w:t>建设</w:t>
      </w:r>
    </w:p>
    <w:p>
      <w:pPr>
        <w:numPr>
          <w:ilvl w:val="0"/>
          <w:numId w:val="0"/>
        </w:numPr>
        <w:spacing w:line="560" w:lineRule="exact"/>
        <w:ind w:firstLine="643" w:firstLineChars="200"/>
        <w:rPr>
          <w:rFonts w:hint="eastAsia"/>
          <w:lang w:eastAsia="zh-CN"/>
        </w:rPr>
      </w:pPr>
      <w:r>
        <w:rPr>
          <w:rFonts w:hint="default" w:ascii="仿宋_GB2312" w:hAnsi="仿宋_GB2312" w:eastAsia="仿宋_GB2312" w:cs="仿宋_GB2312"/>
          <w:b/>
          <w:bCs/>
          <w:kern w:val="2"/>
          <w:sz w:val="32"/>
          <w:szCs w:val="32"/>
          <w:lang w:val="en-US" w:eastAsia="zh-CN" w:bidi="ar-SA"/>
        </w:rPr>
        <w:t>3.</w:t>
      </w:r>
      <w:r>
        <w:rPr>
          <w:rFonts w:hint="eastAsia" w:ascii="仿宋_GB2312" w:hAnsi="仿宋_GB2312" w:eastAsia="仿宋_GB2312" w:cs="仿宋_GB2312"/>
          <w:b/>
          <w:bCs/>
          <w:kern w:val="2"/>
          <w:sz w:val="32"/>
          <w:szCs w:val="32"/>
          <w:lang w:val="en-US" w:eastAsia="zh-CN" w:bidi="ar-SA"/>
        </w:rPr>
        <w:t>航运公司落户支持</w:t>
      </w:r>
      <w:r>
        <w:rPr>
          <w:rFonts w:hint="default"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对持有集装箱船、滚装船、干散货船、油轮、天然气运输船</w:t>
      </w:r>
      <w:r>
        <w:rPr>
          <w:rFonts w:hint="eastAsia" w:ascii="仿宋_GB2312" w:hAnsi="仿宋_GB2312" w:eastAsia="仿宋_GB2312" w:cs="仿宋_GB2312"/>
          <w:kern w:val="2"/>
          <w:sz w:val="32"/>
          <w:szCs w:val="32"/>
          <w:lang w:val="en-US" w:eastAsia="zh-CN" w:bidi="ar-SA"/>
        </w:rPr>
        <w:t>等运力</w:t>
      </w:r>
      <w:r>
        <w:rPr>
          <w:rFonts w:hint="default" w:ascii="仿宋_GB2312" w:hAnsi="仿宋_GB2312" w:eastAsia="仿宋_GB2312" w:cs="仿宋_GB2312"/>
          <w:kern w:val="2"/>
          <w:sz w:val="32"/>
          <w:szCs w:val="32"/>
          <w:lang w:val="en-US" w:eastAsia="zh-CN" w:bidi="ar-SA"/>
        </w:rPr>
        <w:t>的</w:t>
      </w:r>
      <w:r>
        <w:rPr>
          <w:rFonts w:hint="eastAsia" w:ascii="仿宋_GB2312" w:hAnsi="仿宋_GB2312" w:eastAsia="仿宋_GB2312" w:cs="仿宋_GB2312"/>
          <w:kern w:val="2"/>
          <w:sz w:val="32"/>
          <w:szCs w:val="32"/>
          <w:lang w:val="en-US" w:eastAsia="zh-CN" w:bidi="ar-SA"/>
        </w:rPr>
        <w:t>航运企业</w:t>
      </w:r>
      <w:r>
        <w:rPr>
          <w:rFonts w:hint="default" w:ascii="仿宋_GB2312" w:hAnsi="仿宋_GB2312" w:eastAsia="仿宋_GB2312" w:cs="仿宋_GB2312"/>
          <w:kern w:val="2"/>
          <w:sz w:val="32"/>
          <w:szCs w:val="32"/>
          <w:lang w:val="en-US" w:eastAsia="zh-CN" w:bidi="ar-SA"/>
        </w:rPr>
        <w:t>，根据上一自然年度营收情况及船舶运力给予申报主体最高2000万元的一次性落户奖励</w:t>
      </w:r>
      <w:r>
        <w:rPr>
          <w:rFonts w:hint="eastAsia" w:ascii="仿宋_GB2312" w:hAnsi="仿宋_GB2312" w:eastAsia="仿宋_GB2312" w:cs="仿宋_GB2312"/>
          <w:kern w:val="2"/>
          <w:sz w:val="32"/>
          <w:szCs w:val="32"/>
          <w:lang w:val="en-US" w:eastAsia="zh-CN" w:bidi="ar-SA"/>
        </w:rPr>
        <w:t>。</w:t>
      </w:r>
    </w:p>
    <w:tbl>
      <w:tblPr>
        <w:tblStyle w:val="6"/>
        <w:tblpPr w:leftFromText="180" w:rightFromText="180" w:vertAnchor="text" w:horzAnchor="page" w:tblpX="1808" w:tblpY="3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2"/>
        <w:gridCol w:w="4157"/>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82" w:type="dxa"/>
            <w:tcBorders>
              <w:top w:val="dotted" w:color="auto" w:sz="8" w:space="0"/>
              <w:left w:val="dotted" w:color="auto" w:sz="8" w:space="0"/>
              <w:bottom w:val="dotted" w:color="auto" w:sz="1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档次</w:t>
            </w:r>
          </w:p>
        </w:tc>
        <w:tc>
          <w:tcPr>
            <w:tcW w:w="4157" w:type="dxa"/>
            <w:tcBorders>
              <w:top w:val="dotted" w:color="auto" w:sz="8" w:space="0"/>
              <w:left w:val="dotted" w:color="auto" w:sz="8" w:space="0"/>
              <w:bottom w:val="dotted" w:color="auto" w:sz="1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得分</w:t>
            </w:r>
          </w:p>
        </w:tc>
        <w:tc>
          <w:tcPr>
            <w:tcW w:w="2680" w:type="dxa"/>
            <w:tcBorders>
              <w:top w:val="dotted" w:color="auto" w:sz="8" w:space="0"/>
              <w:left w:val="dotted" w:color="auto" w:sz="8" w:space="0"/>
              <w:bottom w:val="dotted" w:color="auto" w:sz="1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补贴力度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82"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第一档</w:t>
            </w:r>
          </w:p>
        </w:tc>
        <w:tc>
          <w:tcPr>
            <w:tcW w:w="4157"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（90分</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（不含）</w:t>
            </w: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-100分</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（含）</w:t>
            </w: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w:t>
            </w:r>
          </w:p>
        </w:tc>
        <w:tc>
          <w:tcPr>
            <w:tcW w:w="2680"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82"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第二档</w:t>
            </w:r>
          </w:p>
        </w:tc>
        <w:tc>
          <w:tcPr>
            <w:tcW w:w="4157"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（80分</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val="en-US" w:eastAsia="zh-Hans" w:bidi="ar"/>
              </w:rPr>
              <w:t>（不含）</w:t>
            </w: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-90分</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val="en-US" w:eastAsia="zh-Hans" w:bidi="ar"/>
              </w:rPr>
              <w:t>（含）</w:t>
            </w: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w:t>
            </w:r>
          </w:p>
        </w:tc>
        <w:tc>
          <w:tcPr>
            <w:tcW w:w="268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pPr>
            <w: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82"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第三档</w:t>
            </w:r>
          </w:p>
        </w:tc>
        <w:tc>
          <w:tcPr>
            <w:tcW w:w="4157"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（70分</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val="en-US" w:eastAsia="zh-Hans" w:bidi="ar"/>
              </w:rPr>
              <w:t>（不含）</w:t>
            </w: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-80</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val="en-US" w:eastAsia="zh-Hans" w:bidi="ar"/>
              </w:rPr>
              <w:t>（含）</w:t>
            </w: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分）</w:t>
            </w:r>
          </w:p>
        </w:tc>
        <w:tc>
          <w:tcPr>
            <w:tcW w:w="268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pPr>
            <w: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82"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东文宋体" w:hAnsi="东文宋体" w:eastAsia="东文宋体" w:cs="东文宋体"/>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第四档</w:t>
            </w:r>
          </w:p>
        </w:tc>
        <w:tc>
          <w:tcPr>
            <w:tcW w:w="4157"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（60分</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val="en-US" w:eastAsia="zh-Hans" w:bidi="ar"/>
              </w:rPr>
              <w:t>（不含）</w:t>
            </w: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-70</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val="en-US" w:eastAsia="zh-Hans" w:bidi="ar"/>
              </w:rPr>
              <w:t>（含）</w:t>
            </w: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分）</w:t>
            </w:r>
          </w:p>
        </w:tc>
        <w:tc>
          <w:tcPr>
            <w:tcW w:w="268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pPr>
            <w: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t>250万元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82"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第五档</w:t>
            </w:r>
          </w:p>
        </w:tc>
        <w:tc>
          <w:tcPr>
            <w:tcW w:w="4157"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（50分</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val="en-US" w:eastAsia="zh-Hans" w:bidi="ar"/>
              </w:rPr>
              <w:t>（含）</w:t>
            </w: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-60分</w:t>
            </w:r>
            <w:r>
              <w:rPr>
                <w:rStyle w:val="7"/>
                <w:rFonts w:hint="default" w:ascii="CESI楷体-GB2312" w:hAnsi="CESI楷体-GB2312" w:eastAsia="CESI楷体-GB2312" w:cs="CESI楷体-GB2312"/>
                <w:color w:val="000000"/>
                <w:kern w:val="2"/>
                <w:sz w:val="28"/>
                <w:szCs w:val="28"/>
                <w:highlight w:val="none"/>
                <w:shd w:val="clear" w:color="auto" w:fill="auto"/>
                <w:vertAlign w:val="baseline"/>
                <w:lang w:val="en-US" w:eastAsia="zh-Hans" w:bidi="ar"/>
              </w:rPr>
              <w:t>（含）</w:t>
            </w:r>
            <w: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t>）</w:t>
            </w:r>
          </w:p>
        </w:tc>
        <w:tc>
          <w:tcPr>
            <w:tcW w:w="268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519" w:type="dxa"/>
            <w:gridSpan w:val="3"/>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eastAsia" w:ascii="CESI楷体-GB2312" w:hAnsi="CESI楷体-GB2312" w:eastAsia="CESI楷体-GB2312" w:cs="CESI楷体-GB2312"/>
                <w:b w:val="0"/>
                <w:bCs w:val="0"/>
                <w:color w:val="000000"/>
                <w:kern w:val="2"/>
                <w:sz w:val="28"/>
                <w:szCs w:val="28"/>
                <w:highlight w:val="none"/>
                <w:shd w:val="clear" w:color="auto" w:fill="auto"/>
                <w:lang w:val="en-US" w:eastAsia="zh-Hans" w:bidi="ar"/>
              </w:rPr>
              <w:t>计算公式为:综合评分=营收指标×50%+运力指标×50%</w:t>
            </w:r>
          </w:p>
        </w:tc>
      </w:tr>
    </w:tbl>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其中</w:t>
      </w:r>
      <w:r>
        <w:rPr>
          <w:rFonts w:hint="default" w:ascii="仿宋_GB2312" w:hAnsi="仿宋_GB2312" w:eastAsia="仿宋_GB2312" w:cs="仿宋_GB2312"/>
          <w:kern w:val="2"/>
          <w:sz w:val="32"/>
          <w:szCs w:val="32"/>
          <w:lang w:val="en-US" w:eastAsia="zh-Hans" w:bidi="ar-SA"/>
        </w:rPr>
        <w:t>申报主体营业收入占权重50%，申报主体或</w:t>
      </w:r>
      <w:r>
        <w:rPr>
          <w:rFonts w:hint="eastAsia" w:ascii="仿宋_GB2312" w:hAnsi="仿宋_GB2312" w:eastAsia="仿宋_GB2312" w:cs="仿宋_GB2312"/>
          <w:kern w:val="2"/>
          <w:sz w:val="32"/>
          <w:szCs w:val="32"/>
          <w:lang w:val="en-US" w:eastAsia="zh-Hans" w:bidi="ar-SA"/>
        </w:rPr>
        <w:t>母公司船队运力排名占总分权重50%，</w:t>
      </w:r>
      <w:r>
        <w:rPr>
          <w:rFonts w:hint="default" w:ascii="仿宋_GB2312" w:hAnsi="仿宋_GB2312" w:eastAsia="仿宋_GB2312" w:cs="仿宋_GB2312"/>
          <w:kern w:val="2"/>
          <w:sz w:val="32"/>
          <w:szCs w:val="32"/>
          <w:lang w:val="en-US" w:eastAsia="zh-Hans" w:bidi="ar-SA"/>
        </w:rPr>
        <w:t>但申报主体</w:t>
      </w:r>
      <w:r>
        <w:rPr>
          <w:rFonts w:hint="eastAsia" w:ascii="仿宋_GB2312" w:hAnsi="仿宋_GB2312" w:eastAsia="仿宋_GB2312" w:cs="仿宋_GB2312"/>
          <w:kern w:val="2"/>
          <w:sz w:val="32"/>
          <w:szCs w:val="32"/>
          <w:lang w:val="en-US" w:eastAsia="zh-Hans" w:bidi="ar-SA"/>
        </w:rPr>
        <w:t>的船队运力不得低于</w:t>
      </w:r>
      <w:r>
        <w:rPr>
          <w:rFonts w:hint="eastAsia" w:ascii="仿宋_GB2312" w:hAnsi="仿宋_GB2312" w:eastAsia="仿宋_GB2312" w:cs="仿宋_GB2312"/>
          <w:kern w:val="2"/>
          <w:sz w:val="32"/>
          <w:szCs w:val="32"/>
          <w:lang w:val="en-US" w:eastAsia="zh-CN" w:bidi="ar-SA"/>
        </w:rPr>
        <w:t>申报主体或申报主体母</w:t>
      </w:r>
      <w:r>
        <w:rPr>
          <w:rFonts w:hint="eastAsia" w:ascii="仿宋_GB2312" w:hAnsi="仿宋_GB2312" w:eastAsia="仿宋_GB2312" w:cs="仿宋_GB2312"/>
          <w:kern w:val="2"/>
          <w:sz w:val="32"/>
          <w:szCs w:val="32"/>
          <w:lang w:val="en-US" w:eastAsia="zh-Hans" w:bidi="ar-SA"/>
        </w:rPr>
        <w:t>公司总运力的20</w:t>
      </w:r>
      <w:r>
        <w:rPr>
          <w:rFonts w:hint="default" w:ascii="仿宋_GB2312" w:hAnsi="仿宋_GB2312" w:eastAsia="仿宋_GB2312" w:cs="仿宋_GB2312"/>
          <w:kern w:val="2"/>
          <w:sz w:val="32"/>
          <w:szCs w:val="32"/>
          <w:lang w:val="en-US" w:eastAsia="zh-Hans" w:bidi="ar-SA"/>
        </w:rPr>
        <w:t>%</w:t>
      </w:r>
      <w:r>
        <w:rPr>
          <w:rFonts w:hint="default" w:ascii="仿宋_GB2312" w:hAnsi="仿宋_GB2312" w:eastAsia="仿宋_GB2312" w:cs="仿宋_GB2312"/>
          <w:kern w:val="2"/>
          <w:sz w:val="32"/>
          <w:szCs w:val="32"/>
          <w:lang w:val="en-US" w:eastAsia="zh-CN" w:bidi="ar-SA"/>
        </w:rPr>
        <w:t>。具体测算标准如下：</w:t>
      </w:r>
    </w:p>
    <w:p>
      <w:pPr>
        <w:pStyle w:val="2"/>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pStyle w:val="2"/>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tbl>
      <w:tblPr>
        <w:tblStyle w:val="6"/>
        <w:tblpPr w:leftFromText="180" w:rightFromText="180" w:vertAnchor="text" w:horzAnchor="page" w:tblpX="637" w:tblpY="537"/>
        <w:tblOverlap w:val="never"/>
        <w:tblW w:w="11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700"/>
        <w:gridCol w:w="1933"/>
        <w:gridCol w:w="1883"/>
        <w:gridCol w:w="1600"/>
        <w:gridCol w:w="168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40" w:type="dxa"/>
            <w:vMerge w:val="restart"/>
            <w:tcBorders>
              <w:top w:val="dotted" w:color="auto" w:sz="8" w:space="0"/>
              <w:left w:val="dotted" w:color="auto" w:sz="8" w:space="0"/>
              <w:bottom w:val="dotted" w:color="auto" w:sz="1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营收(亿元）</w:t>
            </w:r>
          </w:p>
        </w:tc>
        <w:tc>
          <w:tcPr>
            <w:tcW w:w="8800" w:type="dxa"/>
            <w:gridSpan w:val="5"/>
            <w:tcBorders>
              <w:top w:val="dotted" w:color="auto" w:sz="8" w:space="0"/>
              <w:left w:val="dotted" w:color="auto" w:sz="8" w:space="0"/>
              <w:bottom w:val="dotted" w:color="auto" w:sz="1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 xml:space="preserve">   船型</w:t>
            </w:r>
          </w:p>
        </w:tc>
        <w:tc>
          <w:tcPr>
            <w:tcW w:w="916" w:type="dxa"/>
            <w:vMerge w:val="restart"/>
            <w:tcBorders>
              <w:top w:val="dotted" w:color="auto" w:sz="8" w:space="0"/>
              <w:left w:val="dotted" w:color="auto" w:sz="8" w:space="0"/>
              <w:bottom w:val="dotted" w:color="auto" w:sz="1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40" w:type="dxa"/>
            <w:vMerge w:val="continue"/>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p>
        </w:tc>
        <w:tc>
          <w:tcPr>
            <w:tcW w:w="1700"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集装箱船</w:t>
            </w:r>
          </w:p>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（万TEU）</w:t>
            </w:r>
          </w:p>
        </w:tc>
        <w:tc>
          <w:tcPr>
            <w:tcW w:w="1933"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干散货船（万DWT）</w:t>
            </w:r>
          </w:p>
        </w:tc>
        <w:tc>
          <w:tcPr>
            <w:tcW w:w="1883"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油轮（万DWT）</w:t>
            </w:r>
          </w:p>
        </w:tc>
        <w:tc>
          <w:tcPr>
            <w:tcW w:w="1600"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滚装船（万CEU）</w:t>
            </w:r>
          </w:p>
        </w:tc>
        <w:tc>
          <w:tcPr>
            <w:tcW w:w="1684" w:type="dxa"/>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天然气运输船（万</w:t>
            </w: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val="en-US" w:eastAsia="zh-CN" w:bidi="ar"/>
              </w:rPr>
              <w:t>m³</w:t>
            </w:r>
            <w: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t>）</w:t>
            </w:r>
          </w:p>
        </w:tc>
        <w:tc>
          <w:tcPr>
            <w:tcW w:w="916" w:type="dxa"/>
            <w:vMerge w:val="continue"/>
            <w:tcBorders>
              <w:top w:val="dotted" w:color="auto" w:sz="1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bCs/>
                <w:color w:val="000000"/>
                <w:kern w:val="2"/>
                <w:sz w:val="28"/>
                <w:szCs w:val="28"/>
                <w:highlight w:val="none"/>
                <w:shd w:val="clear" w:color="auto" w:fill="auto"/>
                <w:vertAlign w:val="baseline"/>
                <w:lang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64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10(含)以上</w:t>
            </w:r>
          </w:p>
        </w:tc>
        <w:tc>
          <w:tcPr>
            <w:tcW w:w="17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50(含)以上</w:t>
            </w:r>
          </w:p>
        </w:tc>
        <w:tc>
          <w:tcPr>
            <w:tcW w:w="193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eastAsia="zh-Hans" w:bidi="ar"/>
              </w:rPr>
            </w:pPr>
          </w:p>
        </w:tc>
        <w:tc>
          <w:tcPr>
            <w:tcW w:w="188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eastAsia="zh-Hans" w:bidi="ar"/>
              </w:rPr>
            </w:pPr>
          </w:p>
        </w:tc>
        <w:tc>
          <w:tcPr>
            <w:tcW w:w="16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p>
        </w:tc>
        <w:tc>
          <w:tcPr>
            <w:tcW w:w="1684"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p>
        </w:tc>
        <w:tc>
          <w:tcPr>
            <w:tcW w:w="916"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4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5(含)-10</w:t>
            </w:r>
          </w:p>
        </w:tc>
        <w:tc>
          <w:tcPr>
            <w:tcW w:w="17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20(含)-50</w:t>
            </w:r>
          </w:p>
        </w:tc>
        <w:tc>
          <w:tcPr>
            <w:tcW w:w="193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1200(含)以上</w:t>
            </w:r>
          </w:p>
        </w:tc>
        <w:tc>
          <w:tcPr>
            <w:tcW w:w="188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1200(含)以上</w:t>
            </w:r>
          </w:p>
        </w:tc>
        <w:tc>
          <w:tcPr>
            <w:tcW w:w="16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20(含)以上</w:t>
            </w:r>
          </w:p>
        </w:tc>
        <w:tc>
          <w:tcPr>
            <w:tcW w:w="1684"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90(含)以上</w:t>
            </w:r>
          </w:p>
        </w:tc>
        <w:tc>
          <w:tcPr>
            <w:tcW w:w="916"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4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3(含)-5</w:t>
            </w:r>
          </w:p>
        </w:tc>
        <w:tc>
          <w:tcPr>
            <w:tcW w:w="17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10(含)-20</w:t>
            </w:r>
          </w:p>
        </w:tc>
        <w:tc>
          <w:tcPr>
            <w:tcW w:w="193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800(含)-1200</w:t>
            </w:r>
          </w:p>
        </w:tc>
        <w:tc>
          <w:tcPr>
            <w:tcW w:w="188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800(含)-1200</w:t>
            </w:r>
          </w:p>
        </w:tc>
        <w:tc>
          <w:tcPr>
            <w:tcW w:w="16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12(含)-20</w:t>
            </w:r>
          </w:p>
        </w:tc>
        <w:tc>
          <w:tcPr>
            <w:tcW w:w="1684"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60(含)-90</w:t>
            </w:r>
          </w:p>
        </w:tc>
        <w:tc>
          <w:tcPr>
            <w:tcW w:w="916"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pPr>
            <w: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4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1(含)-3</w:t>
            </w:r>
          </w:p>
        </w:tc>
        <w:tc>
          <w:tcPr>
            <w:tcW w:w="17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5(含)-10</w:t>
            </w:r>
          </w:p>
        </w:tc>
        <w:tc>
          <w:tcPr>
            <w:tcW w:w="193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400(含)-800</w:t>
            </w:r>
          </w:p>
        </w:tc>
        <w:tc>
          <w:tcPr>
            <w:tcW w:w="188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400(含)-800</w:t>
            </w:r>
          </w:p>
        </w:tc>
        <w:tc>
          <w:tcPr>
            <w:tcW w:w="16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8(含)-12</w:t>
            </w:r>
          </w:p>
        </w:tc>
        <w:tc>
          <w:tcPr>
            <w:tcW w:w="1684"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40(含)-60</w:t>
            </w:r>
          </w:p>
        </w:tc>
        <w:tc>
          <w:tcPr>
            <w:tcW w:w="916"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pPr>
            <w: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4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0.5(含)-1</w:t>
            </w:r>
          </w:p>
        </w:tc>
        <w:tc>
          <w:tcPr>
            <w:tcW w:w="17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3.5(含)-5</w:t>
            </w:r>
          </w:p>
        </w:tc>
        <w:tc>
          <w:tcPr>
            <w:tcW w:w="193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200(含)-400</w:t>
            </w:r>
          </w:p>
        </w:tc>
        <w:tc>
          <w:tcPr>
            <w:tcW w:w="188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Fonts w:hint="eastAsia" w:ascii="CESI楷体-GB2312" w:hAnsi="CESI楷体-GB2312" w:eastAsia="CESI楷体-GB2312" w:cs="CESI楷体-GB2312"/>
                <w:color w:val="000000"/>
                <w:kern w:val="2"/>
                <w:sz w:val="28"/>
                <w:szCs w:val="28"/>
                <w:highlight w:val="none"/>
                <w:shd w:val="clear" w:color="auto" w:fill="auto"/>
                <w:vertAlign w:val="baseline"/>
                <w:lang w:val="en-US"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200(含)-400</w:t>
            </w:r>
          </w:p>
        </w:tc>
        <w:tc>
          <w:tcPr>
            <w:tcW w:w="16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5(含)-8</w:t>
            </w:r>
          </w:p>
        </w:tc>
        <w:tc>
          <w:tcPr>
            <w:tcW w:w="1684"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20(含)-40</w:t>
            </w:r>
          </w:p>
        </w:tc>
        <w:tc>
          <w:tcPr>
            <w:tcW w:w="916"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pPr>
            <w:r>
              <w:rPr>
                <w:rStyle w:val="7"/>
                <w:rFonts w:hint="default" w:ascii="CESI楷体-GB2312" w:hAnsi="CESI楷体-GB2312" w:eastAsia="CESI楷体-GB2312" w:cs="CESI楷体-GB2312"/>
                <w:b w:val="0"/>
                <w:bCs w:val="0"/>
                <w:color w:val="000000"/>
                <w:kern w:val="2"/>
                <w:sz w:val="28"/>
                <w:szCs w:val="28"/>
                <w:highlight w:val="none"/>
                <w:shd w:val="clear" w:color="auto" w:fill="auto"/>
                <w:lang w:eastAsia="zh-Hans"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64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0.2(含)-0.5</w:t>
            </w:r>
          </w:p>
        </w:tc>
        <w:tc>
          <w:tcPr>
            <w:tcW w:w="17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1(含)-3.5</w:t>
            </w:r>
          </w:p>
        </w:tc>
        <w:tc>
          <w:tcPr>
            <w:tcW w:w="193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20(含)-200</w:t>
            </w:r>
          </w:p>
        </w:tc>
        <w:tc>
          <w:tcPr>
            <w:tcW w:w="1883"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20(含)-200</w:t>
            </w:r>
          </w:p>
        </w:tc>
        <w:tc>
          <w:tcPr>
            <w:tcW w:w="1600"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1(含)-5</w:t>
            </w:r>
          </w:p>
        </w:tc>
        <w:tc>
          <w:tcPr>
            <w:tcW w:w="1684"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rightChars="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5(含)-20</w:t>
            </w:r>
          </w:p>
        </w:tc>
        <w:tc>
          <w:tcPr>
            <w:tcW w:w="916" w:type="dxa"/>
            <w:tcBorders>
              <w:top w:val="dotted" w:color="auto" w:sz="8" w:space="0"/>
              <w:left w:val="dotted" w:color="auto" w:sz="8" w:space="0"/>
              <w:bottom w:val="dotted" w:color="auto" w:sz="8" w:space="0"/>
              <w:right w:val="dotted" w:color="auto" w:sz="8" w:space="0"/>
            </w:tcBorders>
            <w:shd w:val="clear" w:color="auto" w:fill="FFFFFF"/>
            <w:noWrap w:val="0"/>
            <w:vAlign w:val="top"/>
          </w:tcPr>
          <w:p>
            <w:pPr>
              <w:pStyle w:val="4"/>
              <w:keepNext w:val="0"/>
              <w:keepLines w:val="0"/>
              <w:pageBreakBefore w:val="0"/>
              <w:widowControl/>
              <w:kinsoku/>
              <w:wordWrap/>
              <w:overflowPunct/>
              <w:topLinePunct w:val="0"/>
              <w:autoSpaceDE/>
              <w:autoSpaceDN/>
              <w:bidi w:val="0"/>
              <w:adjustRightInd/>
              <w:snapToGrid/>
              <w:spacing w:before="0" w:after="0" w:line="560" w:lineRule="exact"/>
              <w:ind w:right="0"/>
              <w:jc w:val="cente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pPr>
            <w:r>
              <w:rPr>
                <w:rStyle w:val="7"/>
                <w:rFonts w:hint="default" w:ascii="CESI楷体-GB2312" w:hAnsi="CESI楷体-GB2312" w:eastAsia="CESI楷体-GB2312" w:cs="CESI楷体-GB2312"/>
                <w:color w:val="000000"/>
                <w:kern w:val="2"/>
                <w:sz w:val="28"/>
                <w:szCs w:val="28"/>
                <w:highlight w:val="none"/>
                <w:shd w:val="clear" w:color="auto" w:fill="auto"/>
                <w:vertAlign w:val="baseline"/>
                <w:lang w:eastAsia="zh-Hans" w:bidi="ar"/>
              </w:rPr>
              <w:t>50</w:t>
            </w:r>
          </w:p>
        </w:tc>
      </w:tr>
    </w:tbl>
    <w:p>
      <w:pPr>
        <w:pStyle w:val="8"/>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4.</w:t>
      </w:r>
      <w:r>
        <w:rPr>
          <w:rFonts w:hint="eastAsia" w:ascii="仿宋_GB2312" w:hAnsi="仿宋_GB2312" w:eastAsia="仿宋_GB2312" w:cs="仿宋_GB2312"/>
          <w:b/>
          <w:bCs/>
          <w:kern w:val="2"/>
          <w:sz w:val="32"/>
          <w:szCs w:val="32"/>
          <w:lang w:val="en-US" w:eastAsia="zh-CN" w:bidi="ar-SA"/>
        </w:rPr>
        <w:t>航运公司经营支持</w:t>
      </w:r>
      <w:r>
        <w:rPr>
          <w:rFonts w:hint="default"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kern w:val="2"/>
          <w:sz w:val="32"/>
          <w:szCs w:val="32"/>
          <w:lang w:val="en-US" w:eastAsia="zh-Hans" w:bidi="ar-SA"/>
        </w:rPr>
        <w:t>对年度营</w:t>
      </w:r>
      <w:r>
        <w:rPr>
          <w:rFonts w:hint="eastAsia" w:ascii="仿宋_GB2312" w:hAnsi="仿宋_GB2312" w:eastAsia="仿宋_GB2312" w:cs="仿宋_GB2312"/>
          <w:kern w:val="2"/>
          <w:sz w:val="32"/>
          <w:szCs w:val="32"/>
          <w:lang w:val="en-US" w:eastAsia="zh-CN" w:bidi="ar-SA"/>
        </w:rPr>
        <w:t>业</w:t>
      </w:r>
      <w:r>
        <w:rPr>
          <w:rFonts w:hint="default" w:ascii="仿宋_GB2312" w:hAnsi="仿宋_GB2312" w:eastAsia="仿宋_GB2312" w:cs="仿宋_GB2312"/>
          <w:kern w:val="2"/>
          <w:sz w:val="32"/>
          <w:szCs w:val="32"/>
          <w:lang w:val="en-US" w:eastAsia="zh-Hans" w:bidi="ar-SA"/>
        </w:rPr>
        <w:t>收</w:t>
      </w:r>
      <w:r>
        <w:rPr>
          <w:rFonts w:hint="eastAsia" w:ascii="仿宋_GB2312" w:hAnsi="仿宋_GB2312" w:eastAsia="仿宋_GB2312" w:cs="仿宋_GB2312"/>
          <w:kern w:val="2"/>
          <w:sz w:val="32"/>
          <w:szCs w:val="32"/>
          <w:lang w:val="en-US" w:eastAsia="zh-CN" w:bidi="ar-SA"/>
        </w:rPr>
        <w:t>入</w:t>
      </w:r>
      <w:r>
        <w:rPr>
          <w:rFonts w:hint="default" w:ascii="仿宋_GB2312" w:hAnsi="仿宋_GB2312" w:eastAsia="仿宋_GB2312" w:cs="仿宋_GB2312"/>
          <w:kern w:val="2"/>
          <w:sz w:val="32"/>
          <w:szCs w:val="32"/>
          <w:lang w:val="en-US" w:eastAsia="zh-Hans" w:bidi="ar-SA"/>
        </w:rPr>
        <w:t>不低于5000万元</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综合运力在10000总吨以上的航运企业</w:t>
      </w:r>
      <w:r>
        <w:rPr>
          <w:rFonts w:hint="default" w:ascii="仿宋_GB2312" w:hAnsi="仿宋_GB2312" w:eastAsia="仿宋_GB2312" w:cs="仿宋_GB2312"/>
          <w:kern w:val="2"/>
          <w:sz w:val="32"/>
          <w:szCs w:val="32"/>
          <w:lang w:val="en-US" w:eastAsia="zh-Hans" w:bidi="ar-SA"/>
        </w:rPr>
        <w:t>，按</w:t>
      </w:r>
      <w:r>
        <w:rPr>
          <w:rFonts w:hint="eastAsia" w:ascii="仿宋_GB2312" w:hAnsi="仿宋_GB2312" w:eastAsia="仿宋_GB2312" w:cs="仿宋_GB2312"/>
          <w:kern w:val="2"/>
          <w:sz w:val="32"/>
          <w:szCs w:val="32"/>
          <w:lang w:val="en-US" w:eastAsia="zh-CN" w:bidi="ar-SA"/>
        </w:rPr>
        <w:t>其</w:t>
      </w:r>
      <w:r>
        <w:rPr>
          <w:rFonts w:hint="default" w:ascii="仿宋_GB2312" w:hAnsi="仿宋_GB2312" w:eastAsia="仿宋_GB2312" w:cs="仿宋_GB2312"/>
          <w:kern w:val="2"/>
          <w:sz w:val="32"/>
          <w:szCs w:val="32"/>
          <w:lang w:val="en-US" w:eastAsia="zh-Hans" w:bidi="ar-SA"/>
        </w:rPr>
        <w:t>上一年度</w:t>
      </w:r>
      <w:r>
        <w:rPr>
          <w:rFonts w:hint="eastAsia" w:ascii="仿宋_GB2312" w:hAnsi="仿宋_GB2312" w:eastAsia="仿宋_GB2312" w:cs="仿宋_GB2312"/>
          <w:kern w:val="2"/>
          <w:sz w:val="32"/>
          <w:szCs w:val="32"/>
          <w:lang w:val="en-US" w:eastAsia="zh-CN" w:bidi="ar-SA"/>
        </w:rPr>
        <w:t>利润总额</w:t>
      </w:r>
      <w:r>
        <w:rPr>
          <w:rFonts w:hint="default" w:ascii="仿宋_GB2312" w:hAnsi="仿宋_GB2312" w:eastAsia="仿宋_GB2312" w:cs="仿宋_GB2312"/>
          <w:kern w:val="2"/>
          <w:sz w:val="32"/>
          <w:szCs w:val="32"/>
          <w:lang w:val="en-US" w:eastAsia="zh-Hans" w:bidi="ar-SA"/>
        </w:rPr>
        <w:t>的</w:t>
      </w:r>
      <w:r>
        <w:rPr>
          <w:rFonts w:hint="default" w:ascii="仿宋_GB2312" w:hAnsi="仿宋_GB2312" w:eastAsia="仿宋_GB2312" w:cs="仿宋_GB2312"/>
          <w:kern w:val="2"/>
          <w:sz w:val="32"/>
          <w:szCs w:val="32"/>
          <w:lang w:val="en-US" w:eastAsia="zh-CN" w:bidi="ar-SA"/>
        </w:rPr>
        <w:t>2</w:t>
      </w:r>
      <w:r>
        <w:rPr>
          <w:rFonts w:hint="default" w:ascii="仿宋_GB2312" w:hAnsi="仿宋_GB2312" w:eastAsia="仿宋_GB2312" w:cs="仿宋_GB2312"/>
          <w:kern w:val="2"/>
          <w:sz w:val="32"/>
          <w:szCs w:val="32"/>
          <w:lang w:val="en-US" w:eastAsia="zh-Hans" w:bidi="ar-SA"/>
        </w:rPr>
        <w:t>%给予</w:t>
      </w:r>
      <w:r>
        <w:rPr>
          <w:rFonts w:hint="eastAsia" w:ascii="仿宋_GB2312" w:hAnsi="仿宋_GB2312" w:eastAsia="仿宋_GB2312" w:cs="仿宋_GB2312"/>
          <w:kern w:val="2"/>
          <w:sz w:val="32"/>
          <w:szCs w:val="32"/>
          <w:lang w:val="en-US" w:eastAsia="zh-CN" w:bidi="ar-SA"/>
        </w:rPr>
        <w:t>经营支持</w:t>
      </w:r>
      <w:r>
        <w:rPr>
          <w:rFonts w:hint="default"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CN" w:bidi="ar-SA"/>
        </w:rPr>
        <w:t>每个申报主体</w:t>
      </w:r>
      <w:r>
        <w:rPr>
          <w:rFonts w:hint="default" w:ascii="仿宋_GB2312" w:hAnsi="仿宋_GB2312" w:eastAsia="仿宋_GB2312" w:cs="仿宋_GB2312"/>
          <w:kern w:val="2"/>
          <w:sz w:val="32"/>
          <w:szCs w:val="32"/>
          <w:lang w:val="en-US" w:eastAsia="zh-Hans" w:bidi="ar-SA"/>
        </w:rPr>
        <w:t>每年最高</w:t>
      </w:r>
      <w:r>
        <w:rPr>
          <w:rFonts w:hint="eastAsia" w:ascii="仿宋_GB2312" w:hAnsi="仿宋_GB2312" w:eastAsia="仿宋_GB2312" w:cs="仿宋_GB2312"/>
          <w:kern w:val="2"/>
          <w:sz w:val="32"/>
          <w:szCs w:val="32"/>
          <w:lang w:val="en-US" w:eastAsia="zh-CN" w:bidi="ar-SA"/>
        </w:rPr>
        <w:t>支持30</w:t>
      </w:r>
      <w:r>
        <w:rPr>
          <w:rFonts w:hint="default" w:ascii="仿宋_GB2312" w:hAnsi="仿宋_GB2312" w:eastAsia="仿宋_GB2312" w:cs="仿宋_GB2312"/>
          <w:kern w:val="2"/>
          <w:sz w:val="32"/>
          <w:szCs w:val="32"/>
          <w:lang w:val="en-US" w:eastAsia="zh-Hans" w:bidi="ar-SA"/>
        </w:rPr>
        <w:t>00万元。</w:t>
      </w:r>
    </w:p>
    <w:p>
      <w:pPr>
        <w:pStyle w:val="8"/>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5.</w:t>
      </w:r>
      <w:r>
        <w:rPr>
          <w:rFonts w:hint="eastAsia" w:ascii="仿宋_GB2312" w:hAnsi="仿宋_GB2312" w:eastAsia="仿宋_GB2312" w:cs="仿宋_GB2312"/>
          <w:b/>
          <w:bCs/>
          <w:kern w:val="2"/>
          <w:sz w:val="32"/>
          <w:szCs w:val="32"/>
          <w:lang w:val="en-US" w:eastAsia="zh-CN" w:bidi="ar-SA"/>
        </w:rPr>
        <w:t>新购置船舶支持</w:t>
      </w:r>
      <w:r>
        <w:rPr>
          <w:rFonts w:hint="default"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对航运企业</w:t>
      </w:r>
      <w:r>
        <w:rPr>
          <w:rFonts w:hint="default" w:ascii="仿宋_GB2312" w:hAnsi="仿宋_GB2312" w:eastAsia="仿宋_GB2312" w:cs="仿宋_GB2312"/>
          <w:kern w:val="2"/>
          <w:sz w:val="32"/>
          <w:szCs w:val="32"/>
          <w:lang w:val="en-US" w:eastAsia="zh-CN" w:bidi="ar-SA"/>
        </w:rPr>
        <w:t>上一自然年度新建或购置</w:t>
      </w:r>
      <w:r>
        <w:rPr>
          <w:rFonts w:hint="eastAsia" w:ascii="仿宋_GB2312" w:hAnsi="仿宋_GB2312" w:eastAsia="仿宋_GB2312" w:cs="仿宋_GB2312"/>
          <w:kern w:val="2"/>
          <w:sz w:val="32"/>
          <w:szCs w:val="32"/>
          <w:lang w:val="en-US" w:eastAsia="zh-CN" w:bidi="ar-SA"/>
        </w:rPr>
        <w:t>且</w:t>
      </w:r>
      <w:r>
        <w:rPr>
          <w:rFonts w:hint="default" w:ascii="仿宋_GB2312" w:hAnsi="仿宋_GB2312" w:eastAsia="仿宋_GB2312" w:cs="仿宋_GB2312"/>
          <w:kern w:val="2"/>
          <w:sz w:val="32"/>
          <w:szCs w:val="32"/>
          <w:lang w:val="en-US" w:eastAsia="zh-CN" w:bidi="ar-SA"/>
        </w:rPr>
        <w:t>船龄不超过5年的船舶</w:t>
      </w:r>
      <w:r>
        <w:rPr>
          <w:rFonts w:hint="eastAsia" w:ascii="仿宋_GB2312" w:hAnsi="仿宋_GB2312" w:eastAsia="仿宋_GB2312" w:cs="仿宋_GB2312"/>
          <w:kern w:val="2"/>
          <w:sz w:val="32"/>
          <w:szCs w:val="32"/>
          <w:lang w:val="en-US" w:eastAsia="zh-CN" w:bidi="ar-SA"/>
        </w:rPr>
        <w:t>（含海洋工程船舶与设施），</w:t>
      </w:r>
      <w:r>
        <w:rPr>
          <w:rFonts w:hint="default" w:ascii="仿宋_GB2312" w:hAnsi="仿宋_GB2312" w:eastAsia="仿宋_GB2312" w:cs="仿宋_GB2312"/>
          <w:kern w:val="2"/>
          <w:sz w:val="32"/>
          <w:szCs w:val="32"/>
          <w:lang w:val="en-US" w:eastAsia="zh-CN" w:bidi="ar-SA"/>
        </w:rPr>
        <w:t>按照20元</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总吨</w:t>
      </w:r>
      <w:r>
        <w:rPr>
          <w:rFonts w:hint="default" w:ascii="仿宋_GB2312" w:hAnsi="仿宋_GB2312" w:eastAsia="仿宋_GB2312" w:cs="仿宋_GB2312"/>
          <w:kern w:val="2"/>
          <w:sz w:val="32"/>
          <w:szCs w:val="32"/>
          <w:lang w:eastAsia="zh-CN" w:bidi="ar-SA"/>
        </w:rPr>
        <w:t>（海洋工程船舶按建造合同金额的0.25%）</w:t>
      </w:r>
      <w:r>
        <w:rPr>
          <w:rFonts w:hint="default" w:ascii="仿宋_GB2312" w:hAnsi="仿宋_GB2312" w:eastAsia="仿宋_GB2312" w:cs="仿宋_GB2312"/>
          <w:kern w:val="2"/>
          <w:sz w:val="32"/>
          <w:szCs w:val="32"/>
          <w:lang w:val="en-US" w:eastAsia="zh-CN" w:bidi="ar-SA"/>
        </w:rPr>
        <w:t>给予一次性</w:t>
      </w:r>
      <w:r>
        <w:rPr>
          <w:rFonts w:hint="eastAsia" w:ascii="仿宋_GB2312" w:hAnsi="仿宋_GB2312" w:eastAsia="仿宋_GB2312" w:cs="仿宋_GB2312"/>
          <w:kern w:val="2"/>
          <w:sz w:val="32"/>
          <w:szCs w:val="32"/>
          <w:lang w:val="en-US" w:eastAsia="zh-CN" w:bidi="ar-SA"/>
        </w:rPr>
        <w:t>支持</w:t>
      </w:r>
      <w:r>
        <w:rPr>
          <w:rFonts w:hint="default" w:ascii="仿宋_GB2312" w:hAnsi="仿宋_GB2312" w:eastAsia="仿宋_GB2312" w:cs="仿宋_GB2312"/>
          <w:kern w:val="2"/>
          <w:sz w:val="32"/>
          <w:szCs w:val="32"/>
          <w:lang w:val="en-US" w:eastAsia="zh-CN" w:bidi="ar-SA"/>
        </w:rPr>
        <w:t>，每艘</w:t>
      </w:r>
      <w:r>
        <w:rPr>
          <w:rFonts w:hint="eastAsia" w:ascii="仿宋_GB2312" w:hAnsi="仿宋_GB2312" w:eastAsia="仿宋_GB2312" w:cs="仿宋_GB2312"/>
          <w:kern w:val="2"/>
          <w:sz w:val="32"/>
          <w:szCs w:val="32"/>
          <w:lang w:val="en-US" w:eastAsia="zh-CN" w:bidi="ar-SA"/>
        </w:rPr>
        <w:t>船舶</w:t>
      </w:r>
      <w:r>
        <w:rPr>
          <w:rFonts w:hint="default" w:ascii="仿宋_GB2312" w:hAnsi="仿宋_GB2312" w:eastAsia="仿宋_GB2312" w:cs="仿宋_GB2312"/>
          <w:kern w:val="2"/>
          <w:sz w:val="32"/>
          <w:szCs w:val="32"/>
          <w:lang w:val="en-US" w:eastAsia="zh-CN" w:bidi="ar-SA"/>
        </w:rPr>
        <w:t>最高</w:t>
      </w:r>
      <w:r>
        <w:rPr>
          <w:rFonts w:hint="eastAsia" w:ascii="仿宋_GB2312" w:hAnsi="仿宋_GB2312" w:eastAsia="仿宋_GB2312" w:cs="仿宋_GB2312"/>
          <w:kern w:val="2"/>
          <w:sz w:val="32"/>
          <w:szCs w:val="32"/>
          <w:lang w:val="en-US" w:eastAsia="zh-CN" w:bidi="ar-SA"/>
        </w:rPr>
        <w:t>支持</w:t>
      </w:r>
      <w:r>
        <w:rPr>
          <w:rFonts w:hint="default" w:ascii="仿宋_GB2312" w:hAnsi="仿宋_GB2312" w:eastAsia="仿宋_GB2312" w:cs="仿宋_GB2312"/>
          <w:kern w:val="2"/>
          <w:sz w:val="32"/>
          <w:szCs w:val="32"/>
          <w:lang w:val="en-US" w:eastAsia="zh-CN" w:bidi="ar-SA"/>
        </w:rPr>
        <w:t>200万元，每个申报主体每年奖励最高1000万元</w:t>
      </w:r>
      <w:r>
        <w:rPr>
          <w:rFonts w:hint="eastAsia" w:ascii="仿宋_GB2312" w:hAnsi="仿宋_GB2312" w:eastAsia="仿宋_GB2312" w:cs="仿宋_GB2312"/>
          <w:kern w:val="2"/>
          <w:sz w:val="32"/>
          <w:szCs w:val="32"/>
          <w:lang w:val="en-US" w:eastAsia="zh-CN" w:bidi="ar-SA"/>
        </w:rPr>
        <w:t>，同一艘船舶不得重复申请支持</w:t>
      </w:r>
      <w:r>
        <w:rPr>
          <w:rFonts w:hint="default" w:ascii="仿宋_GB2312" w:hAnsi="仿宋_GB2312" w:eastAsia="仿宋_GB2312" w:cs="仿宋_GB2312"/>
          <w:kern w:val="2"/>
          <w:sz w:val="32"/>
          <w:szCs w:val="32"/>
          <w:lang w:val="en-US" w:eastAsia="zh-CN" w:bidi="ar-SA"/>
        </w:rPr>
        <w:t>。</w:t>
      </w:r>
    </w:p>
    <w:p>
      <w:pPr>
        <w:pStyle w:val="8"/>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其中，上述船舶</w:t>
      </w:r>
      <w:r>
        <w:rPr>
          <w:rFonts w:hint="default" w:ascii="仿宋_GB2312" w:hAnsi="仿宋_GB2312" w:eastAsia="仿宋_GB2312" w:cs="仿宋_GB2312"/>
          <w:kern w:val="2"/>
          <w:sz w:val="32"/>
          <w:szCs w:val="32"/>
          <w:lang w:val="en-US" w:eastAsia="zh-CN" w:bidi="ar-SA"/>
        </w:rPr>
        <w:t>登记</w:t>
      </w:r>
      <w:r>
        <w:rPr>
          <w:rFonts w:hint="eastAsia" w:ascii="仿宋_GB2312" w:hAnsi="仿宋_GB2312" w:eastAsia="仿宋_GB2312" w:cs="仿宋_GB2312"/>
          <w:kern w:val="2"/>
          <w:sz w:val="32"/>
          <w:szCs w:val="32"/>
          <w:lang w:val="en-US" w:eastAsia="zh-CN" w:bidi="ar-SA"/>
        </w:rPr>
        <w:t>为</w:t>
      </w:r>
      <w:r>
        <w:rPr>
          <w:rFonts w:hint="default" w:ascii="仿宋_GB2312" w:hAnsi="仿宋_GB2312" w:eastAsia="仿宋_GB2312" w:cs="仿宋_GB2312"/>
          <w:kern w:val="2"/>
          <w:sz w:val="32"/>
          <w:szCs w:val="32"/>
          <w:lang w:val="en-US" w:eastAsia="zh-CN" w:bidi="ar-SA"/>
        </w:rPr>
        <w:t>“中国前海”籍</w:t>
      </w:r>
      <w:r>
        <w:rPr>
          <w:rFonts w:hint="eastAsia" w:ascii="仿宋_GB2312" w:hAnsi="仿宋_GB2312" w:eastAsia="仿宋_GB2312" w:cs="仿宋_GB2312"/>
          <w:kern w:val="2"/>
          <w:sz w:val="32"/>
          <w:szCs w:val="32"/>
          <w:lang w:val="en-US" w:eastAsia="zh-CN" w:bidi="ar-SA"/>
        </w:rPr>
        <w:t>的</w:t>
      </w:r>
      <w:r>
        <w:rPr>
          <w:rFonts w:hint="default" w:ascii="仿宋_GB2312" w:hAnsi="仿宋_GB2312" w:eastAsia="仿宋_GB2312" w:cs="仿宋_GB2312"/>
          <w:kern w:val="2"/>
          <w:sz w:val="32"/>
          <w:szCs w:val="32"/>
          <w:lang w:val="en-US" w:eastAsia="zh-CN" w:bidi="ar-SA"/>
        </w:rPr>
        <w:t>，普通船舶按5元</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总吨的标准</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海洋工程船舶与设施按建造合同</w:t>
      </w:r>
      <w:r>
        <w:rPr>
          <w:rFonts w:hint="default" w:ascii="仿宋_GB2312" w:hAnsi="仿宋_GB2312" w:eastAsia="仿宋_GB2312" w:cs="仿宋_GB2312"/>
          <w:kern w:val="2"/>
          <w:sz w:val="32"/>
          <w:szCs w:val="32"/>
          <w:lang w:eastAsia="zh-CN" w:bidi="ar-SA"/>
        </w:rPr>
        <w:t>金额</w:t>
      </w:r>
      <w:r>
        <w:rPr>
          <w:rFonts w:hint="default" w:ascii="仿宋_GB2312" w:hAnsi="仿宋_GB2312" w:eastAsia="仿宋_GB2312" w:cs="仿宋_GB2312"/>
          <w:kern w:val="2"/>
          <w:sz w:val="32"/>
          <w:szCs w:val="32"/>
          <w:lang w:val="en-US" w:eastAsia="zh-CN" w:bidi="ar-SA"/>
        </w:rPr>
        <w:t>的0.</w:t>
      </w:r>
      <w:r>
        <w:rPr>
          <w:rFonts w:hint="default" w:ascii="仿宋_GB2312" w:hAnsi="仿宋_GB2312" w:eastAsia="仿宋_GB2312" w:cs="仿宋_GB2312"/>
          <w:kern w:val="2"/>
          <w:sz w:val="32"/>
          <w:szCs w:val="32"/>
          <w:lang w:eastAsia="zh-CN" w:bidi="ar-SA"/>
        </w:rPr>
        <w:t>1</w:t>
      </w:r>
      <w:r>
        <w:rPr>
          <w:rFonts w:hint="default" w:ascii="仿宋_GB2312" w:hAnsi="仿宋_GB2312" w:eastAsia="仿宋_GB2312" w:cs="仿宋_GB2312"/>
          <w:kern w:val="2"/>
          <w:sz w:val="32"/>
          <w:szCs w:val="32"/>
          <w:lang w:val="en-US" w:eastAsia="zh-CN" w:bidi="ar-SA"/>
        </w:rPr>
        <w:t>%予以</w:t>
      </w:r>
      <w:r>
        <w:rPr>
          <w:rFonts w:hint="eastAsia" w:ascii="仿宋_GB2312" w:hAnsi="仿宋_GB2312" w:eastAsia="仿宋_GB2312" w:cs="仿宋_GB2312"/>
          <w:kern w:val="2"/>
          <w:sz w:val="32"/>
          <w:szCs w:val="32"/>
          <w:lang w:val="en-US" w:eastAsia="zh-CN" w:bidi="ar-SA"/>
        </w:rPr>
        <w:t>额外的</w:t>
      </w:r>
      <w:r>
        <w:rPr>
          <w:rFonts w:hint="default" w:ascii="仿宋_GB2312" w:hAnsi="仿宋_GB2312" w:eastAsia="仿宋_GB2312" w:cs="仿宋_GB2312"/>
          <w:kern w:val="2"/>
          <w:sz w:val="32"/>
          <w:szCs w:val="32"/>
          <w:lang w:val="en-US" w:eastAsia="zh-CN" w:bidi="ar-SA"/>
        </w:rPr>
        <w:t>一次性登记</w:t>
      </w:r>
      <w:r>
        <w:rPr>
          <w:rFonts w:hint="eastAsia" w:ascii="仿宋_GB2312" w:hAnsi="仿宋_GB2312" w:eastAsia="仿宋_GB2312" w:cs="仿宋_GB2312"/>
          <w:kern w:val="2"/>
          <w:sz w:val="32"/>
          <w:szCs w:val="32"/>
          <w:lang w:val="en-US" w:eastAsia="zh-CN" w:bidi="ar-SA"/>
        </w:rPr>
        <w:t>支持</w:t>
      </w:r>
      <w:r>
        <w:rPr>
          <w:rFonts w:hint="default" w:ascii="仿宋_GB2312" w:hAnsi="仿宋_GB2312" w:eastAsia="仿宋_GB2312" w:cs="仿宋_GB2312"/>
          <w:kern w:val="2"/>
          <w:sz w:val="32"/>
          <w:szCs w:val="32"/>
          <w:lang w:val="en-US" w:eastAsia="zh-CN" w:bidi="ar-SA"/>
        </w:rPr>
        <w:t>，单船或单个设施</w:t>
      </w:r>
      <w:r>
        <w:rPr>
          <w:rFonts w:hint="default" w:ascii="仿宋_GB2312" w:hAnsi="仿宋_GB2312" w:eastAsia="仿宋_GB2312" w:cs="仿宋_GB2312"/>
          <w:kern w:val="2"/>
          <w:sz w:val="32"/>
          <w:szCs w:val="32"/>
          <w:lang w:eastAsia="zh-CN" w:bidi="ar-SA"/>
        </w:rPr>
        <w:t>登记</w:t>
      </w:r>
      <w:r>
        <w:rPr>
          <w:rFonts w:hint="default" w:ascii="仿宋_GB2312" w:hAnsi="仿宋_GB2312" w:eastAsia="仿宋_GB2312" w:cs="仿宋_GB2312"/>
          <w:kern w:val="2"/>
          <w:sz w:val="32"/>
          <w:szCs w:val="32"/>
          <w:lang w:val="en-US" w:eastAsia="zh-CN" w:bidi="ar-SA"/>
        </w:rPr>
        <w:t>奖励最高不超过100万元，每个申报主体每年最高200万元。</w:t>
      </w:r>
    </w:p>
    <w:p>
      <w:pPr>
        <w:pageBreakBefore w:val="0"/>
        <w:kinsoku/>
        <w:wordWrap/>
        <w:overflowPunct/>
        <w:topLinePunct w:val="0"/>
        <w:autoSpaceDE/>
        <w:autoSpaceDN/>
        <w:bidi w:val="0"/>
        <w:adjustRightInd/>
        <w:snapToGrid/>
        <w:spacing w:line="560" w:lineRule="exact"/>
        <w:ind w:firstLine="640" w:firstLineChars="200"/>
        <w:textAlignment w:val="auto"/>
        <w:rPr>
          <w:rStyle w:val="7"/>
          <w:rFonts w:hint="default" w:ascii="黑体" w:hAnsi="黑体" w:eastAsia="黑体" w:cs="Times New Roman"/>
          <w:color w:val="auto"/>
          <w:sz w:val="32"/>
          <w:szCs w:val="32"/>
          <w:highlight w:val="none"/>
          <w:lang w:eastAsia="zh-CN"/>
        </w:rPr>
      </w:pPr>
      <w:r>
        <w:rPr>
          <w:rStyle w:val="7"/>
          <w:rFonts w:hint="default" w:ascii="CESI楷体-GB2312" w:hAnsi="CESI楷体-GB2312" w:eastAsia="CESI楷体-GB2312" w:cs="CESI楷体-GB2312"/>
          <w:color w:val="auto"/>
          <w:kern w:val="2"/>
          <w:sz w:val="32"/>
          <w:szCs w:val="32"/>
          <w:highlight w:val="none"/>
          <w:shd w:val="clear" w:color="auto" w:fill="auto"/>
          <w:lang w:eastAsia="zh-CN" w:bidi="ar"/>
        </w:rPr>
        <w:t>（三）</w:t>
      </w:r>
      <w:r>
        <w:rPr>
          <w:rStyle w:val="7"/>
          <w:rFonts w:hint="eastAsia" w:ascii="CESI楷体-GB2312" w:hAnsi="CESI楷体-GB2312" w:eastAsia="CESI楷体-GB2312" w:cs="CESI楷体-GB2312"/>
          <w:color w:val="auto"/>
          <w:kern w:val="2"/>
          <w:sz w:val="32"/>
          <w:szCs w:val="32"/>
          <w:highlight w:val="none"/>
          <w:shd w:val="clear" w:color="auto" w:fill="auto"/>
          <w:lang w:val="en-US" w:eastAsia="zh-CN" w:bidi="ar"/>
        </w:rPr>
        <w:t>支持</w:t>
      </w:r>
      <w:r>
        <w:rPr>
          <w:rStyle w:val="7"/>
          <w:rFonts w:hint="default" w:ascii="CESI楷体-GB2312" w:hAnsi="CESI楷体-GB2312" w:eastAsia="CESI楷体-GB2312" w:cs="CESI楷体-GB2312"/>
          <w:color w:val="auto"/>
          <w:kern w:val="2"/>
          <w:sz w:val="32"/>
          <w:szCs w:val="32"/>
          <w:highlight w:val="none"/>
          <w:shd w:val="clear" w:color="auto" w:fill="auto"/>
          <w:lang w:eastAsia="zh-CN" w:bidi="ar"/>
        </w:rPr>
        <w:t>船舶配套服务商发展</w:t>
      </w:r>
    </w:p>
    <w:p>
      <w:pPr>
        <w:pageBreakBefore w:val="0"/>
        <w:kinsoku/>
        <w:wordWrap/>
        <w:overflowPunct/>
        <w:topLinePunct w:val="0"/>
        <w:autoSpaceDE/>
        <w:autoSpaceDN/>
        <w:bidi w:val="0"/>
        <w:adjustRightInd/>
        <w:snapToGrid/>
        <w:spacing w:line="560" w:lineRule="exact"/>
        <w:ind w:firstLine="643" w:firstLineChars="200"/>
        <w:textAlignment w:val="auto"/>
        <w:rPr>
          <w:rStyle w:val="7"/>
          <w:rFonts w:hint="default" w:ascii="CESI仿宋-GB2312" w:hAnsi="CESI仿宋-GB2312" w:eastAsia="CESI仿宋-GB2312" w:cs="CESI仿宋-GB2312"/>
          <w:color w:val="auto"/>
          <w:kern w:val="2"/>
          <w:sz w:val="32"/>
          <w:szCs w:val="32"/>
          <w:highlight w:val="none"/>
          <w:lang w:eastAsia="zh-CN" w:bidi="ar-SA"/>
        </w:rPr>
      </w:pPr>
      <w:r>
        <w:rPr>
          <w:rFonts w:hint="default" w:ascii="仿宋_GB2312" w:hAnsi="仿宋_GB2312" w:eastAsia="仿宋_GB2312" w:cs="仿宋_GB2312"/>
          <w:b/>
          <w:bCs/>
          <w:kern w:val="2"/>
          <w:sz w:val="32"/>
          <w:szCs w:val="32"/>
          <w:lang w:val="en-US" w:eastAsia="zh-CN" w:bidi="ar-SA"/>
        </w:rPr>
        <w:t>6.船舶管理</w:t>
      </w:r>
      <w:r>
        <w:rPr>
          <w:rFonts w:hint="eastAsia" w:ascii="仿宋_GB2312" w:hAnsi="仿宋_GB2312" w:eastAsia="仿宋_GB2312" w:cs="仿宋_GB2312"/>
          <w:b/>
          <w:bCs/>
          <w:kern w:val="2"/>
          <w:sz w:val="32"/>
          <w:szCs w:val="32"/>
          <w:lang w:val="en-US" w:eastAsia="zh-CN" w:bidi="ar-SA"/>
        </w:rPr>
        <w:t>支持</w:t>
      </w:r>
      <w:r>
        <w:rPr>
          <w:rFonts w:hint="default"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对在前海合作区设立</w:t>
      </w:r>
      <w:r>
        <w:rPr>
          <w:rFonts w:hint="eastAsia" w:ascii="仿宋_GB2312" w:hAnsi="仿宋_GB2312" w:eastAsia="仿宋_GB2312" w:cs="仿宋_GB2312"/>
          <w:kern w:val="2"/>
          <w:sz w:val="32"/>
          <w:szCs w:val="32"/>
          <w:lang w:val="en-US" w:eastAsia="zh-CN" w:bidi="ar-SA"/>
        </w:rPr>
        <w:t>的第三方船舶管理企业</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按其上一</w:t>
      </w:r>
      <w:r>
        <w:rPr>
          <w:rFonts w:hint="default" w:ascii="仿宋_GB2312" w:hAnsi="仿宋_GB2312" w:eastAsia="仿宋_GB2312" w:cs="仿宋_GB2312"/>
          <w:kern w:val="2"/>
          <w:sz w:val="32"/>
          <w:szCs w:val="32"/>
          <w:lang w:val="en-US" w:eastAsia="zh-CN" w:bidi="ar-SA"/>
        </w:rPr>
        <w:t>自然</w:t>
      </w:r>
      <w:r>
        <w:rPr>
          <w:rFonts w:hint="eastAsia" w:ascii="仿宋_GB2312" w:hAnsi="仿宋_GB2312" w:eastAsia="仿宋_GB2312" w:cs="仿宋_GB2312"/>
          <w:kern w:val="2"/>
          <w:sz w:val="32"/>
          <w:szCs w:val="32"/>
          <w:lang w:val="en-US" w:eastAsia="zh-CN" w:bidi="ar-SA"/>
        </w:rPr>
        <w:t>年度利润总额的</w:t>
      </w: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%予以支持</w:t>
      </w:r>
      <w:r>
        <w:rPr>
          <w:rFonts w:hint="default" w:ascii="仿宋_GB2312" w:hAnsi="仿宋_GB2312" w:eastAsia="仿宋_GB2312" w:cs="仿宋_GB2312"/>
          <w:kern w:val="2"/>
          <w:sz w:val="32"/>
          <w:szCs w:val="32"/>
          <w:lang w:val="en-US" w:eastAsia="zh-CN" w:bidi="ar-SA"/>
        </w:rPr>
        <w:t>，每个申报主体每年最高</w:t>
      </w:r>
      <w:r>
        <w:rPr>
          <w:rFonts w:hint="eastAsia" w:ascii="仿宋_GB2312" w:hAnsi="仿宋_GB2312" w:eastAsia="仿宋_GB2312" w:cs="仿宋_GB2312"/>
          <w:kern w:val="2"/>
          <w:sz w:val="32"/>
          <w:szCs w:val="32"/>
          <w:lang w:val="en-US" w:eastAsia="zh-CN" w:bidi="ar-SA"/>
        </w:rPr>
        <w:t>支持</w:t>
      </w: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0</w:t>
      </w:r>
      <w:r>
        <w:rPr>
          <w:rFonts w:hint="default" w:ascii="仿宋_GB2312" w:hAnsi="仿宋_GB2312" w:eastAsia="仿宋_GB2312" w:cs="仿宋_GB2312"/>
          <w:kern w:val="2"/>
          <w:sz w:val="32"/>
          <w:szCs w:val="32"/>
          <w:lang w:val="en-US" w:eastAsia="zh-CN" w:bidi="ar-SA"/>
        </w:rPr>
        <w:t>00万元。</w:t>
      </w:r>
    </w:p>
    <w:p>
      <w:pPr>
        <w:pageBreakBefore w:val="0"/>
        <w:kinsoku/>
        <w:wordWrap/>
        <w:overflowPunct/>
        <w:topLinePunct w:val="0"/>
        <w:autoSpaceDE/>
        <w:autoSpaceDN/>
        <w:bidi w:val="0"/>
        <w:adjustRightInd/>
        <w:snapToGrid/>
        <w:spacing w:line="560" w:lineRule="exact"/>
        <w:ind w:firstLine="643" w:firstLineChars="200"/>
        <w:textAlignment w:val="auto"/>
        <w:rPr>
          <w:rStyle w:val="7"/>
          <w:rFonts w:hint="default" w:ascii="CESI仿宋-GB2312" w:hAnsi="CESI仿宋-GB2312" w:eastAsia="CESI仿宋-GB2312" w:cs="CESI仿宋-GB2312"/>
          <w:color w:val="auto"/>
          <w:kern w:val="2"/>
          <w:sz w:val="32"/>
          <w:szCs w:val="32"/>
          <w:highlight w:val="none"/>
          <w:lang w:eastAsia="zh-CN" w:bidi="ar-SA"/>
        </w:rPr>
      </w:pPr>
      <w:r>
        <w:rPr>
          <w:rFonts w:hint="default" w:ascii="仿宋_GB2312" w:hAnsi="仿宋_GB2312" w:eastAsia="仿宋_GB2312" w:cs="仿宋_GB2312"/>
          <w:b/>
          <w:bCs/>
          <w:kern w:val="2"/>
          <w:sz w:val="32"/>
          <w:szCs w:val="32"/>
          <w:lang w:val="en-US" w:eastAsia="zh-CN" w:bidi="ar-SA"/>
        </w:rPr>
        <w:t>7.船舶检验</w:t>
      </w:r>
      <w:r>
        <w:rPr>
          <w:rFonts w:hint="eastAsia" w:ascii="仿宋_GB2312" w:hAnsi="仿宋_GB2312" w:eastAsia="仿宋_GB2312" w:cs="仿宋_GB2312"/>
          <w:b/>
          <w:bCs/>
          <w:kern w:val="2"/>
          <w:sz w:val="32"/>
          <w:szCs w:val="32"/>
          <w:lang w:val="en-US" w:eastAsia="zh-CN" w:bidi="ar-SA"/>
        </w:rPr>
        <w:t>支持</w:t>
      </w:r>
      <w:r>
        <w:rPr>
          <w:rFonts w:hint="default"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对国际船级社协会（IACS）成员的船级社在前海合作区设立的法人机构或法人分支机构，予以</w:t>
      </w:r>
      <w:r>
        <w:rPr>
          <w:rFonts w:hint="eastAsia" w:ascii="仿宋_GB2312" w:hAnsi="仿宋_GB2312" w:eastAsia="仿宋_GB2312" w:cs="仿宋_GB2312"/>
          <w:kern w:val="2"/>
          <w:sz w:val="32"/>
          <w:szCs w:val="32"/>
          <w:lang w:val="en-US" w:eastAsia="zh-CN" w:bidi="ar-SA"/>
        </w:rPr>
        <w:t>2</w:t>
      </w:r>
      <w:r>
        <w:rPr>
          <w:rFonts w:hint="default" w:ascii="仿宋_GB2312" w:hAnsi="仿宋_GB2312" w:eastAsia="仿宋_GB2312" w:cs="仿宋_GB2312"/>
          <w:kern w:val="2"/>
          <w:sz w:val="32"/>
          <w:szCs w:val="32"/>
          <w:lang w:val="en-US" w:eastAsia="zh-CN" w:bidi="ar-SA"/>
        </w:rPr>
        <w:t>0万元的一次性落</w:t>
      </w:r>
      <w:r>
        <w:rPr>
          <w:rFonts w:hint="eastAsia" w:ascii="仿宋_GB2312" w:hAnsi="仿宋_GB2312" w:eastAsia="仿宋_GB2312" w:cs="仿宋_GB2312"/>
          <w:kern w:val="2"/>
          <w:sz w:val="32"/>
          <w:szCs w:val="32"/>
          <w:lang w:val="en-US" w:eastAsia="zh-CN" w:bidi="ar-SA"/>
        </w:rPr>
        <w:t>户支持。按其</w:t>
      </w:r>
      <w:r>
        <w:rPr>
          <w:rFonts w:hint="default" w:ascii="仿宋_GB2312" w:hAnsi="仿宋_GB2312" w:eastAsia="仿宋_GB2312" w:cs="仿宋_GB2312"/>
          <w:kern w:val="2"/>
          <w:sz w:val="32"/>
          <w:szCs w:val="32"/>
          <w:lang w:val="en-US" w:eastAsia="zh-CN" w:bidi="ar-SA"/>
        </w:rPr>
        <w:t>上一自然年度</w:t>
      </w:r>
      <w:r>
        <w:rPr>
          <w:rFonts w:hint="eastAsia" w:ascii="仿宋_GB2312" w:hAnsi="仿宋_GB2312" w:eastAsia="仿宋_GB2312" w:cs="仿宋_GB2312"/>
          <w:kern w:val="2"/>
          <w:sz w:val="32"/>
          <w:szCs w:val="32"/>
          <w:lang w:val="en-US" w:eastAsia="zh-CN" w:bidi="ar-SA"/>
        </w:rPr>
        <w:t>利润总额的5%予以经营支持。此项合计，</w:t>
      </w:r>
      <w:r>
        <w:rPr>
          <w:rFonts w:hint="default" w:ascii="仿宋_GB2312" w:hAnsi="仿宋_GB2312" w:eastAsia="仿宋_GB2312" w:cs="仿宋_GB2312"/>
          <w:kern w:val="2"/>
          <w:sz w:val="32"/>
          <w:szCs w:val="32"/>
          <w:lang w:val="en-US" w:eastAsia="zh-CN" w:bidi="ar-SA"/>
        </w:rPr>
        <w:t>每个申报主体每年最高</w:t>
      </w:r>
      <w:r>
        <w:rPr>
          <w:rFonts w:hint="eastAsia" w:ascii="仿宋_GB2312" w:hAnsi="仿宋_GB2312" w:eastAsia="仿宋_GB2312" w:cs="仿宋_GB2312"/>
          <w:kern w:val="2"/>
          <w:sz w:val="32"/>
          <w:szCs w:val="32"/>
          <w:lang w:val="en-US" w:eastAsia="zh-CN" w:bidi="ar-SA"/>
        </w:rPr>
        <w:t>支持200</w:t>
      </w:r>
      <w:r>
        <w:rPr>
          <w:rFonts w:hint="default" w:ascii="仿宋_GB2312" w:hAnsi="仿宋_GB2312" w:eastAsia="仿宋_GB2312" w:cs="仿宋_GB2312"/>
          <w:kern w:val="2"/>
          <w:sz w:val="32"/>
          <w:szCs w:val="32"/>
          <w:lang w:val="en-US" w:eastAsia="zh-CN" w:bidi="ar-SA"/>
        </w:rPr>
        <w:t>万元。</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8.船舶代理</w:t>
      </w:r>
      <w:r>
        <w:rPr>
          <w:rFonts w:hint="eastAsia" w:ascii="仿宋_GB2312" w:hAnsi="仿宋_GB2312" w:eastAsia="仿宋_GB2312" w:cs="仿宋_GB2312"/>
          <w:b/>
          <w:bCs/>
          <w:kern w:val="2"/>
          <w:sz w:val="32"/>
          <w:szCs w:val="32"/>
          <w:lang w:val="en-US" w:eastAsia="zh-CN" w:bidi="ar-SA"/>
        </w:rPr>
        <w:t>支持</w:t>
      </w:r>
      <w:r>
        <w:rPr>
          <w:rFonts w:hint="default"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对上一自然年度在深圳西部港区累计完成代理外贸集装箱重柜量超过20万TEU（含），且代理外贸集装箱重柜量在申报企业中排名前10的申报主体按以下标准予以奖励：</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（一）排名第1的船代企业，给予30万元奖励；</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（二）排名第2、3的船代企业，给予20万元奖励；</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（三）排名第4-6的船代企业，给予10万元奖励；</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（四）排名第7-10的船代企业，给予5万元奖励。 </w:t>
      </w:r>
    </w:p>
    <w:p>
      <w:pPr>
        <w:pageBreakBefore w:val="0"/>
        <w:kinsoku/>
        <w:wordWrap/>
        <w:overflowPunct/>
        <w:topLinePunct w:val="0"/>
        <w:autoSpaceDE/>
        <w:autoSpaceDN/>
        <w:bidi w:val="0"/>
        <w:adjustRightInd/>
        <w:snapToGrid/>
        <w:spacing w:line="560" w:lineRule="exact"/>
        <w:ind w:firstLine="643" w:firstLineChars="200"/>
        <w:textAlignment w:val="auto"/>
        <w:rPr>
          <w:rStyle w:val="7"/>
          <w:rFonts w:hint="default" w:ascii="CESI仿宋-GB2312" w:hAnsi="CESI仿宋-GB2312" w:eastAsia="CESI仿宋-GB2312" w:cs="CESI仿宋-GB2312"/>
          <w:color w:val="auto"/>
          <w:kern w:val="2"/>
          <w:sz w:val="32"/>
          <w:szCs w:val="32"/>
          <w:highlight w:val="none"/>
          <w:lang w:eastAsia="zh-CN" w:bidi="ar-SA"/>
        </w:rPr>
      </w:pPr>
      <w:r>
        <w:rPr>
          <w:rFonts w:hint="default" w:ascii="仿宋_GB2312" w:hAnsi="仿宋_GB2312" w:eastAsia="仿宋_GB2312" w:cs="仿宋_GB2312"/>
          <w:b/>
          <w:bCs/>
          <w:kern w:val="2"/>
          <w:sz w:val="32"/>
          <w:szCs w:val="32"/>
          <w:lang w:val="en-US" w:eastAsia="zh-CN" w:bidi="ar-SA"/>
        </w:rPr>
        <w:t>9.船员管理</w:t>
      </w:r>
      <w:r>
        <w:rPr>
          <w:rFonts w:hint="eastAsia" w:ascii="仿宋_GB2312" w:hAnsi="仿宋_GB2312" w:eastAsia="仿宋_GB2312" w:cs="仿宋_GB2312"/>
          <w:b/>
          <w:bCs/>
          <w:kern w:val="2"/>
          <w:sz w:val="32"/>
          <w:szCs w:val="32"/>
          <w:lang w:val="en-US" w:eastAsia="zh-CN" w:bidi="ar-SA"/>
        </w:rPr>
        <w:t>支持</w:t>
      </w:r>
      <w:r>
        <w:rPr>
          <w:rFonts w:hint="default"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对</w:t>
      </w:r>
      <w:r>
        <w:rPr>
          <w:rFonts w:hint="eastAsia" w:ascii="仿宋_GB2312" w:hAnsi="仿宋_GB2312" w:eastAsia="仿宋_GB2312" w:cs="仿宋_GB2312"/>
          <w:kern w:val="2"/>
          <w:sz w:val="32"/>
          <w:szCs w:val="32"/>
          <w:lang w:val="en-US" w:eastAsia="zh-CN" w:bidi="ar-SA"/>
        </w:rPr>
        <w:t>自有船员规模在</w:t>
      </w:r>
      <w:r>
        <w:rPr>
          <w:rFonts w:hint="default"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00人以上，从事船员管理服务的海员外派机构</w:t>
      </w:r>
      <w:r>
        <w:rPr>
          <w:rFonts w:hint="default" w:ascii="仿宋_GB2312" w:hAnsi="仿宋_GB2312" w:eastAsia="仿宋_GB2312" w:cs="仿宋_GB2312"/>
          <w:kern w:val="2"/>
          <w:sz w:val="32"/>
          <w:szCs w:val="32"/>
          <w:lang w:val="en-US" w:eastAsia="zh-CN" w:bidi="ar-SA"/>
        </w:rPr>
        <w:t>，按</w:t>
      </w:r>
      <w:r>
        <w:rPr>
          <w:rFonts w:hint="eastAsia" w:ascii="仿宋_GB2312" w:hAnsi="仿宋_GB2312" w:eastAsia="仿宋_GB2312" w:cs="仿宋_GB2312"/>
          <w:kern w:val="2"/>
          <w:sz w:val="32"/>
          <w:szCs w:val="32"/>
          <w:lang w:val="en-US" w:eastAsia="zh-CN" w:bidi="ar-SA"/>
        </w:rPr>
        <w:t>其上一自然年度利润总额的</w:t>
      </w: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%予以支持，</w:t>
      </w:r>
      <w:r>
        <w:rPr>
          <w:rFonts w:hint="default" w:ascii="仿宋_GB2312" w:hAnsi="仿宋_GB2312" w:eastAsia="仿宋_GB2312" w:cs="仿宋_GB2312"/>
          <w:kern w:val="2"/>
          <w:sz w:val="32"/>
          <w:szCs w:val="32"/>
          <w:lang w:val="en-US" w:eastAsia="zh-CN" w:bidi="ar-SA"/>
        </w:rPr>
        <w:t>每个申报主体每年最高</w:t>
      </w:r>
      <w:r>
        <w:rPr>
          <w:rFonts w:hint="eastAsia" w:ascii="仿宋_GB2312" w:hAnsi="仿宋_GB2312" w:eastAsia="仿宋_GB2312" w:cs="仿宋_GB2312"/>
          <w:kern w:val="2"/>
          <w:sz w:val="32"/>
          <w:szCs w:val="32"/>
          <w:lang w:val="en-US" w:eastAsia="zh-CN" w:bidi="ar-SA"/>
        </w:rPr>
        <w:t>支持5</w:t>
      </w:r>
      <w:r>
        <w:rPr>
          <w:rFonts w:hint="default" w:ascii="仿宋_GB2312" w:hAnsi="仿宋_GB2312" w:eastAsia="仿宋_GB2312" w:cs="仿宋_GB2312"/>
          <w:kern w:val="2"/>
          <w:sz w:val="32"/>
          <w:szCs w:val="32"/>
          <w:lang w:val="en-US" w:eastAsia="zh-CN" w:bidi="ar-SA"/>
        </w:rPr>
        <w:t>00万元。</w:t>
      </w:r>
    </w:p>
    <w:p>
      <w:pPr>
        <w:pageBreakBefore w:val="0"/>
        <w:kinsoku/>
        <w:wordWrap/>
        <w:overflowPunct/>
        <w:topLinePunct w:val="0"/>
        <w:autoSpaceDE/>
        <w:autoSpaceDN/>
        <w:bidi w:val="0"/>
        <w:adjustRightInd/>
        <w:snapToGrid/>
        <w:spacing w:line="560" w:lineRule="exact"/>
        <w:ind w:firstLine="643" w:firstLineChars="200"/>
        <w:textAlignment w:val="auto"/>
        <w:rPr>
          <w:rStyle w:val="7"/>
          <w:rFonts w:hint="default" w:ascii="CESI仿宋-GB2312" w:hAnsi="CESI仿宋-GB2312" w:eastAsia="CESI仿宋-GB2312" w:cs="CESI仿宋-GB2312"/>
          <w:color w:val="auto"/>
          <w:kern w:val="2"/>
          <w:sz w:val="32"/>
          <w:szCs w:val="32"/>
          <w:highlight w:val="none"/>
          <w:lang w:eastAsia="zh-CN" w:bidi="ar-SA"/>
        </w:rPr>
      </w:pPr>
      <w:r>
        <w:rPr>
          <w:rFonts w:hint="default" w:ascii="仿宋_GB2312" w:hAnsi="仿宋_GB2312" w:eastAsia="仿宋_GB2312" w:cs="仿宋_GB2312"/>
          <w:b/>
          <w:bCs/>
          <w:kern w:val="2"/>
          <w:sz w:val="32"/>
          <w:szCs w:val="32"/>
          <w:lang w:val="en-US" w:eastAsia="zh-CN" w:bidi="ar-SA"/>
        </w:rPr>
        <w:t>10.</w:t>
      </w:r>
      <w:r>
        <w:rPr>
          <w:rFonts w:hint="eastAsia" w:ascii="仿宋_GB2312" w:hAnsi="仿宋_GB2312" w:eastAsia="仿宋_GB2312" w:cs="仿宋_GB2312"/>
          <w:b/>
          <w:bCs/>
          <w:kern w:val="2"/>
          <w:sz w:val="32"/>
          <w:szCs w:val="32"/>
          <w:lang w:val="en-US" w:eastAsia="zh-CN" w:bidi="ar-SA"/>
        </w:rPr>
        <w:t>航运人才支持</w:t>
      </w:r>
      <w:r>
        <w:rPr>
          <w:rFonts w:hint="default"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对在与申报主体在劳动合同有效期内且自2022年1月1日期取得无限航区一等船长、轮机长适任证书或A类注册验船师证书的人员，按3万元</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人予以一次性奖励。</w:t>
      </w:r>
    </w:p>
    <w:p>
      <w:pPr>
        <w:pageBreakBefore w:val="0"/>
        <w:kinsoku/>
        <w:wordWrap/>
        <w:overflowPunct/>
        <w:topLinePunct w:val="0"/>
        <w:autoSpaceDE/>
        <w:autoSpaceDN/>
        <w:bidi w:val="0"/>
        <w:adjustRightInd/>
        <w:snapToGrid/>
        <w:spacing w:line="560" w:lineRule="exact"/>
        <w:ind w:firstLine="643" w:firstLineChars="200"/>
        <w:textAlignment w:val="auto"/>
        <w:rPr>
          <w:rStyle w:val="7"/>
          <w:rFonts w:hint="default" w:ascii="CESI仿宋-GB2312" w:hAnsi="CESI仿宋-GB2312" w:eastAsia="CESI仿宋-GB2312" w:cs="CESI仿宋-GB2312"/>
          <w:color w:val="auto"/>
          <w:kern w:val="2"/>
          <w:sz w:val="32"/>
          <w:szCs w:val="32"/>
          <w:highlight w:val="none"/>
          <w:lang w:eastAsia="zh-CN" w:bidi="ar-SA"/>
        </w:rPr>
      </w:pPr>
      <w:r>
        <w:rPr>
          <w:rFonts w:hint="default" w:ascii="仿宋_GB2312" w:hAnsi="仿宋_GB2312" w:eastAsia="仿宋_GB2312" w:cs="仿宋_GB2312"/>
          <w:b/>
          <w:bCs/>
          <w:kern w:val="2"/>
          <w:sz w:val="32"/>
          <w:szCs w:val="32"/>
          <w:lang w:val="en-US" w:eastAsia="zh-CN" w:bidi="ar-SA"/>
        </w:rPr>
        <w:t>11.支持前海航运企业搭建核心业务团队。</w:t>
      </w:r>
      <w:r>
        <w:rPr>
          <w:rFonts w:hint="default" w:ascii="仿宋_GB2312" w:hAnsi="仿宋_GB2312" w:eastAsia="仿宋_GB2312" w:cs="仿宋_GB2312"/>
          <w:kern w:val="2"/>
          <w:sz w:val="32"/>
          <w:szCs w:val="32"/>
          <w:lang w:val="en-US" w:eastAsia="zh-CN" w:bidi="ar-SA"/>
        </w:rPr>
        <w:t>鼓励企业完善核心业务团队成员，提升企业经营绩效。对上一自然年度申报主体利润总额在1200万元以上的航运公司，按利润总额的1%给予奖励。其中每个申报主体扶持上限不超过2000万元，每个申报主体申报的团队成员名单不超过15人，每个成员扶持上限不超过</w:t>
      </w:r>
      <w:r>
        <w:rPr>
          <w:rFonts w:hint="default" w:ascii="仿宋_GB2312" w:hAnsi="仿宋_GB2312" w:eastAsia="仿宋_GB2312" w:cs="仿宋_GB2312"/>
          <w:kern w:val="2"/>
          <w:sz w:val="32"/>
          <w:szCs w:val="32"/>
          <w:lang w:eastAsia="zh-CN" w:bidi="ar-SA"/>
        </w:rPr>
        <w:t>2</w:t>
      </w:r>
      <w:r>
        <w:rPr>
          <w:rFonts w:hint="default" w:ascii="仿宋_GB2312" w:hAnsi="仿宋_GB2312" w:eastAsia="仿宋_GB2312" w:cs="仿宋_GB2312"/>
          <w:kern w:val="2"/>
          <w:sz w:val="32"/>
          <w:szCs w:val="32"/>
          <w:lang w:val="en-US" w:eastAsia="zh-CN" w:bidi="ar-SA"/>
        </w:rPr>
        <w:t>00万元且在申报之日时与申报主体的劳动合同尚在有效期内。申报主体自行决定具体名单与分配方案，在申请时向前海管理局备案，且需在获得扶持后十五个工作日内上传资金发放回执。</w:t>
      </w:r>
    </w:p>
    <w:p>
      <w:pPr>
        <w:pageBreakBefore w:val="0"/>
        <w:kinsoku/>
        <w:wordWrap/>
        <w:overflowPunct/>
        <w:topLinePunct w:val="0"/>
        <w:autoSpaceDE/>
        <w:autoSpaceDN/>
        <w:bidi w:val="0"/>
        <w:adjustRightInd/>
        <w:snapToGrid/>
        <w:spacing w:line="560" w:lineRule="exact"/>
        <w:ind w:firstLine="640" w:firstLineChars="200"/>
        <w:textAlignment w:val="auto"/>
        <w:rPr>
          <w:rStyle w:val="7"/>
          <w:rFonts w:hint="eastAsia" w:ascii="CESI楷体-GB2312" w:hAnsi="CESI楷体-GB2312" w:eastAsia="CESI楷体-GB2312" w:cs="CESI楷体-GB2312"/>
          <w:color w:val="auto"/>
          <w:kern w:val="2"/>
          <w:sz w:val="32"/>
          <w:szCs w:val="32"/>
          <w:highlight w:val="none"/>
          <w:shd w:val="clear" w:color="auto" w:fill="auto"/>
          <w:lang w:val="en-US" w:eastAsia="zh-CN" w:bidi="ar"/>
        </w:rPr>
      </w:pPr>
      <w:r>
        <w:rPr>
          <w:rStyle w:val="7"/>
          <w:rFonts w:hint="default" w:ascii="CESI楷体-GB2312" w:hAnsi="CESI楷体-GB2312" w:eastAsia="CESI楷体-GB2312" w:cs="CESI楷体-GB2312"/>
          <w:color w:val="auto"/>
          <w:kern w:val="2"/>
          <w:sz w:val="32"/>
          <w:szCs w:val="32"/>
          <w:highlight w:val="none"/>
          <w:shd w:val="clear" w:color="auto" w:fill="auto"/>
          <w:lang w:eastAsia="zh-CN" w:bidi="ar"/>
        </w:rPr>
        <w:t>（四）</w:t>
      </w:r>
      <w:r>
        <w:rPr>
          <w:rStyle w:val="7"/>
          <w:rFonts w:hint="eastAsia" w:ascii="CESI楷体-GB2312" w:hAnsi="CESI楷体-GB2312" w:eastAsia="CESI楷体-GB2312" w:cs="CESI楷体-GB2312"/>
          <w:color w:val="auto"/>
          <w:kern w:val="2"/>
          <w:sz w:val="32"/>
          <w:szCs w:val="32"/>
          <w:highlight w:val="none"/>
          <w:shd w:val="clear" w:color="auto" w:fill="auto"/>
          <w:lang w:val="en-US" w:eastAsia="zh-CN" w:bidi="ar"/>
        </w:rPr>
        <w:t>提升船舶租赁综合营商环境</w:t>
      </w: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textAlignment w:val="auto"/>
        <w:rPr>
          <w:rStyle w:val="7"/>
          <w:rFonts w:hint="default" w:ascii="CESI仿宋-GB2312" w:hAnsi="CESI仿宋-GB2312" w:eastAsia="CESI仿宋-GB2312" w:cs="CESI仿宋-GB2312"/>
          <w:bCs w:val="0"/>
          <w:color w:val="auto"/>
          <w:kern w:val="2"/>
          <w:sz w:val="32"/>
          <w:szCs w:val="32"/>
          <w:highlight w:val="none"/>
          <w:lang w:val="en-US" w:eastAsia="zh-CN" w:bidi="ar-SA"/>
        </w:rPr>
      </w:pPr>
      <w:r>
        <w:rPr>
          <w:rFonts w:hint="eastAsia" w:ascii="仿宋_GB2312" w:hAnsi="仿宋_GB2312" w:eastAsia="仿宋_GB2312" w:cs="仿宋_GB2312"/>
          <w:b/>
          <w:bCs/>
          <w:kern w:val="2"/>
          <w:sz w:val="32"/>
          <w:szCs w:val="32"/>
          <w:lang w:val="en-US" w:eastAsia="zh-CN" w:bidi="ar-SA"/>
        </w:rPr>
        <w:t>1</w:t>
      </w:r>
      <w:r>
        <w:rPr>
          <w:rFonts w:hint="default" w:ascii="仿宋_GB2312" w:hAnsi="仿宋_GB2312" w:eastAsia="仿宋_GB2312" w:cs="仿宋_GB2312"/>
          <w:b/>
          <w:bCs/>
          <w:kern w:val="2"/>
          <w:sz w:val="32"/>
          <w:szCs w:val="32"/>
          <w:lang w:val="en-US" w:eastAsia="zh-CN" w:bidi="ar-SA"/>
        </w:rPr>
        <w:t>2</w:t>
      </w:r>
      <w:r>
        <w:rPr>
          <w:rFonts w:hint="eastAsia"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b/>
          <w:bCs/>
          <w:kern w:val="2"/>
          <w:sz w:val="32"/>
          <w:szCs w:val="32"/>
          <w:lang w:val="en-US" w:eastAsia="zh-CN" w:bidi="ar-SA"/>
        </w:rPr>
        <w:t>提高船舶登记效率。</w:t>
      </w:r>
      <w:r>
        <w:rPr>
          <w:rFonts w:hint="default" w:ascii="仿宋_GB2312" w:hAnsi="仿宋_GB2312" w:eastAsia="仿宋_GB2312" w:cs="仿宋_GB2312"/>
          <w:bCs w:val="0"/>
          <w:kern w:val="2"/>
          <w:sz w:val="32"/>
          <w:szCs w:val="32"/>
          <w:lang w:val="en-US" w:eastAsia="zh-CN" w:bidi="ar-SA"/>
        </w:rPr>
        <w:t>协同海事部门，</w:t>
      </w:r>
      <w:r>
        <w:rPr>
          <w:rFonts w:hint="eastAsia" w:ascii="仿宋_GB2312" w:hAnsi="仿宋_GB2312" w:eastAsia="仿宋_GB2312" w:cs="仿宋_GB2312"/>
          <w:bCs w:val="0"/>
          <w:kern w:val="2"/>
          <w:sz w:val="32"/>
          <w:szCs w:val="32"/>
          <w:lang w:val="en-US" w:eastAsia="zh-CN" w:bidi="ar-SA"/>
        </w:rPr>
        <w:t>加快推进前海国际船舶登记中心落地，允许在前海合作区注册企业满足条件的船舶租赁标的进行国际船舶登记</w:t>
      </w:r>
      <w:r>
        <w:rPr>
          <w:rFonts w:hint="default" w:ascii="仿宋_GB2312" w:hAnsi="仿宋_GB2312" w:eastAsia="仿宋_GB2312" w:cs="仿宋_GB2312"/>
          <w:bCs w:val="0"/>
          <w:kern w:val="2"/>
          <w:sz w:val="32"/>
          <w:szCs w:val="32"/>
          <w:lang w:val="en-US" w:eastAsia="zh-CN" w:bidi="ar-SA"/>
        </w:rPr>
        <w:t>，对登记主体中外资股比、法定检验、船员配备等准入条件予以放宽</w:t>
      </w:r>
      <w:r>
        <w:rPr>
          <w:rFonts w:hint="eastAsia" w:ascii="仿宋_GB2312" w:hAnsi="仿宋_GB2312" w:eastAsia="仿宋_GB2312" w:cs="仿宋_GB2312"/>
          <w:bCs w:val="0"/>
          <w:kern w:val="2"/>
          <w:sz w:val="32"/>
          <w:szCs w:val="32"/>
          <w:lang w:val="en-US" w:eastAsia="zh-CN" w:bidi="ar-SA"/>
        </w:rPr>
        <w:t>。</w:t>
      </w:r>
      <w:r>
        <w:rPr>
          <w:rFonts w:hint="default" w:ascii="仿宋_GB2312" w:hAnsi="仿宋_GB2312" w:eastAsia="仿宋_GB2312" w:cs="仿宋_GB2312"/>
          <w:bCs w:val="0"/>
          <w:kern w:val="2"/>
          <w:sz w:val="32"/>
          <w:szCs w:val="32"/>
          <w:lang w:val="en-US" w:eastAsia="zh-CN" w:bidi="ar-SA"/>
        </w:rPr>
        <w:t>完善船舶租赁登记流程，压缩船舶租赁登记的相关船舶登记办结时限。推进“不停航办证”落地，实施登记注销“同步受理”和船舶转籍“无缝隙衔接”。</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lang w:eastAsia="zh-CN"/>
        </w:rPr>
      </w:pPr>
      <w:r>
        <w:rPr>
          <w:rFonts w:hint="eastAsia" w:ascii="仿宋_GB2312" w:hAnsi="仿宋_GB2312" w:eastAsia="仿宋_GB2312" w:cs="仿宋_GB2312"/>
          <w:b/>
          <w:bCs/>
          <w:kern w:val="2"/>
          <w:sz w:val="32"/>
          <w:szCs w:val="32"/>
          <w:lang w:val="en-US" w:eastAsia="zh-CN" w:bidi="ar-SA"/>
        </w:rPr>
        <w:t>1</w:t>
      </w:r>
      <w:r>
        <w:rPr>
          <w:rFonts w:hint="default" w:ascii="仿宋_GB2312" w:hAnsi="仿宋_GB2312" w:eastAsia="仿宋_GB2312" w:cs="仿宋_GB2312"/>
          <w:b/>
          <w:bCs/>
          <w:kern w:val="2"/>
          <w:sz w:val="32"/>
          <w:szCs w:val="32"/>
          <w:lang w:val="en-US" w:eastAsia="zh-CN" w:bidi="ar-SA"/>
        </w:rPr>
        <w:t>3</w:t>
      </w:r>
      <w:r>
        <w:rPr>
          <w:rFonts w:hint="eastAsia"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b/>
          <w:bCs/>
          <w:kern w:val="2"/>
          <w:sz w:val="32"/>
          <w:szCs w:val="32"/>
          <w:lang w:val="en-US" w:eastAsia="zh-CN" w:bidi="ar-SA"/>
        </w:rPr>
        <w:t>提供船舶进出口通关便利。</w:t>
      </w:r>
      <w:r>
        <w:rPr>
          <w:rFonts w:hint="default" w:ascii="仿宋_GB2312" w:hAnsi="仿宋_GB2312" w:eastAsia="仿宋_GB2312" w:cs="仿宋_GB2312"/>
          <w:bCs w:val="0"/>
          <w:kern w:val="2"/>
          <w:sz w:val="32"/>
          <w:szCs w:val="32"/>
          <w:lang w:val="en-US" w:eastAsia="zh-CN" w:bidi="ar-SA"/>
        </w:rPr>
        <w:t>协调海关部门，为符合船舶进出口业务且不涉及敏感国家、地区及敏感货物的，提供通关便利化服务。对注册在前海综合保税区内的船舶租赁企业进出口船舶等大型设备涉及跨关区的，在确保有效监管的情况下，按物流实际需要，实行海关异地委托监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w:t>
      </w:r>
      <w:r>
        <w:rPr>
          <w:rFonts w:hint="default" w:ascii="仿宋_GB2312" w:hAnsi="仿宋_GB2312" w:eastAsia="仿宋_GB2312" w:cs="仿宋_GB2312"/>
          <w:b/>
          <w:bCs/>
          <w:kern w:val="2"/>
          <w:sz w:val="32"/>
          <w:szCs w:val="32"/>
          <w:lang w:val="en-US" w:eastAsia="zh-CN" w:bidi="ar-SA"/>
        </w:rPr>
        <w:t>4</w:t>
      </w:r>
      <w:r>
        <w:rPr>
          <w:rFonts w:hint="eastAsia"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b/>
          <w:bCs/>
          <w:kern w:val="2"/>
          <w:sz w:val="32"/>
          <w:szCs w:val="32"/>
          <w:lang w:val="en-US" w:eastAsia="zh-CN" w:bidi="ar-SA"/>
        </w:rPr>
        <w:t>适度简化外汇管理。</w:t>
      </w:r>
      <w:r>
        <w:rPr>
          <w:rFonts w:hint="default" w:ascii="仿宋_GB2312" w:hAnsi="仿宋_GB2312" w:eastAsia="仿宋_GB2312" w:cs="仿宋_GB2312"/>
          <w:bCs w:val="0"/>
          <w:kern w:val="2"/>
          <w:sz w:val="32"/>
          <w:szCs w:val="32"/>
          <w:lang w:val="en-US" w:eastAsia="zh-CN" w:bidi="ar-SA"/>
        </w:rPr>
        <w:t>允许前海综合保税区内融资租赁公司从境外购入船舶等大型设备给承租人时，在进口与付汇主体一致的情况下，凭合同、商业单证等办理付汇手续，便利融资租赁项目货款支付。在符合现行外汇管理政策前提下，支持前海综合保税区内企业项目公司支付购买价款。前海合作区内融资租赁公司开展船舶租赁业务的，符合优质企业贸易外汇收支便利化试点企业条件的，试点银行可为其采取货物贸易超期限特殊退汇业务免于事前登记等经常项目便利化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Style w:val="7"/>
          <w:rFonts w:hint="default" w:ascii="CESI仿宋-GB2312" w:hAnsi="CESI仿宋-GB2312" w:eastAsia="CESI仿宋-GB2312" w:cs="CESI仿宋-GB2312"/>
          <w:color w:val="auto"/>
          <w:kern w:val="2"/>
          <w:sz w:val="32"/>
          <w:szCs w:val="32"/>
          <w:highlight w:val="none"/>
          <w:lang w:val="en-US" w:eastAsia="zh-CN" w:bidi="ar-SA"/>
        </w:rPr>
      </w:pPr>
      <w:r>
        <w:rPr>
          <w:rFonts w:hint="eastAsia" w:ascii="仿宋_GB2312" w:hAnsi="仿宋_GB2312" w:eastAsia="仿宋_GB2312" w:cs="仿宋_GB2312"/>
          <w:b/>
          <w:bCs/>
          <w:kern w:val="2"/>
          <w:sz w:val="32"/>
          <w:szCs w:val="32"/>
          <w:lang w:val="en-US" w:eastAsia="zh-CN" w:bidi="ar-SA"/>
        </w:rPr>
        <w:t>1</w:t>
      </w:r>
      <w:r>
        <w:rPr>
          <w:rFonts w:hint="default" w:ascii="仿宋_GB2312" w:hAnsi="仿宋_GB2312" w:eastAsia="仿宋_GB2312" w:cs="仿宋_GB2312"/>
          <w:b/>
          <w:bCs/>
          <w:kern w:val="2"/>
          <w:sz w:val="32"/>
          <w:szCs w:val="32"/>
          <w:lang w:val="en-US" w:eastAsia="zh-CN" w:bidi="ar-SA"/>
        </w:rPr>
        <w:t>5</w:t>
      </w:r>
      <w:r>
        <w:rPr>
          <w:rFonts w:hint="eastAsia"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b/>
          <w:bCs/>
          <w:kern w:val="2"/>
          <w:sz w:val="32"/>
          <w:szCs w:val="32"/>
          <w:lang w:val="en-US" w:eastAsia="zh-CN" w:bidi="ar-SA"/>
        </w:rPr>
        <w:t>不断完善“一站式”专业服务团队建设。</w:t>
      </w:r>
      <w:r>
        <w:rPr>
          <w:rFonts w:hint="default" w:ascii="仿宋_GB2312" w:hAnsi="仿宋_GB2312" w:eastAsia="仿宋_GB2312" w:cs="仿宋_GB2312"/>
          <w:bCs w:val="0"/>
          <w:kern w:val="2"/>
          <w:sz w:val="32"/>
          <w:szCs w:val="32"/>
          <w:lang w:val="en-US" w:eastAsia="zh-CN" w:bidi="ar-SA"/>
        </w:rPr>
        <w:t>以船舶租赁为核心为相关业务落地提供便利指引等工作，为落地前海的船舶租赁企业提供包括商事登记、涉税业务、银行开户、海关报关等业务咨询服务。根据企业需求不断拓展业务服务范围，打造全方位、全链条、一站式的服务环境。支持船舶租赁等航运企业根据前海管理局产业政策体系享受办公用房、人才住房的配套设施优惠。</w:t>
      </w:r>
    </w:p>
    <w:p>
      <w:pPr>
        <w:pageBreakBefore w:val="0"/>
        <w:kinsoku/>
        <w:wordWrap/>
        <w:overflowPunct/>
        <w:topLinePunct w:val="0"/>
        <w:autoSpaceDE/>
        <w:autoSpaceDN/>
        <w:bidi w:val="0"/>
        <w:adjustRightInd/>
        <w:snapToGrid/>
        <w:spacing w:line="560" w:lineRule="exact"/>
        <w:ind w:firstLine="643" w:firstLineChars="200"/>
        <w:textAlignment w:val="auto"/>
        <w:rPr>
          <w:rStyle w:val="7"/>
          <w:rFonts w:hint="default" w:ascii="CESI仿宋-GB2312" w:hAnsi="CESI仿宋-GB2312" w:eastAsia="CESI仿宋-GB2312" w:cs="CESI仿宋-GB2312"/>
          <w:color w:val="auto"/>
          <w:kern w:val="2"/>
          <w:sz w:val="32"/>
          <w:szCs w:val="32"/>
          <w:highlight w:val="none"/>
          <w:lang w:eastAsia="zh-CN" w:bidi="ar-SA"/>
        </w:rPr>
      </w:pPr>
      <w:r>
        <w:rPr>
          <w:rFonts w:hint="eastAsia" w:ascii="仿宋_GB2312" w:hAnsi="仿宋_GB2312" w:eastAsia="仿宋_GB2312" w:cs="仿宋_GB2312"/>
          <w:b/>
          <w:bCs/>
          <w:kern w:val="2"/>
          <w:sz w:val="32"/>
          <w:szCs w:val="32"/>
          <w:lang w:val="en-US" w:eastAsia="zh-CN" w:bidi="ar-SA"/>
        </w:rPr>
        <w:t>1</w:t>
      </w:r>
      <w:r>
        <w:rPr>
          <w:rFonts w:hint="default" w:ascii="仿宋_GB2312" w:hAnsi="仿宋_GB2312" w:eastAsia="仿宋_GB2312" w:cs="仿宋_GB2312"/>
          <w:b/>
          <w:bCs/>
          <w:kern w:val="2"/>
          <w:sz w:val="32"/>
          <w:szCs w:val="32"/>
          <w:lang w:val="en-US" w:eastAsia="zh-CN" w:bidi="ar-SA"/>
        </w:rPr>
        <w:t>6</w:t>
      </w:r>
      <w:r>
        <w:rPr>
          <w:rFonts w:hint="eastAsia"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b/>
          <w:bCs/>
          <w:kern w:val="2"/>
          <w:sz w:val="32"/>
          <w:szCs w:val="32"/>
          <w:lang w:val="en-US" w:eastAsia="zh-CN" w:bidi="ar-SA"/>
        </w:rPr>
        <w:t>优化制度监管环境。</w:t>
      </w:r>
      <w:r>
        <w:rPr>
          <w:rFonts w:hint="default" w:ascii="仿宋_GB2312" w:hAnsi="仿宋_GB2312" w:eastAsia="仿宋_GB2312" w:cs="仿宋_GB2312"/>
          <w:bCs w:val="0"/>
          <w:kern w:val="2"/>
          <w:sz w:val="32"/>
          <w:szCs w:val="32"/>
          <w:lang w:val="en-US" w:eastAsia="zh-CN" w:bidi="ar-SA"/>
        </w:rPr>
        <w:t>支持资信良好和业务成熟的船舶融资租赁企业在前海合作区设立项目公司，简化办理流程。简化和规范船舶融资租赁企业在境外设立项目公司和专业子公司的审批手续。金融租赁公司设立专业子公司和项目公司依照金融监管制度执行。允许开展船舶租赁业务的金融租赁公司项目公司、融资租赁公司项目公司在指定场所实行住所集中登记。</w:t>
      </w:r>
    </w:p>
    <w:p>
      <w:pPr>
        <w:pStyle w:val="4"/>
        <w:pageBreakBefore w:val="0"/>
        <w:widowControl/>
        <w:numPr>
          <w:ilvl w:val="0"/>
          <w:numId w:val="0"/>
        </w:numPr>
        <w:shd w:val="clear" w:color="auto" w:fill="auto"/>
        <w:kinsoku/>
        <w:wordWrap/>
        <w:overflowPunct/>
        <w:topLinePunct w:val="0"/>
        <w:autoSpaceDE/>
        <w:autoSpaceDN/>
        <w:bidi w:val="0"/>
        <w:adjustRightInd/>
        <w:snapToGrid/>
        <w:spacing w:line="560" w:lineRule="exact"/>
        <w:ind w:firstLine="643" w:firstLineChars="200"/>
        <w:rPr>
          <w:rFonts w:hint="default"/>
          <w:lang w:eastAsia="zh-CN"/>
        </w:rPr>
      </w:pPr>
      <w:r>
        <w:rPr>
          <w:rFonts w:hint="default" w:ascii="仿宋_GB2312" w:hAnsi="仿宋_GB2312" w:eastAsia="仿宋_GB2312" w:cs="仿宋_GB2312"/>
          <w:b/>
          <w:bCs/>
          <w:kern w:val="2"/>
          <w:sz w:val="32"/>
          <w:szCs w:val="32"/>
          <w:lang w:val="en-US" w:eastAsia="zh-CN" w:bidi="ar-SA"/>
        </w:rPr>
        <w:t>17</w:t>
      </w:r>
      <w:r>
        <w:rPr>
          <w:rFonts w:hint="eastAsia"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b/>
          <w:bCs/>
          <w:kern w:val="2"/>
          <w:sz w:val="32"/>
          <w:szCs w:val="32"/>
          <w:lang w:val="en-US" w:eastAsia="zh-CN" w:bidi="ar-SA"/>
        </w:rPr>
        <w:t>建立市区财力支撑体系。</w:t>
      </w:r>
      <w:r>
        <w:rPr>
          <w:rFonts w:hint="default" w:ascii="仿宋_GB2312" w:hAnsi="仿宋_GB2312" w:eastAsia="仿宋_GB2312" w:cs="仿宋_GB2312"/>
          <w:bCs w:val="0"/>
          <w:kern w:val="2"/>
          <w:sz w:val="32"/>
          <w:szCs w:val="32"/>
          <w:lang w:val="en-US" w:eastAsia="zh-CN" w:bidi="ar-SA"/>
        </w:rPr>
        <w:t>加强船舶租赁出租方、承租方等重点领域政策条款支持体系，建立“市级+区级+前海”产业发展财力统筹机制，</w:t>
      </w:r>
      <w:r>
        <w:rPr>
          <w:rFonts w:hint="default" w:ascii="仿宋_GB2312" w:hAnsi="仿宋_GB2312" w:eastAsia="仿宋_GB2312" w:cs="仿宋_GB2312"/>
          <w:bCs w:val="0"/>
          <w:kern w:val="2"/>
          <w:sz w:val="32"/>
          <w:szCs w:val="32"/>
          <w:lang w:eastAsia="zh-CN" w:bidi="ar-SA"/>
        </w:rPr>
        <w:t>其中</w:t>
      </w:r>
      <w:r>
        <w:rPr>
          <w:rFonts w:hint="default" w:ascii="仿宋_GB2312" w:hAnsi="仿宋_GB2312" w:eastAsia="仿宋_GB2312" w:cs="仿宋_GB2312"/>
          <w:bCs w:val="0"/>
          <w:kern w:val="2"/>
          <w:sz w:val="32"/>
          <w:szCs w:val="32"/>
          <w:lang w:val="en-US" w:eastAsia="zh-CN" w:bidi="ar-SA"/>
        </w:rPr>
        <w:t>“</w:t>
      </w:r>
      <w:r>
        <w:rPr>
          <w:rFonts w:hint="eastAsia" w:ascii="仿宋_GB2312" w:hAnsi="仿宋_GB2312" w:eastAsia="仿宋_GB2312" w:cs="仿宋_GB2312"/>
          <w:bCs w:val="0"/>
          <w:kern w:val="2"/>
          <w:sz w:val="32"/>
          <w:szCs w:val="32"/>
          <w:lang w:val="en-US" w:eastAsia="zh-CN" w:bidi="ar-SA"/>
        </w:rPr>
        <w:t>（一）支持船舶租赁发展</w:t>
      </w:r>
      <w:r>
        <w:rPr>
          <w:rFonts w:hint="default" w:ascii="仿宋_GB2312" w:hAnsi="仿宋_GB2312" w:eastAsia="仿宋_GB2312" w:cs="仿宋_GB2312"/>
          <w:bCs w:val="0"/>
          <w:kern w:val="2"/>
          <w:sz w:val="32"/>
          <w:szCs w:val="32"/>
          <w:lang w:eastAsia="zh-CN" w:bidi="ar-SA"/>
        </w:rPr>
        <w:t>中</w:t>
      </w:r>
      <w:r>
        <w:rPr>
          <w:rFonts w:hint="default" w:ascii="仿宋_GB2312" w:hAnsi="仿宋_GB2312" w:eastAsia="仿宋_GB2312" w:cs="仿宋_GB2312"/>
          <w:bCs w:val="0"/>
          <w:kern w:val="2"/>
          <w:sz w:val="32"/>
          <w:szCs w:val="32"/>
          <w:lang w:val="en-US" w:eastAsia="zh-CN" w:bidi="ar-SA"/>
        </w:rPr>
        <w:t>1.</w:t>
      </w:r>
      <w:r>
        <w:rPr>
          <w:rFonts w:hint="eastAsia" w:ascii="仿宋_GB2312" w:hAnsi="仿宋_GB2312" w:eastAsia="仿宋_GB2312" w:cs="仿宋_GB2312"/>
          <w:bCs w:val="0"/>
          <w:kern w:val="2"/>
          <w:sz w:val="32"/>
          <w:szCs w:val="32"/>
          <w:lang w:val="en-US" w:eastAsia="zh-CN" w:bidi="ar-SA"/>
        </w:rPr>
        <w:t>船舶租赁出租方支持</w:t>
      </w:r>
      <w:r>
        <w:rPr>
          <w:rFonts w:hint="default" w:ascii="仿宋_GB2312" w:hAnsi="仿宋_GB2312" w:eastAsia="仿宋_GB2312" w:cs="仿宋_GB2312"/>
          <w:bCs w:val="0"/>
          <w:kern w:val="2"/>
          <w:sz w:val="32"/>
          <w:szCs w:val="32"/>
          <w:lang w:eastAsia="zh-CN" w:bidi="ar-SA"/>
        </w:rPr>
        <w:t>（1）、（2），2.</w:t>
      </w:r>
      <w:r>
        <w:rPr>
          <w:rFonts w:hint="default" w:ascii="仿宋_GB2312" w:hAnsi="仿宋_GB2312" w:eastAsia="仿宋_GB2312" w:cs="仿宋_GB2312"/>
          <w:bCs w:val="0"/>
          <w:kern w:val="2"/>
          <w:sz w:val="32"/>
          <w:szCs w:val="32"/>
          <w:lang w:val="en-US" w:eastAsia="zh-CN" w:bidi="ar-SA"/>
        </w:rPr>
        <w:t>船舶租赁承租方支持”涉及的产业扶持资金由各级财政分别按市、南山区、前海合作区共享税分成比例分担。</w:t>
      </w:r>
      <w:r>
        <w:rPr>
          <w:rFonts w:hint="default" w:ascii="仿宋_GB2312" w:hAnsi="仿宋_GB2312" w:eastAsia="仿宋_GB2312" w:cs="仿宋_GB2312"/>
          <w:bCs w:val="0"/>
          <w:kern w:val="2"/>
          <w:sz w:val="32"/>
          <w:szCs w:val="32"/>
          <w:lang w:eastAsia="zh-CN" w:bidi="ar-SA"/>
        </w:rPr>
        <w:t>《若干措施》其余条款</w:t>
      </w:r>
      <w:r>
        <w:rPr>
          <w:rFonts w:hint="default" w:ascii="仿宋_GB2312" w:hAnsi="仿宋_GB2312" w:eastAsia="仿宋_GB2312" w:cs="仿宋_GB2312"/>
          <w:bCs w:val="0"/>
          <w:kern w:val="2"/>
          <w:sz w:val="32"/>
          <w:szCs w:val="32"/>
          <w:lang w:val="en-US" w:eastAsia="zh-CN" w:bidi="ar-SA"/>
        </w:rPr>
        <w:t>涉及的产业扶持资金由各级财政分别按南山区、前海合作区共享税分成比例分担。</w:t>
      </w:r>
    </w:p>
    <w:p>
      <w:pPr>
        <w:pageBreakBefore w:val="0"/>
        <w:kinsoku/>
        <w:wordWrap/>
        <w:overflowPunct/>
        <w:topLinePunct w:val="0"/>
        <w:autoSpaceDE/>
        <w:autoSpaceDN/>
        <w:bidi w:val="0"/>
        <w:adjustRightInd/>
        <w:snapToGrid/>
        <w:spacing w:line="560" w:lineRule="exact"/>
        <w:ind w:firstLine="640" w:firstLineChars="200"/>
        <w:textAlignment w:val="auto"/>
        <w:rPr>
          <w:rStyle w:val="7"/>
          <w:rFonts w:hint="default" w:ascii="黑体" w:hAnsi="黑体" w:eastAsia="黑体"/>
          <w:color w:val="auto"/>
          <w:sz w:val="32"/>
          <w:szCs w:val="32"/>
          <w:highlight w:val="none"/>
          <w:lang w:eastAsia="zh-CN"/>
        </w:rPr>
      </w:pPr>
      <w:r>
        <w:rPr>
          <w:rStyle w:val="7"/>
          <w:rFonts w:hint="default" w:ascii="黑体" w:hAnsi="黑体" w:eastAsia="黑体"/>
          <w:color w:val="auto"/>
          <w:sz w:val="32"/>
          <w:szCs w:val="32"/>
          <w:highlight w:val="none"/>
          <w:lang w:eastAsia="zh-CN"/>
        </w:rPr>
        <w:t>三、申请与审核</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textAlignment w:val="baseline"/>
        <w:rPr>
          <w:rFonts w:hint="default"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（一）申请。</w:t>
      </w:r>
      <w:r>
        <w:rPr>
          <w:rFonts w:hint="default" w:ascii="仿宋_GB2312" w:hAnsi="仿宋_GB2312" w:eastAsia="仿宋_GB2312" w:cs="仿宋_GB2312"/>
          <w:bCs w:val="0"/>
          <w:kern w:val="2"/>
          <w:sz w:val="32"/>
          <w:szCs w:val="32"/>
          <w:lang w:val="en-US" w:eastAsia="zh-CN" w:bidi="ar-SA"/>
        </w:rPr>
        <w:t>扶持</w:t>
      </w:r>
      <w:r>
        <w:rPr>
          <w:rFonts w:hint="eastAsia" w:ascii="仿宋_GB2312" w:hAnsi="仿宋_GB2312" w:eastAsia="仿宋_GB2312" w:cs="仿宋_GB2312"/>
          <w:bCs w:val="0"/>
          <w:kern w:val="2"/>
          <w:sz w:val="32"/>
          <w:szCs w:val="32"/>
          <w:lang w:val="en-US" w:eastAsia="zh-CN" w:bidi="ar-SA"/>
        </w:rPr>
        <w:t>资金申请集中受理，受理时间以前海管理局发布公告为准，受理期限不少于10个工作日。申请</w:t>
      </w:r>
      <w:r>
        <w:rPr>
          <w:rFonts w:hint="default" w:ascii="仿宋_GB2312" w:hAnsi="仿宋_GB2312" w:eastAsia="仿宋_GB2312" w:cs="仿宋_GB2312"/>
          <w:bCs w:val="0"/>
          <w:kern w:val="2"/>
          <w:sz w:val="32"/>
          <w:szCs w:val="32"/>
          <w:lang w:val="en-US" w:eastAsia="zh-CN" w:bidi="ar-SA"/>
        </w:rPr>
        <w:t>机构</w:t>
      </w:r>
      <w:r>
        <w:rPr>
          <w:rFonts w:hint="eastAsia" w:ascii="仿宋_GB2312" w:hAnsi="仿宋_GB2312" w:eastAsia="仿宋_GB2312" w:cs="仿宋_GB2312"/>
          <w:bCs w:val="0"/>
          <w:kern w:val="2"/>
          <w:sz w:val="32"/>
          <w:szCs w:val="32"/>
          <w:lang w:val="en-US" w:eastAsia="zh-CN" w:bidi="ar-SA"/>
        </w:rPr>
        <w:t>应在受理期间提交有关申请材料，并授权前海管理局在审核认定争议时向税务等机关查询核实相关信息。</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textAlignment w:val="baseline"/>
        <w:rPr>
          <w:rFonts w:hint="default"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二）材料审查。前海管理局对申请材料进行审查。审查通过的应向社会公示，公示期不少于5个工作日。任何组织或个人对公示有异议的，应当在公示期内向前海管理局提出书面异议。前海管理局应当对异议进行调查核实。异议</w:t>
      </w:r>
      <w:r>
        <w:rPr>
          <w:rFonts w:hint="default" w:ascii="仿宋_GB2312" w:hAnsi="仿宋_GB2312" w:eastAsia="仿宋_GB2312" w:cs="仿宋_GB2312"/>
          <w:bCs w:val="0"/>
          <w:kern w:val="2"/>
          <w:sz w:val="32"/>
          <w:szCs w:val="32"/>
          <w:lang w:val="en-US" w:eastAsia="zh-CN" w:bidi="ar-SA"/>
        </w:rPr>
        <w:t>成立的</w:t>
      </w:r>
      <w:r>
        <w:rPr>
          <w:rFonts w:hint="eastAsia" w:ascii="仿宋_GB2312" w:hAnsi="仿宋_GB2312" w:eastAsia="仿宋_GB2312" w:cs="仿宋_GB2312"/>
          <w:bCs w:val="0"/>
          <w:kern w:val="2"/>
          <w:sz w:val="32"/>
          <w:szCs w:val="32"/>
          <w:lang w:val="en-US" w:eastAsia="zh-CN" w:bidi="ar-SA"/>
        </w:rPr>
        <w:t>，</w:t>
      </w:r>
      <w:r>
        <w:rPr>
          <w:rFonts w:hint="default" w:ascii="仿宋_GB2312" w:hAnsi="仿宋_GB2312" w:eastAsia="仿宋_GB2312" w:cs="仿宋_GB2312"/>
          <w:bCs w:val="0"/>
          <w:kern w:val="2"/>
          <w:sz w:val="32"/>
          <w:szCs w:val="32"/>
          <w:lang w:val="en-US" w:eastAsia="zh-CN" w:bidi="ar-SA"/>
        </w:rPr>
        <w:t>对事项进行公示，</w:t>
      </w:r>
      <w:r>
        <w:rPr>
          <w:rFonts w:hint="eastAsia" w:ascii="仿宋_GB2312" w:hAnsi="仿宋_GB2312" w:eastAsia="仿宋_GB2312" w:cs="仿宋_GB2312"/>
          <w:bCs w:val="0"/>
          <w:kern w:val="2"/>
          <w:sz w:val="32"/>
          <w:szCs w:val="32"/>
          <w:lang w:val="en-US" w:eastAsia="zh-CN" w:bidi="ar-SA"/>
        </w:rPr>
        <w:t>异议</w:t>
      </w:r>
      <w:r>
        <w:rPr>
          <w:rFonts w:hint="default" w:ascii="仿宋_GB2312" w:hAnsi="仿宋_GB2312" w:eastAsia="仿宋_GB2312" w:cs="仿宋_GB2312"/>
          <w:bCs w:val="0"/>
          <w:kern w:val="2"/>
          <w:sz w:val="32"/>
          <w:szCs w:val="32"/>
          <w:lang w:val="en-US" w:eastAsia="zh-CN" w:bidi="ar-SA"/>
        </w:rPr>
        <w:t>不成立的</w:t>
      </w:r>
      <w:r>
        <w:rPr>
          <w:rFonts w:hint="eastAsia" w:ascii="仿宋_GB2312" w:hAnsi="仿宋_GB2312" w:eastAsia="仿宋_GB2312" w:cs="仿宋_GB2312"/>
          <w:bCs w:val="0"/>
          <w:kern w:val="2"/>
          <w:sz w:val="32"/>
          <w:szCs w:val="32"/>
          <w:lang w:val="en-US" w:eastAsia="zh-CN" w:bidi="ar-SA"/>
        </w:rPr>
        <w:t>，</w:t>
      </w:r>
      <w:r>
        <w:rPr>
          <w:rFonts w:hint="default" w:ascii="仿宋_GB2312" w:hAnsi="仿宋_GB2312" w:eastAsia="仿宋_GB2312" w:cs="仿宋_GB2312"/>
          <w:bCs w:val="0"/>
          <w:kern w:val="2"/>
          <w:sz w:val="32"/>
          <w:szCs w:val="32"/>
          <w:lang w:val="en-US" w:eastAsia="zh-CN" w:bidi="ar-SA"/>
        </w:rPr>
        <w:t>作出书面决定并</w:t>
      </w:r>
      <w:r>
        <w:rPr>
          <w:rFonts w:hint="eastAsia" w:ascii="仿宋_GB2312" w:hAnsi="仿宋_GB2312" w:eastAsia="仿宋_GB2312" w:cs="仿宋_GB2312"/>
          <w:bCs w:val="0"/>
          <w:kern w:val="2"/>
          <w:sz w:val="32"/>
          <w:szCs w:val="32"/>
          <w:lang w:val="en-US" w:eastAsia="zh-CN" w:bidi="ar-SA"/>
        </w:rPr>
        <w:t>告知异议人</w:t>
      </w:r>
      <w:r>
        <w:rPr>
          <w:rFonts w:hint="default" w:ascii="仿宋_GB2312" w:hAnsi="仿宋_GB2312" w:eastAsia="仿宋_GB2312" w:cs="仿宋_GB2312"/>
          <w:bCs w:val="0"/>
          <w:kern w:val="2"/>
          <w:sz w:val="32"/>
          <w:szCs w:val="32"/>
          <w:lang w:val="en-US" w:eastAsia="zh-CN" w:bidi="ar-SA"/>
        </w:rPr>
        <w:t>。</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textAlignment w:val="baseline"/>
        <w:rPr>
          <w:rFonts w:hint="default"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（三）拨付</w:t>
      </w:r>
      <w:r>
        <w:rPr>
          <w:rFonts w:hint="default" w:ascii="仿宋_GB2312" w:hAnsi="仿宋_GB2312" w:eastAsia="仿宋_GB2312" w:cs="仿宋_GB2312"/>
          <w:bCs w:val="0"/>
          <w:kern w:val="2"/>
          <w:sz w:val="32"/>
          <w:szCs w:val="32"/>
          <w:lang w:val="en-US" w:eastAsia="zh-CN" w:bidi="ar-SA"/>
        </w:rPr>
        <w:t>资金</w:t>
      </w:r>
      <w:r>
        <w:rPr>
          <w:rFonts w:hint="eastAsia" w:ascii="仿宋_GB2312" w:hAnsi="仿宋_GB2312" w:eastAsia="仿宋_GB2312" w:cs="仿宋_GB2312"/>
          <w:bCs w:val="0"/>
          <w:kern w:val="2"/>
          <w:sz w:val="32"/>
          <w:szCs w:val="32"/>
          <w:lang w:val="en-US" w:eastAsia="zh-CN" w:bidi="ar-SA"/>
        </w:rPr>
        <w:t>。经公示无异议的，或有异议不成立的，前海管理局依规定拨付相应支持资金。前海管理局可根据机构资金申请情况，与申请</w:t>
      </w:r>
      <w:r>
        <w:rPr>
          <w:rFonts w:hint="default" w:ascii="仿宋_GB2312" w:hAnsi="仿宋_GB2312" w:eastAsia="仿宋_GB2312" w:cs="仿宋_GB2312"/>
          <w:bCs w:val="0"/>
          <w:kern w:val="2"/>
          <w:sz w:val="32"/>
          <w:szCs w:val="32"/>
          <w:lang w:val="en-US" w:eastAsia="zh-CN" w:bidi="ar-SA"/>
        </w:rPr>
        <w:t>机构</w:t>
      </w:r>
      <w:r>
        <w:rPr>
          <w:rFonts w:hint="eastAsia" w:ascii="仿宋_GB2312" w:hAnsi="仿宋_GB2312" w:eastAsia="仿宋_GB2312" w:cs="仿宋_GB2312"/>
          <w:bCs w:val="0"/>
          <w:kern w:val="2"/>
          <w:sz w:val="32"/>
          <w:szCs w:val="32"/>
          <w:lang w:val="en-US" w:eastAsia="zh-CN" w:bidi="ar-SA"/>
        </w:rPr>
        <w:t>签订相关支持协议。涉及</w:t>
      </w:r>
      <w:r>
        <w:rPr>
          <w:rFonts w:hint="default" w:ascii="仿宋_GB2312" w:hAnsi="仿宋_GB2312" w:eastAsia="仿宋_GB2312" w:cs="仿宋_GB2312"/>
          <w:bCs w:val="0"/>
          <w:kern w:val="2"/>
          <w:sz w:val="32"/>
          <w:szCs w:val="32"/>
          <w:lang w:val="en-US" w:eastAsia="zh-CN" w:bidi="ar-SA"/>
        </w:rPr>
        <w:t>员工个人的支持</w:t>
      </w:r>
      <w:r>
        <w:rPr>
          <w:rFonts w:hint="eastAsia" w:ascii="仿宋_GB2312" w:hAnsi="仿宋_GB2312" w:eastAsia="仿宋_GB2312" w:cs="仿宋_GB2312"/>
          <w:bCs w:val="0"/>
          <w:kern w:val="2"/>
          <w:sz w:val="32"/>
          <w:szCs w:val="32"/>
          <w:lang w:val="en-US" w:eastAsia="zh-CN" w:bidi="ar-SA"/>
        </w:rPr>
        <w:t>，由所在企业</w:t>
      </w:r>
      <w:r>
        <w:rPr>
          <w:rFonts w:hint="default" w:ascii="仿宋_GB2312" w:hAnsi="仿宋_GB2312" w:eastAsia="仿宋_GB2312" w:cs="仿宋_GB2312"/>
          <w:bCs w:val="0"/>
          <w:kern w:val="2"/>
          <w:sz w:val="32"/>
          <w:szCs w:val="32"/>
          <w:lang w:val="en-US" w:eastAsia="zh-CN" w:bidi="ar-SA"/>
        </w:rPr>
        <w:t>根据本办法</w:t>
      </w:r>
      <w:r>
        <w:rPr>
          <w:rFonts w:hint="eastAsia" w:ascii="仿宋_GB2312" w:hAnsi="仿宋_GB2312" w:eastAsia="仿宋_GB2312" w:cs="仿宋_GB2312"/>
          <w:bCs w:val="0"/>
          <w:kern w:val="2"/>
          <w:sz w:val="32"/>
          <w:szCs w:val="32"/>
          <w:lang w:val="en-US" w:eastAsia="zh-CN" w:bidi="ar-SA"/>
        </w:rPr>
        <w:t>相关规定</w:t>
      </w:r>
      <w:r>
        <w:rPr>
          <w:rFonts w:hint="default" w:ascii="仿宋_GB2312" w:hAnsi="仿宋_GB2312" w:eastAsia="仿宋_GB2312" w:cs="仿宋_GB2312"/>
          <w:bCs w:val="0"/>
          <w:kern w:val="2"/>
          <w:sz w:val="32"/>
          <w:szCs w:val="32"/>
          <w:lang w:val="en-US" w:eastAsia="zh-CN" w:bidi="ar-SA"/>
        </w:rPr>
        <w:t>代为</w:t>
      </w:r>
      <w:r>
        <w:rPr>
          <w:rFonts w:hint="eastAsia" w:ascii="仿宋_GB2312" w:hAnsi="仿宋_GB2312" w:eastAsia="仿宋_GB2312" w:cs="仿宋_GB2312"/>
          <w:bCs w:val="0"/>
          <w:kern w:val="2"/>
          <w:sz w:val="32"/>
          <w:szCs w:val="32"/>
          <w:lang w:val="en-US" w:eastAsia="zh-CN" w:bidi="ar-SA"/>
        </w:rPr>
        <w:t>统一申请及领取</w:t>
      </w:r>
      <w:r>
        <w:rPr>
          <w:rFonts w:hint="default" w:ascii="仿宋_GB2312" w:hAnsi="仿宋_GB2312" w:eastAsia="仿宋_GB2312" w:cs="仿宋_GB2312"/>
          <w:bCs w:val="0"/>
          <w:kern w:val="2"/>
          <w:sz w:val="32"/>
          <w:szCs w:val="32"/>
          <w:lang w:val="en-US" w:eastAsia="zh-CN" w:bidi="ar-SA"/>
        </w:rPr>
        <w:t>资金</w:t>
      </w:r>
      <w:r>
        <w:rPr>
          <w:rFonts w:hint="eastAsia" w:ascii="仿宋_GB2312" w:hAnsi="仿宋_GB2312" w:eastAsia="仿宋_GB2312" w:cs="仿宋_GB2312"/>
          <w:bCs w:val="0"/>
          <w:kern w:val="2"/>
          <w:sz w:val="32"/>
          <w:szCs w:val="32"/>
          <w:lang w:val="en-US" w:eastAsia="zh-CN" w:bidi="ar-SA"/>
        </w:rPr>
        <w:t>，并将资金发放至</w:t>
      </w:r>
      <w:r>
        <w:rPr>
          <w:rFonts w:hint="default" w:ascii="仿宋_GB2312" w:hAnsi="仿宋_GB2312" w:eastAsia="仿宋_GB2312" w:cs="仿宋_GB2312"/>
          <w:bCs w:val="0"/>
          <w:kern w:val="2"/>
          <w:sz w:val="32"/>
          <w:szCs w:val="32"/>
          <w:lang w:val="en-US" w:eastAsia="zh-CN" w:bidi="ar-SA"/>
        </w:rPr>
        <w:t>员工</w:t>
      </w:r>
      <w:r>
        <w:rPr>
          <w:rFonts w:hint="eastAsia" w:ascii="仿宋_GB2312" w:hAnsi="仿宋_GB2312" w:eastAsia="仿宋_GB2312" w:cs="仿宋_GB2312"/>
          <w:bCs w:val="0"/>
          <w:kern w:val="2"/>
          <w:sz w:val="32"/>
          <w:szCs w:val="32"/>
          <w:lang w:val="en-US" w:eastAsia="zh-CN" w:bidi="ar-SA"/>
        </w:rPr>
        <w:t>个人。</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default" w:ascii="仿宋_GB2312" w:hAnsi="仿宋_GB2312" w:eastAsia="仿宋_GB2312" w:cs="仿宋_GB2312"/>
          <w:bCs w:val="0"/>
          <w:kern w:val="2"/>
          <w:sz w:val="32"/>
          <w:szCs w:val="32"/>
          <w:lang w:val="en-US" w:eastAsia="zh-CN" w:bidi="ar-SA"/>
        </w:rPr>
      </w:pPr>
      <w:r>
        <w:rPr>
          <w:rFonts w:hint="default" w:ascii="仿宋_GB2312" w:hAnsi="仿宋_GB2312" w:eastAsia="仿宋_GB2312" w:cs="仿宋_GB2312"/>
          <w:bCs w:val="0"/>
          <w:kern w:val="2"/>
          <w:sz w:val="32"/>
          <w:szCs w:val="32"/>
          <w:lang w:val="en-US" w:eastAsia="zh-CN" w:bidi="ar-SA"/>
        </w:rPr>
        <w:t>（四）</w:t>
      </w:r>
      <w:r>
        <w:rPr>
          <w:rFonts w:hint="eastAsia" w:ascii="仿宋_GB2312" w:hAnsi="仿宋_GB2312" w:eastAsia="仿宋_GB2312" w:cs="仿宋_GB2312"/>
          <w:bCs w:val="0"/>
          <w:kern w:val="2"/>
          <w:sz w:val="32"/>
          <w:szCs w:val="32"/>
          <w:lang w:val="en-US" w:eastAsia="zh-CN" w:bidi="ar-SA"/>
        </w:rPr>
        <w:t>申请材料由前海管理局</w:t>
      </w:r>
      <w:r>
        <w:rPr>
          <w:rFonts w:hint="default" w:ascii="仿宋_GB2312" w:hAnsi="仿宋_GB2312" w:eastAsia="仿宋_GB2312" w:cs="仿宋_GB2312"/>
          <w:bCs w:val="0"/>
          <w:kern w:val="2"/>
          <w:sz w:val="32"/>
          <w:szCs w:val="32"/>
          <w:lang w:val="en-US" w:eastAsia="zh-CN" w:bidi="ar-SA"/>
        </w:rPr>
        <w:t>根据本办法规定的条件，在</w:t>
      </w:r>
      <w:r>
        <w:rPr>
          <w:rFonts w:hint="eastAsia" w:ascii="仿宋_GB2312" w:hAnsi="仿宋_GB2312" w:eastAsia="仿宋_GB2312" w:cs="仿宋_GB2312"/>
          <w:bCs w:val="0"/>
          <w:kern w:val="2"/>
          <w:sz w:val="32"/>
          <w:szCs w:val="32"/>
          <w:lang w:val="en-US" w:eastAsia="zh-CN" w:bidi="ar-SA"/>
        </w:rPr>
        <w:t>申请公告中</w:t>
      </w:r>
      <w:r>
        <w:rPr>
          <w:rFonts w:hint="default" w:ascii="仿宋_GB2312" w:hAnsi="仿宋_GB2312" w:eastAsia="仿宋_GB2312" w:cs="仿宋_GB2312"/>
          <w:bCs w:val="0"/>
          <w:kern w:val="2"/>
          <w:sz w:val="32"/>
          <w:szCs w:val="32"/>
          <w:lang w:val="en-US" w:eastAsia="zh-CN" w:bidi="ar-SA"/>
        </w:rPr>
        <w:t>以申请指南的形式列明</w:t>
      </w:r>
      <w:r>
        <w:rPr>
          <w:rFonts w:hint="eastAsia" w:ascii="仿宋_GB2312" w:hAnsi="仿宋_GB2312" w:eastAsia="仿宋_GB2312" w:cs="仿宋_GB2312"/>
          <w:bCs w:val="0"/>
          <w:kern w:val="2"/>
          <w:sz w:val="32"/>
          <w:szCs w:val="32"/>
          <w:lang w:val="en-US" w:eastAsia="zh-CN" w:bidi="ar-SA"/>
        </w:rPr>
        <w:t>，</w:t>
      </w:r>
      <w:r>
        <w:rPr>
          <w:rFonts w:hint="default" w:ascii="仿宋_GB2312" w:hAnsi="仿宋_GB2312" w:eastAsia="仿宋_GB2312" w:cs="仿宋_GB2312"/>
          <w:bCs w:val="0"/>
          <w:kern w:val="2"/>
          <w:sz w:val="32"/>
          <w:szCs w:val="32"/>
          <w:lang w:val="en-US" w:eastAsia="zh-CN" w:bidi="ar-SA"/>
        </w:rPr>
        <w:t>并在前海管理局</w:t>
      </w:r>
      <w:r>
        <w:rPr>
          <w:rFonts w:hint="eastAsia" w:ascii="仿宋_GB2312" w:hAnsi="仿宋_GB2312" w:eastAsia="仿宋_GB2312" w:cs="仿宋_GB2312"/>
          <w:bCs w:val="0"/>
          <w:kern w:val="2"/>
          <w:sz w:val="32"/>
          <w:szCs w:val="32"/>
          <w:lang w:val="en-US" w:eastAsia="zh-CN" w:bidi="ar-SA"/>
        </w:rPr>
        <w:t>官方</w:t>
      </w:r>
      <w:r>
        <w:rPr>
          <w:rFonts w:hint="default" w:ascii="仿宋_GB2312" w:hAnsi="仿宋_GB2312" w:eastAsia="仿宋_GB2312" w:cs="仿宋_GB2312"/>
          <w:bCs w:val="0"/>
          <w:kern w:val="2"/>
          <w:sz w:val="32"/>
          <w:szCs w:val="32"/>
          <w:lang w:val="en-US" w:eastAsia="zh-CN" w:bidi="ar-SA"/>
        </w:rPr>
        <w:t>网站公示。</w:t>
      </w:r>
      <w:r>
        <w:rPr>
          <w:rFonts w:hint="eastAsia" w:ascii="仿宋_GB2312" w:hAnsi="仿宋_GB2312" w:eastAsia="仿宋_GB2312" w:cs="仿宋_GB2312"/>
          <w:bCs w:val="0"/>
          <w:kern w:val="2"/>
          <w:sz w:val="32"/>
          <w:szCs w:val="32"/>
          <w:lang w:val="en-US" w:eastAsia="zh-CN" w:bidi="ar-SA"/>
        </w:rPr>
        <w:t>申请</w:t>
      </w:r>
      <w:r>
        <w:rPr>
          <w:rFonts w:hint="default" w:ascii="仿宋_GB2312" w:hAnsi="仿宋_GB2312" w:eastAsia="仿宋_GB2312" w:cs="仿宋_GB2312"/>
          <w:bCs w:val="0"/>
          <w:kern w:val="2"/>
          <w:sz w:val="32"/>
          <w:szCs w:val="32"/>
          <w:lang w:val="en-US" w:eastAsia="zh-CN" w:bidi="ar-SA"/>
        </w:rPr>
        <w:t>机构</w:t>
      </w:r>
      <w:r>
        <w:rPr>
          <w:rFonts w:hint="eastAsia" w:ascii="仿宋_GB2312" w:hAnsi="仿宋_GB2312" w:eastAsia="仿宋_GB2312" w:cs="仿宋_GB2312"/>
          <w:bCs w:val="0"/>
          <w:kern w:val="2"/>
          <w:sz w:val="32"/>
          <w:szCs w:val="32"/>
          <w:lang w:val="en-US" w:eastAsia="zh-CN" w:bidi="ar-SA"/>
        </w:rPr>
        <w:t>应当对申请材料的真实性和合法性负责。</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rPr>
          <w:rFonts w:hint="default" w:ascii="仿宋_GB2312" w:hAnsi="仿宋_GB2312" w:eastAsia="仿宋_GB2312" w:cs="仿宋_GB2312"/>
          <w:bCs w:val="0"/>
          <w:kern w:val="2"/>
          <w:sz w:val="32"/>
          <w:szCs w:val="32"/>
          <w:lang w:val="en-US" w:eastAsia="zh-CN" w:bidi="ar-SA"/>
        </w:rPr>
      </w:pPr>
      <w:r>
        <w:rPr>
          <w:rFonts w:hint="default" w:ascii="仿宋_GB2312" w:hAnsi="仿宋_GB2312" w:eastAsia="仿宋_GB2312" w:cs="仿宋_GB2312"/>
          <w:bCs w:val="0"/>
          <w:kern w:val="2"/>
          <w:sz w:val="32"/>
          <w:szCs w:val="32"/>
          <w:lang w:val="en-US" w:eastAsia="zh-CN" w:bidi="ar-SA"/>
        </w:rPr>
        <w:t>（五）申请材料符合要求的，前海管理局应当受理并在</w:t>
      </w:r>
      <w:r>
        <w:rPr>
          <w:rFonts w:hint="default" w:ascii="仿宋_GB2312" w:hAnsi="仿宋_GB2312" w:eastAsia="仿宋_GB2312" w:cs="仿宋_GB2312"/>
          <w:bCs w:val="0"/>
          <w:kern w:val="2"/>
          <w:sz w:val="32"/>
          <w:szCs w:val="32"/>
          <w:lang w:eastAsia="zh-CN" w:bidi="ar-SA"/>
        </w:rPr>
        <w:t>8</w:t>
      </w:r>
      <w:r>
        <w:rPr>
          <w:rFonts w:hint="eastAsia" w:ascii="仿宋_GB2312" w:hAnsi="仿宋_GB2312" w:eastAsia="仿宋_GB2312" w:cs="仿宋_GB2312"/>
          <w:bCs w:val="0"/>
          <w:kern w:val="2"/>
          <w:sz w:val="32"/>
          <w:szCs w:val="32"/>
          <w:lang w:val="en-US" w:eastAsia="zh-CN" w:bidi="ar-SA"/>
        </w:rPr>
        <w:t>0</w:t>
      </w:r>
      <w:r>
        <w:rPr>
          <w:rFonts w:hint="default" w:ascii="仿宋_GB2312" w:hAnsi="仿宋_GB2312" w:eastAsia="仿宋_GB2312" w:cs="仿宋_GB2312"/>
          <w:bCs w:val="0"/>
          <w:kern w:val="2"/>
          <w:sz w:val="32"/>
          <w:szCs w:val="32"/>
          <w:lang w:val="en-US" w:eastAsia="zh-CN" w:bidi="ar-SA"/>
        </w:rPr>
        <w:t>个工作日内完成审核。</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Style w:val="7"/>
          <w:rFonts w:hint="default" w:ascii="黑体" w:hAnsi="黑体" w:eastAsia="黑体" w:cstheme="minorBidi"/>
          <w:color w:val="auto"/>
          <w:sz w:val="32"/>
          <w:szCs w:val="32"/>
          <w:highlight w:val="none"/>
          <w:lang w:eastAsia="zh-CN"/>
        </w:rPr>
      </w:pPr>
      <w:r>
        <w:rPr>
          <w:rStyle w:val="7"/>
          <w:rFonts w:hint="default" w:ascii="黑体" w:hAnsi="黑体" w:eastAsia="黑体" w:cstheme="minorBidi"/>
          <w:color w:val="auto"/>
          <w:sz w:val="32"/>
          <w:szCs w:val="32"/>
          <w:highlight w:val="none"/>
          <w:lang w:eastAsia="zh-CN"/>
        </w:rPr>
        <w:t>四、其他</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textAlignment w:val="baseline"/>
        <w:rPr>
          <w:rFonts w:hint="default" w:ascii="仿宋_GB2312" w:hAnsi="仿宋_GB2312" w:eastAsia="仿宋_GB2312" w:cs="仿宋_GB2312"/>
          <w:bCs w:val="0"/>
          <w:kern w:val="2"/>
          <w:sz w:val="32"/>
          <w:szCs w:val="32"/>
          <w:lang w:val="en-US" w:eastAsia="zh-CN" w:bidi="ar-SA"/>
        </w:rPr>
      </w:pPr>
      <w:r>
        <w:rPr>
          <w:rFonts w:hint="default" w:ascii="仿宋_GB2312" w:hAnsi="仿宋_GB2312" w:eastAsia="仿宋_GB2312" w:cs="仿宋_GB2312"/>
          <w:bCs w:val="0"/>
          <w:kern w:val="2"/>
          <w:sz w:val="32"/>
          <w:szCs w:val="32"/>
          <w:lang w:val="en-US" w:eastAsia="zh-CN" w:bidi="ar-SA"/>
        </w:rPr>
        <w:t>（一）</w:t>
      </w:r>
      <w:r>
        <w:rPr>
          <w:rFonts w:hint="eastAsia" w:ascii="仿宋_GB2312" w:hAnsi="仿宋_GB2312" w:eastAsia="仿宋_GB2312" w:cs="仿宋_GB2312"/>
          <w:bCs w:val="0"/>
          <w:kern w:val="2"/>
          <w:sz w:val="32"/>
          <w:szCs w:val="32"/>
          <w:lang w:val="en-US" w:eastAsia="zh-CN" w:bidi="ar-SA"/>
        </w:rPr>
        <w:t>享受本</w:t>
      </w:r>
      <w:r>
        <w:rPr>
          <w:rFonts w:hint="default" w:ascii="仿宋_GB2312" w:hAnsi="仿宋_GB2312" w:eastAsia="仿宋_GB2312" w:cs="仿宋_GB2312"/>
          <w:bCs w:val="0"/>
          <w:kern w:val="2"/>
          <w:sz w:val="32"/>
          <w:szCs w:val="32"/>
          <w:lang w:val="en-US" w:eastAsia="zh-CN" w:bidi="ar-SA"/>
        </w:rPr>
        <w:t>扶持</w:t>
      </w:r>
      <w:r>
        <w:rPr>
          <w:rFonts w:hint="eastAsia" w:ascii="仿宋_GB2312" w:hAnsi="仿宋_GB2312" w:eastAsia="仿宋_GB2312" w:cs="仿宋_GB2312"/>
          <w:bCs w:val="0"/>
          <w:kern w:val="2"/>
          <w:sz w:val="32"/>
          <w:szCs w:val="32"/>
          <w:lang w:val="en-US" w:eastAsia="zh-CN" w:bidi="ar-SA"/>
        </w:rPr>
        <w:t>资金支持的机构应书面承诺自享受支持之日起，5年内</w:t>
      </w:r>
      <w:r>
        <w:rPr>
          <w:rFonts w:hint="default" w:ascii="仿宋_GB2312" w:hAnsi="仿宋_GB2312" w:eastAsia="仿宋_GB2312" w:cs="仿宋_GB2312"/>
          <w:bCs w:val="0"/>
          <w:kern w:val="2"/>
          <w:sz w:val="32"/>
          <w:szCs w:val="32"/>
          <w:lang w:val="en-US" w:eastAsia="zh-CN" w:bidi="ar-SA"/>
        </w:rPr>
        <w:t>在前海合作区内实际经营</w:t>
      </w:r>
      <w:r>
        <w:rPr>
          <w:rFonts w:hint="eastAsia" w:ascii="仿宋_GB2312" w:hAnsi="仿宋_GB2312" w:eastAsia="仿宋_GB2312" w:cs="仿宋_GB2312"/>
          <w:bCs w:val="0"/>
          <w:kern w:val="2"/>
          <w:sz w:val="32"/>
          <w:szCs w:val="32"/>
          <w:lang w:val="en-US" w:eastAsia="zh-CN" w:bidi="ar-SA"/>
        </w:rPr>
        <w:t>；享受国际船舶登记相关支持的企业，其“中国前海”籍船舶自享受支持之日起5年内不得变更登记船籍港</w:t>
      </w:r>
      <w:r>
        <w:rPr>
          <w:rFonts w:hint="eastAsia" w:ascii="仿宋_GB2312" w:hAnsi="仿宋_GB2312" w:eastAsia="仿宋_GB2312" w:cs="仿宋_GB2312"/>
          <w:bCs w:val="0"/>
          <w:kern w:val="2"/>
          <w:sz w:val="32"/>
          <w:szCs w:val="32"/>
          <w:lang w:val="en-US" w:eastAsia="zh-Hans" w:bidi="ar-SA"/>
        </w:rPr>
        <w:t>。</w:t>
      </w:r>
      <w:r>
        <w:rPr>
          <w:rFonts w:hint="eastAsia" w:ascii="仿宋_GB2312" w:hAnsi="仿宋_GB2312" w:eastAsia="仿宋_GB2312" w:cs="仿宋_GB2312"/>
          <w:bCs w:val="0"/>
          <w:kern w:val="2"/>
          <w:sz w:val="32"/>
          <w:szCs w:val="32"/>
          <w:lang w:val="en-US" w:eastAsia="zh-CN" w:bidi="ar-SA"/>
        </w:rPr>
        <w:t>享受新购置船舶支持的企业，相关船舶五年内所有人不得更换</w:t>
      </w:r>
      <w:r>
        <w:rPr>
          <w:rFonts w:hint="default" w:ascii="仿宋_GB2312" w:hAnsi="仿宋_GB2312" w:eastAsia="仿宋_GB2312" w:cs="仿宋_GB2312"/>
          <w:bCs w:val="0"/>
          <w:kern w:val="2"/>
          <w:sz w:val="32"/>
          <w:szCs w:val="32"/>
          <w:lang w:val="en-US" w:eastAsia="zh-CN" w:bidi="ar-SA"/>
        </w:rPr>
        <w:t>。</w:t>
      </w:r>
      <w:r>
        <w:rPr>
          <w:rFonts w:hint="eastAsia" w:ascii="仿宋_GB2312" w:hAnsi="仿宋_GB2312" w:eastAsia="仿宋_GB2312" w:cs="仿宋_GB2312"/>
          <w:bCs w:val="0"/>
          <w:kern w:val="2"/>
          <w:sz w:val="32"/>
          <w:szCs w:val="32"/>
          <w:lang w:val="en-US" w:eastAsia="zh-CN" w:bidi="ar-SA"/>
        </w:rPr>
        <w:t>5年内</w:t>
      </w:r>
      <w:r>
        <w:rPr>
          <w:rFonts w:hint="default" w:ascii="仿宋_GB2312" w:hAnsi="仿宋_GB2312" w:eastAsia="仿宋_GB2312" w:cs="仿宋_GB2312"/>
          <w:bCs w:val="0"/>
          <w:kern w:val="2"/>
          <w:sz w:val="32"/>
          <w:szCs w:val="32"/>
          <w:lang w:val="en-US" w:eastAsia="zh-CN" w:bidi="ar-SA"/>
        </w:rPr>
        <w:t>存在相关</w:t>
      </w:r>
      <w:r>
        <w:rPr>
          <w:rFonts w:hint="eastAsia" w:ascii="仿宋_GB2312" w:hAnsi="仿宋_GB2312" w:eastAsia="仿宋_GB2312" w:cs="仿宋_GB2312"/>
          <w:bCs w:val="0"/>
          <w:kern w:val="2"/>
          <w:sz w:val="32"/>
          <w:szCs w:val="32"/>
          <w:lang w:val="en-US" w:eastAsia="zh-Hans" w:bidi="ar-SA"/>
        </w:rPr>
        <w:t>违反情形的</w:t>
      </w:r>
      <w:r>
        <w:rPr>
          <w:rFonts w:hint="eastAsia" w:ascii="仿宋_GB2312" w:hAnsi="仿宋_GB2312" w:eastAsia="仿宋_GB2312" w:cs="仿宋_GB2312"/>
          <w:bCs w:val="0"/>
          <w:kern w:val="2"/>
          <w:sz w:val="32"/>
          <w:szCs w:val="32"/>
          <w:lang w:val="en-US" w:eastAsia="zh-CN" w:bidi="ar-SA"/>
        </w:rPr>
        <w:t>的，按年度平均分摊年度支持资金，应按规定返还剩余年度支持资金并按当期贷款市场报价利率（LPR）计息，但另有规定的除外。</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textAlignment w:val="baseline"/>
        <w:rPr>
          <w:rFonts w:hint="default" w:ascii="仿宋_GB2312" w:hAnsi="仿宋_GB2312" w:eastAsia="仿宋_GB2312" w:cs="仿宋_GB2312"/>
          <w:bCs w:val="0"/>
          <w:kern w:val="2"/>
          <w:sz w:val="32"/>
          <w:szCs w:val="32"/>
          <w:lang w:val="en-US" w:eastAsia="zh-CN" w:bidi="ar-SA"/>
        </w:rPr>
      </w:pPr>
      <w:r>
        <w:rPr>
          <w:rFonts w:hint="default" w:ascii="仿宋_GB2312" w:hAnsi="仿宋_GB2312" w:eastAsia="仿宋_GB2312" w:cs="仿宋_GB2312"/>
          <w:bCs w:val="0"/>
          <w:kern w:val="2"/>
          <w:sz w:val="32"/>
          <w:szCs w:val="32"/>
          <w:lang w:val="en-US" w:eastAsia="zh-CN" w:bidi="ar-SA"/>
        </w:rPr>
        <w:t>（二）</w:t>
      </w:r>
      <w:r>
        <w:rPr>
          <w:rFonts w:hint="eastAsia" w:ascii="仿宋_GB2312" w:hAnsi="仿宋_GB2312" w:eastAsia="仿宋_GB2312" w:cs="仿宋_GB2312"/>
          <w:bCs w:val="0"/>
          <w:kern w:val="2"/>
          <w:sz w:val="32"/>
          <w:szCs w:val="32"/>
          <w:lang w:val="en-US" w:eastAsia="zh-CN" w:bidi="ar-SA"/>
        </w:rPr>
        <w:t>已取得前海合作区产业用地并签署产业发展监管协议的企业违反产业监管协议中关于物业持有、在地经营时限等核心条款约定的，自前海管理局发出违约提示函之日起，应按规定返还支持资金并按当期贷款市场报价利率（LPR）计息</w:t>
      </w:r>
      <w:r>
        <w:rPr>
          <w:rFonts w:hint="default" w:ascii="仿宋_GB2312" w:hAnsi="仿宋_GB2312" w:eastAsia="仿宋_GB2312" w:cs="仿宋_GB2312"/>
          <w:bCs w:val="0"/>
          <w:kern w:val="2"/>
          <w:sz w:val="32"/>
          <w:szCs w:val="32"/>
          <w:lang w:val="en-US" w:eastAsia="zh-CN" w:bidi="ar-SA"/>
        </w:rPr>
        <w:t>。</w:t>
      </w:r>
    </w:p>
    <w:p>
      <w:pPr>
        <w:pStyle w:val="8"/>
        <w:keepNext w:val="0"/>
        <w:keepLines w:val="0"/>
        <w:pageBreakBefore w:val="0"/>
        <w:kinsoku/>
        <w:wordWrap/>
        <w:overflowPunct/>
        <w:topLinePunct w:val="0"/>
        <w:autoSpaceDE/>
        <w:autoSpaceDN/>
        <w:bidi w:val="0"/>
        <w:adjustRightInd/>
        <w:snapToGrid/>
        <w:spacing w:line="560" w:lineRule="exact"/>
        <w:ind w:left="0" w:firstLine="640" w:firstLineChars="200"/>
        <w:textAlignment w:val="baseline"/>
        <w:rPr>
          <w:rFonts w:hint="eastAsia" w:ascii="仿宋_GB2312" w:hAnsi="仿宋_GB2312" w:eastAsia="仿宋_GB2312" w:cs="仿宋_GB2312"/>
          <w:bCs w:val="0"/>
          <w:kern w:val="2"/>
          <w:sz w:val="32"/>
          <w:szCs w:val="32"/>
          <w:lang w:val="en-US" w:eastAsia="zh-CN" w:bidi="ar-SA"/>
        </w:rPr>
      </w:pPr>
      <w:r>
        <w:rPr>
          <w:rFonts w:hint="default" w:ascii="仿宋_GB2312" w:hAnsi="仿宋_GB2312" w:eastAsia="仿宋_GB2312" w:cs="仿宋_GB2312"/>
          <w:bCs w:val="0"/>
          <w:kern w:val="2"/>
          <w:sz w:val="32"/>
          <w:szCs w:val="32"/>
          <w:lang w:val="en-US" w:eastAsia="zh-CN" w:bidi="ar-SA"/>
        </w:rPr>
        <w:t>（三）</w:t>
      </w:r>
      <w:r>
        <w:rPr>
          <w:rFonts w:hint="eastAsia" w:ascii="仿宋_GB2312" w:hAnsi="仿宋_GB2312" w:eastAsia="仿宋_GB2312" w:cs="仿宋_GB2312"/>
          <w:bCs w:val="0"/>
          <w:kern w:val="2"/>
          <w:sz w:val="32"/>
          <w:szCs w:val="32"/>
          <w:lang w:val="en-US" w:eastAsia="zh-CN" w:bidi="ar-SA"/>
        </w:rPr>
        <w:t>申请</w:t>
      </w:r>
      <w:r>
        <w:rPr>
          <w:rFonts w:hint="default" w:ascii="仿宋_GB2312" w:hAnsi="仿宋_GB2312" w:eastAsia="仿宋_GB2312" w:cs="仿宋_GB2312"/>
          <w:bCs w:val="0"/>
          <w:kern w:val="2"/>
          <w:sz w:val="32"/>
          <w:szCs w:val="32"/>
          <w:lang w:val="en-US" w:eastAsia="zh-CN" w:bidi="ar-SA"/>
        </w:rPr>
        <w:t>机构</w:t>
      </w:r>
      <w:r>
        <w:rPr>
          <w:rFonts w:hint="eastAsia" w:ascii="仿宋_GB2312" w:hAnsi="仿宋_GB2312" w:eastAsia="仿宋_GB2312" w:cs="仿宋_GB2312"/>
          <w:bCs w:val="0"/>
          <w:kern w:val="2"/>
          <w:sz w:val="32"/>
          <w:szCs w:val="32"/>
          <w:lang w:val="en-US" w:eastAsia="zh-CN" w:bidi="ar-SA"/>
        </w:rPr>
        <w:t>在申报、执行</w:t>
      </w:r>
      <w:r>
        <w:rPr>
          <w:rFonts w:hint="default" w:ascii="仿宋_GB2312" w:hAnsi="仿宋_GB2312" w:eastAsia="仿宋_GB2312" w:cs="仿宋_GB2312"/>
          <w:bCs w:val="0"/>
          <w:kern w:val="2"/>
          <w:sz w:val="32"/>
          <w:szCs w:val="32"/>
          <w:lang w:val="en-US" w:eastAsia="zh-CN" w:bidi="ar-SA"/>
        </w:rPr>
        <w:t>扶持</w:t>
      </w:r>
      <w:r>
        <w:rPr>
          <w:rFonts w:hint="eastAsia" w:ascii="仿宋_GB2312" w:hAnsi="仿宋_GB2312" w:eastAsia="仿宋_GB2312" w:cs="仿宋_GB2312"/>
          <w:bCs w:val="0"/>
          <w:kern w:val="2"/>
          <w:sz w:val="32"/>
          <w:szCs w:val="32"/>
          <w:lang w:val="en-US" w:eastAsia="zh-CN" w:bidi="ar-SA"/>
        </w:rPr>
        <w:t>资金过程中存在弄虚作假、以其他不正当手段骗取资金、拒绝配合监督检查的，前海管理局应当收回扶持资金，并按当期贷款市场报价利率（LPR）计息，并依法依规开展信用管理。涉嫌犯罪的，依法移送司法机关处理。</w:t>
      </w:r>
    </w:p>
    <w:p>
      <w:pPr>
        <w:ind w:firstLine="640" w:firstLineChars="200"/>
        <w:rPr>
          <w:rFonts w:hint="default"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（四）</w:t>
      </w:r>
      <w:r>
        <w:rPr>
          <w:rFonts w:hint="default" w:ascii="仿宋_GB2312" w:hAnsi="仿宋_GB2312" w:eastAsia="仿宋_GB2312" w:cs="仿宋_GB2312"/>
          <w:bCs w:val="0"/>
          <w:kern w:val="2"/>
          <w:sz w:val="32"/>
          <w:szCs w:val="32"/>
          <w:lang w:val="en-US" w:eastAsia="zh-CN" w:bidi="ar-SA"/>
        </w:rPr>
        <w:t>本政策由前海管理局统一受理、审核、发放，相关资金由前海管理局财政垫付，市、行政区应承担的资金后续结算支付。</w:t>
      </w:r>
    </w:p>
    <w:p>
      <w:pPr>
        <w:ind w:firstLine="640" w:firstLineChars="200"/>
        <w:rPr>
          <w:rFonts w:hint="default" w:ascii="仿宋_GB2312" w:hAnsi="仿宋_GB2312" w:eastAsia="仿宋_GB2312" w:cs="仿宋_GB2312"/>
          <w:bCs w:val="0"/>
          <w:kern w:val="2"/>
          <w:sz w:val="32"/>
          <w:szCs w:val="32"/>
          <w:lang w:val="en-US" w:eastAsia="zh-CN" w:bidi="ar-SA"/>
        </w:rPr>
      </w:pPr>
      <w:r>
        <w:rPr>
          <w:rFonts w:hint="default" w:ascii="仿宋_GB2312" w:hAnsi="仿宋_GB2312" w:eastAsia="仿宋_GB2312" w:cs="仿宋_GB2312"/>
          <w:bCs w:val="0"/>
          <w:kern w:val="2"/>
          <w:sz w:val="32"/>
          <w:szCs w:val="32"/>
          <w:lang w:val="en-US" w:eastAsia="zh-CN" w:bidi="ar-SA"/>
        </w:rPr>
        <w:t xml:space="preserve">    （五）</w:t>
      </w:r>
      <w:r>
        <w:rPr>
          <w:rFonts w:hint="eastAsia" w:ascii="仿宋_GB2312" w:hAnsi="仿宋_GB2312" w:eastAsia="仿宋_GB2312" w:cs="仿宋_GB2312"/>
          <w:bCs w:val="0"/>
          <w:kern w:val="2"/>
          <w:sz w:val="32"/>
          <w:szCs w:val="32"/>
          <w:lang w:val="en-US" w:eastAsia="zh-CN" w:bidi="ar-SA"/>
        </w:rPr>
        <w:t>本办法自</w:t>
      </w:r>
      <w:r>
        <w:rPr>
          <w:rFonts w:hint="default" w:ascii="仿宋_GB2312" w:hAnsi="仿宋_GB2312" w:eastAsia="仿宋_GB2312" w:cs="仿宋_GB2312"/>
          <w:bCs w:val="0"/>
          <w:kern w:val="2"/>
          <w:sz w:val="32"/>
          <w:szCs w:val="32"/>
          <w:lang w:eastAsia="zh-CN" w:bidi="ar-SA"/>
        </w:rPr>
        <w:t xml:space="preserve"> </w:t>
      </w:r>
      <w:r>
        <w:rPr>
          <w:rFonts w:hint="eastAsia" w:ascii="仿宋_GB2312" w:hAnsi="仿宋_GB2312" w:eastAsia="仿宋_GB2312" w:cs="仿宋_GB2312"/>
          <w:bCs w:val="0"/>
          <w:kern w:val="2"/>
          <w:sz w:val="32"/>
          <w:szCs w:val="32"/>
          <w:lang w:val="en-US" w:eastAsia="zh-CN" w:bidi="ar-SA"/>
        </w:rPr>
        <w:t>年</w:t>
      </w:r>
      <w:r>
        <w:rPr>
          <w:rFonts w:hint="default" w:ascii="仿宋_GB2312" w:hAnsi="仿宋_GB2312" w:eastAsia="仿宋_GB2312" w:cs="仿宋_GB2312"/>
          <w:bCs w:val="0"/>
          <w:kern w:val="2"/>
          <w:sz w:val="32"/>
          <w:szCs w:val="32"/>
          <w:lang w:val="en-US" w:eastAsia="zh-CN" w:bidi="ar-SA"/>
        </w:rPr>
        <w:t xml:space="preserve"> </w:t>
      </w:r>
      <w:r>
        <w:rPr>
          <w:rFonts w:hint="eastAsia" w:ascii="仿宋_GB2312" w:hAnsi="仿宋_GB2312" w:eastAsia="仿宋_GB2312" w:cs="仿宋_GB2312"/>
          <w:bCs w:val="0"/>
          <w:kern w:val="2"/>
          <w:sz w:val="32"/>
          <w:szCs w:val="32"/>
          <w:lang w:val="en-US" w:eastAsia="zh-CN" w:bidi="ar-SA"/>
        </w:rPr>
        <w:t>月</w:t>
      </w:r>
      <w:r>
        <w:rPr>
          <w:rFonts w:hint="default" w:ascii="仿宋_GB2312" w:hAnsi="仿宋_GB2312" w:eastAsia="仿宋_GB2312" w:cs="仿宋_GB2312"/>
          <w:bCs w:val="0"/>
          <w:kern w:val="2"/>
          <w:sz w:val="32"/>
          <w:szCs w:val="32"/>
          <w:lang w:val="en-US" w:eastAsia="zh-CN" w:bidi="ar-SA"/>
        </w:rPr>
        <w:t xml:space="preserve"> </w:t>
      </w:r>
      <w:r>
        <w:rPr>
          <w:rFonts w:hint="eastAsia" w:ascii="仿宋_GB2312" w:hAnsi="仿宋_GB2312" w:eastAsia="仿宋_GB2312" w:cs="仿宋_GB2312"/>
          <w:bCs w:val="0"/>
          <w:kern w:val="2"/>
          <w:sz w:val="32"/>
          <w:szCs w:val="32"/>
          <w:lang w:val="en-US" w:eastAsia="zh-CN" w:bidi="ar-SA"/>
        </w:rPr>
        <w:t>日起实施，有效期三年。</w:t>
      </w:r>
      <w:r>
        <w:rPr>
          <w:rFonts w:hint="default" w:ascii="仿宋_GB2312" w:hAnsi="仿宋_GB2312" w:eastAsia="仿宋_GB2312" w:cs="仿宋_GB2312"/>
          <w:bCs w:val="0"/>
          <w:kern w:val="2"/>
          <w:sz w:val="32"/>
          <w:szCs w:val="32"/>
          <w:lang w:val="en-US" w:eastAsia="zh-CN" w:bidi="ar-SA"/>
        </w:rPr>
        <w:t>实施后，原</w:t>
      </w:r>
      <w:r>
        <w:rPr>
          <w:rFonts w:hint="eastAsia" w:ascii="仿宋_GB2312" w:hAnsi="仿宋_GB2312" w:eastAsia="仿宋_GB2312" w:cs="仿宋_GB2312"/>
          <w:bCs w:val="0"/>
          <w:kern w:val="2"/>
          <w:sz w:val="32"/>
          <w:szCs w:val="32"/>
          <w:lang w:val="en-US" w:eastAsia="zh-CN" w:bidi="ar-SA"/>
        </w:rPr>
        <w:t>《深圳市前海深港现代服务业合作区管理局促进商贸物流业高质量发展办法》</w:t>
      </w:r>
      <w:r>
        <w:rPr>
          <w:rFonts w:hint="default" w:ascii="仿宋_GB2312" w:hAnsi="仿宋_GB2312" w:eastAsia="仿宋_GB2312" w:cs="仿宋_GB2312"/>
          <w:bCs w:val="0"/>
          <w:kern w:val="2"/>
          <w:sz w:val="32"/>
          <w:szCs w:val="32"/>
          <w:lang w:val="en-US" w:eastAsia="zh-CN" w:bidi="ar-SA"/>
        </w:rPr>
        <w:t>第二十、二十一、二十二、二十五条款自动废止。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66B3E2-7773-4C0A-87D7-110216CFA3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B4AD0A8-6F62-434E-9C7E-83A5FE154FA5}"/>
  </w:font>
  <w:font w:name="方正小标宋简体">
    <w:panose1 w:val="02000000000000000000"/>
    <w:charset w:val="86"/>
    <w:family w:val="auto"/>
    <w:pitch w:val="default"/>
    <w:sig w:usb0="00000001" w:usb1="08000000" w:usb2="00000000" w:usb3="00000000" w:csb0="00040000" w:csb1="00000000"/>
    <w:embedRegular r:id="rId3" w:fontKey="{E073C2CD-7B90-4688-AE30-33E2E5BEA368}"/>
  </w:font>
  <w:font w:name="楷体_GB2312">
    <w:altName w:val="楷体"/>
    <w:panose1 w:val="02010609030101010101"/>
    <w:charset w:val="86"/>
    <w:family w:val="auto"/>
    <w:pitch w:val="default"/>
    <w:sig w:usb0="00000000" w:usb1="00000000" w:usb2="00000000" w:usb3="00000000" w:csb0="00040000" w:csb1="00000000"/>
    <w:embedRegular r:id="rId4" w:fontKey="{648EDD2A-95D9-4F8E-8946-52C726F1C7CF}"/>
  </w:font>
  <w:font w:name="CESI楷体-GB2312">
    <w:altName w:val="宋体"/>
    <w:panose1 w:val="02000500000000000000"/>
    <w:charset w:val="86"/>
    <w:family w:val="auto"/>
    <w:pitch w:val="default"/>
    <w:sig w:usb0="00000000" w:usb1="00000000" w:usb2="00000012" w:usb3="00000000" w:csb0="0004000F" w:csb1="00000000"/>
    <w:embedRegular r:id="rId5" w:fontKey="{E6CF251C-821A-427E-8D70-81D6EC6FB0FA}"/>
  </w:font>
  <w:font w:name="仿宋_GB2312">
    <w:panose1 w:val="02010609030101010101"/>
    <w:charset w:val="86"/>
    <w:family w:val="auto"/>
    <w:pitch w:val="default"/>
    <w:sig w:usb0="00000001" w:usb1="080E0000" w:usb2="00000000" w:usb3="00000000" w:csb0="00040000" w:csb1="00000000"/>
    <w:embedRegular r:id="rId6" w:fontKey="{08A1568E-2C07-41FD-AEFD-B79F4EB68FE3}"/>
  </w:font>
  <w:font w:name="华文仿宋">
    <w:panose1 w:val="02010600040101010101"/>
    <w:charset w:val="86"/>
    <w:family w:val="auto"/>
    <w:pitch w:val="default"/>
    <w:sig w:usb0="00000287" w:usb1="080F0000" w:usb2="00000000" w:usb3="00000000" w:csb0="0004009F" w:csb1="DFD70000"/>
    <w:embedRegular r:id="rId7" w:fontKey="{4A36C5A1-D5B5-40DA-BD23-552C6DD743E0}"/>
  </w:font>
  <w:font w:name="东文宋体">
    <w:altName w:val="宋体"/>
    <w:panose1 w:val="00000000000000000000"/>
    <w:charset w:val="00"/>
    <w:family w:val="auto"/>
    <w:pitch w:val="default"/>
    <w:sig w:usb0="00000000" w:usb1="00000000" w:usb2="00000000" w:usb3="00000000" w:csb0="00040001" w:csb1="00000000"/>
    <w:embedRegular r:id="rId8" w:fontKey="{654BA030-A6E2-42ED-9C57-571921904170}"/>
  </w:font>
  <w:font w:name="CESI仿宋-GB2312">
    <w:altName w:val="仿宋"/>
    <w:panose1 w:val="02000500000000000000"/>
    <w:charset w:val="86"/>
    <w:family w:val="auto"/>
    <w:pitch w:val="default"/>
    <w:sig w:usb0="00000000" w:usb1="00000000" w:usb2="00000010" w:usb3="00000000" w:csb0="0004000F" w:csb1="00000000"/>
    <w:embedRegular r:id="rId9" w:fontKey="{27F78BDB-7837-4F15-B93A-970D470584E8}"/>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49260474"/>
    <w:rsid w:val="4926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ind w:left="2100" w:leftChars="100" w:right="100" w:rightChars="100"/>
      <w:jc w:val="left"/>
      <w:outlineLvl w:val="0"/>
    </w:pPr>
    <w:rPr>
      <w:rFonts w:eastAsia="黑体"/>
      <w:bCs/>
      <w:kern w:val="44"/>
      <w:sz w:val="32"/>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3"/>
    <w:basedOn w:val="1"/>
    <w:unhideWhenUsed/>
    <w:qFormat/>
    <w:uiPriority w:val="99"/>
    <w:pPr>
      <w:spacing w:after="120"/>
      <w:ind w:left="420" w:leftChars="200"/>
    </w:pPr>
    <w:rPr>
      <w:sz w:val="16"/>
      <w:szCs w:val="16"/>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_0"/>
    <w:next w:val="2"/>
    <w:qFormat/>
    <w:uiPriority w:val="0"/>
    <w:pPr>
      <w:widowControl w:val="0"/>
      <w:jc w:val="both"/>
    </w:pPr>
    <w:rPr>
      <w:rFonts w:ascii="Calibri" w:hAnsi="Calibri" w:eastAsia="宋体" w:cs="宋体"/>
      <w:kern w:val="2"/>
      <w:sz w:val="21"/>
      <w:szCs w:val="22"/>
      <w:lang w:val="en-US" w:eastAsia="zh-CN" w:bidi="ar-SA"/>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2023-09-12T09:57:00Z</dcterms:created>
  <dc:creator>阿营</dc:creator>
  <cp:lastModifiedBy>阿营</cp:lastModifiedBy>
  <dcterms:modified xsi:type="dcterms:W3CDTF">2023-09-12T09:57:57Z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EA20B48ED8ED46288A967E9AB137D696_11</vt:lpwstr>
  </property>
</Properties>
</file>