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华文中宋" w:hAnsi="华文中宋" w:eastAsia="华文中宋"/>
          <w:b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《</w:t>
      </w:r>
      <w:r>
        <w:rPr>
          <w:rFonts w:hint="eastAsia" w:ascii="华文中宋" w:hAnsi="华文中宋" w:eastAsia="华文中宋"/>
          <w:b/>
          <w:sz w:val="44"/>
          <w:szCs w:val="44"/>
        </w:rPr>
        <w:t>深圳市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市场监督管理局</w:t>
      </w:r>
      <w:r>
        <w:rPr>
          <w:rFonts w:hint="eastAsia" w:ascii="华文中宋" w:hAnsi="华文中宋" w:eastAsia="华文中宋"/>
          <w:b/>
          <w:sz w:val="44"/>
          <w:szCs w:val="44"/>
        </w:rPr>
        <w:t>知识产权保护工作站管理办法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（征求意见稿）》</w:t>
      </w:r>
      <w:r>
        <w:rPr>
          <w:rFonts w:hint="eastAsia" w:ascii="华文中宋" w:hAnsi="华文中宋" w:eastAsia="华文中宋"/>
          <w:b/>
          <w:sz w:val="44"/>
          <w:szCs w:val="44"/>
        </w:rPr>
        <w:t>起草说明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华文中宋" w:hAnsi="华文中宋" w:eastAsia="华文中宋"/>
          <w:sz w:val="44"/>
          <w:szCs w:val="44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背景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和必要性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2019年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11月</w:t>
      </w:r>
      <w:r>
        <w:rPr>
          <w:rFonts w:hint="eastAsia" w:ascii="仿宋_GB2312" w:eastAsia="仿宋_GB2312"/>
          <w:sz w:val="32"/>
          <w:szCs w:val="32"/>
        </w:rPr>
        <w:t>，中共中央办公厅、国务院办公厅印发《关于强化知识产权保护的意见》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提出要建立健全社会共治模式，鼓励行业协会、商会建立知识产权保护自律和信息沟通机制。</w:t>
      </w:r>
      <w:r>
        <w:rPr>
          <w:rFonts w:hint="eastAsia" w:ascii="仿宋_GB2312" w:eastAsia="仿宋_GB2312"/>
          <w:sz w:val="32"/>
          <w:szCs w:val="32"/>
          <w:lang w:eastAsia="zh-CN"/>
        </w:rPr>
        <w:t>我市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关于强化知识产权保护的政策文件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提出，鼓励行业协会、商会建立知识产权保护工作站。《广东省知识产权保护条例》和《深圳经济特区知识产权保护条例》也就行业自律作出了明确规定。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近年来，市市场监管局（知识产权局）落实中央、广东省、深圳市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关于强化知识产权保护的决策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部署,围绕我市“20+8”战略性新兴产业和重点产业，推动</w:t>
      </w:r>
      <w:r>
        <w:rPr>
          <w:rFonts w:hint="eastAsia" w:ascii="仿宋_GB2312" w:eastAsia="仿宋_GB2312"/>
          <w:sz w:val="32"/>
          <w:szCs w:val="32"/>
        </w:rPr>
        <w:t>行业协会、商会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立知识产权保护工作站（以下简称“工作站”）135家，覆盖企业超10万家。工作站为企业精准提供信息检索、法律咨询、维权援助、纠纷调处、管理规范等知识产权保护服务，打通知识产权保护服务企业“最后一公里”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建立关于工作站的建设和管理规范，有利于推动工作站的规范化建设，进一步提升工作站为企业和公众提供知识产权保护服务的能力。为此，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结合有关政策、法规和深圳实际，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起草了《深圳市市场监督管理局知识产权保护工作站管理办法（征求意见稿）》（以下简称《管理办法（征求意见稿）》）。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26" w:firstLine="642" w:firstLineChars="200"/>
        <w:textAlignment w:val="auto"/>
        <w:rPr>
          <w:rFonts w:ascii="黑体" w:hAnsi="华文中宋" w:eastAsia="黑体"/>
          <w:b/>
          <w:bCs/>
          <w:sz w:val="32"/>
          <w:szCs w:val="32"/>
        </w:rPr>
      </w:pPr>
      <w:r>
        <w:rPr>
          <w:rFonts w:hint="eastAsia" w:ascii="黑体" w:hAnsi="华文中宋" w:eastAsia="黑体"/>
          <w:b/>
          <w:bCs/>
          <w:sz w:val="32"/>
          <w:szCs w:val="32"/>
        </w:rPr>
        <w:t>二、</w:t>
      </w:r>
      <w:r>
        <w:rPr>
          <w:rFonts w:hint="eastAsia" w:ascii="黑体" w:hAnsi="华文中宋" w:eastAsia="黑体"/>
          <w:b/>
          <w:bCs/>
          <w:sz w:val="32"/>
          <w:szCs w:val="32"/>
          <w:lang w:eastAsia="zh-CN"/>
        </w:rPr>
        <w:t>起草</w:t>
      </w:r>
      <w:r>
        <w:rPr>
          <w:rFonts w:hint="eastAsia" w:ascii="黑体" w:hAnsi="华文中宋" w:eastAsia="黑体"/>
          <w:b/>
          <w:bCs/>
          <w:sz w:val="32"/>
          <w:szCs w:val="32"/>
        </w:rPr>
        <w:t>过程及主要内容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（一）起草过程。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前期经多方调研，我局认真研究了国家、省相关文件精神和法规规定，参考多个省、市的制度规定和先进经验，结合我市实际情况，起草完成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《管理办法（征求意见稿）》。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2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（二）主要内容。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《管理办法（征求意见稿）》共分为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章</w:t>
      </w:r>
      <w:r>
        <w:rPr>
          <w:rFonts w:hint="eastAsia" w:ascii="仿宋_GB2312" w:eastAsia="仿宋_GB2312"/>
          <w:sz w:val="32"/>
          <w:szCs w:val="32"/>
          <w:lang w:eastAsia="zh-CN"/>
        </w:rPr>
        <w:t>三十条</w:t>
      </w:r>
      <w:r>
        <w:rPr>
          <w:rFonts w:hint="eastAsia" w:ascii="仿宋_GB2312" w:eastAsia="仿宋_GB2312"/>
          <w:sz w:val="32"/>
          <w:szCs w:val="32"/>
        </w:rPr>
        <w:t>，分别为总则、工作站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备案</w:t>
      </w:r>
      <w:r>
        <w:rPr>
          <w:rFonts w:hint="eastAsia" w:ascii="仿宋_GB2312" w:eastAsia="仿宋_GB2312"/>
          <w:sz w:val="32"/>
          <w:szCs w:val="32"/>
        </w:rPr>
        <w:t>、工作站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工作内容</w:t>
      </w:r>
      <w:r>
        <w:rPr>
          <w:rFonts w:hint="eastAsia" w:ascii="仿宋_GB2312" w:eastAsia="仿宋_GB2312"/>
          <w:sz w:val="32"/>
          <w:szCs w:val="32"/>
        </w:rPr>
        <w:t>、工作站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管理和</w:t>
      </w:r>
      <w:r>
        <w:rPr>
          <w:rFonts w:hint="eastAsia" w:ascii="仿宋_GB2312" w:eastAsia="仿宋_GB2312"/>
          <w:sz w:val="32"/>
          <w:szCs w:val="32"/>
        </w:rPr>
        <w:t>附则。</w:t>
      </w:r>
      <w:r>
        <w:rPr>
          <w:rFonts w:hint="eastAsia" w:ascii="仿宋_GB2312" w:eastAsia="仿宋_GB2312"/>
          <w:sz w:val="32"/>
          <w:szCs w:val="32"/>
          <w:lang w:eastAsia="zh-CN"/>
        </w:rPr>
        <w:t>主要内容如下：</w:t>
      </w:r>
    </w:p>
    <w:p>
      <w:pPr>
        <w:spacing w:line="560" w:lineRule="exact"/>
        <w:ind w:firstLine="642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1.关于工作站的建设主体。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行业协会、商会、产业园区和商品交易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市场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管理方等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具有法人资格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的组织可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自主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设立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工作站</w:t>
      </w:r>
      <w:r>
        <w:rPr>
          <w:rFonts w:hint="eastAsia"/>
          <w:b w:val="0"/>
          <w:bCs w:val="0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行业协会、商会根据需要可以设立工作站的分站。</w:t>
      </w:r>
    </w:p>
    <w:p>
      <w:pPr>
        <w:spacing w:line="560" w:lineRule="exact"/>
        <w:ind w:firstLine="642" w:firstLineChars="200"/>
        <w:rPr>
          <w:rFonts w:hint="eastAsia" w:ascii="仿宋_GB2312" w:hAnsi="仿宋_GB2312" w:eastAsia="仿宋_GB2312" w:cs="仿宋_GB2312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2.关于工作站的建设和管理原则。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工作站的建设和管理遵循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自主建设、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自愿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备案、定期评价、动态管理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的原则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560" w:lineRule="exact"/>
        <w:ind w:left="0" w:leftChars="0" w:firstLine="642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3.关于工作站备案。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采取设立后自愿备案方式。申请备案应当具备以下条件：设立主体需成立满1年以上；具有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保障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维持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工作站正常运行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所需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场地、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设施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及资金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熟悉知识产权相关法律法规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政策；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配备至少1名专职或兼职的知识产权工作人员；建立知识产权保护工作制度；设立主体、工作站负责人及工作人员未被列入严重违法失信名单。</w:t>
      </w:r>
    </w:p>
    <w:p>
      <w:pPr>
        <w:numPr>
          <w:ilvl w:val="-1"/>
          <w:numId w:val="0"/>
        </w:numPr>
        <w:spacing w:line="560" w:lineRule="exact"/>
        <w:ind w:firstLine="642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4.关于工作站工作内容。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工作站提供知识产权保护综合服务，主要包括：信息咨询、宣传培训、业务指导、维权援助、纠纷调解、自律管理、沟通合作、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监测分析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，以及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配合知识产权管理部门开展知识产权保护工作等。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5.关于对工作站年度评价。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年度评价采取书面评审的方式开展，必要时可组织开展实地核查。年度评价结果分为优秀、良好、合格和不合格四个等次。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6.关于退出机制。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对符合下列情形之一的，取消工作站（含分站）备案：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设立主体申请取消备案；设立主体已被吊销、注销或撤销；工作站连续两年度不参加评价或评价结果为“不合格”等次；设立主体存在严重违法失信行为，已不符合工作站备案条件；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在备案过程中存在提交虚假材料等欺骗手段情节严重及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其他应予取消备案的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情形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特此说明。</w:t>
      </w:r>
    </w:p>
    <w:sectPr>
      <w:footerReference r:id="rId3" w:type="default"/>
      <w:pgSz w:w="11906" w:h="16838"/>
      <w:pgMar w:top="1701" w:right="158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47381058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EAD578"/>
    <w:multiLevelType w:val="singleLevel"/>
    <w:tmpl w:val="71EAD578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3ZmU5ZWRjNzE0MjBjZTdmNDk0MjNiOGRkZDQ4OTAifQ=="/>
  </w:docVars>
  <w:rsids>
    <w:rsidRoot w:val="00671F6B"/>
    <w:rsid w:val="000425FA"/>
    <w:rsid w:val="000637EC"/>
    <w:rsid w:val="00072541"/>
    <w:rsid w:val="00075431"/>
    <w:rsid w:val="000E0330"/>
    <w:rsid w:val="00132228"/>
    <w:rsid w:val="00226B09"/>
    <w:rsid w:val="002468BC"/>
    <w:rsid w:val="002631B1"/>
    <w:rsid w:val="002B551F"/>
    <w:rsid w:val="002B6E1D"/>
    <w:rsid w:val="002C4F18"/>
    <w:rsid w:val="002F1598"/>
    <w:rsid w:val="00344EEF"/>
    <w:rsid w:val="003B6710"/>
    <w:rsid w:val="003D7E7F"/>
    <w:rsid w:val="0042346C"/>
    <w:rsid w:val="004328DF"/>
    <w:rsid w:val="004477AD"/>
    <w:rsid w:val="00485F0C"/>
    <w:rsid w:val="004C011D"/>
    <w:rsid w:val="004F3FE3"/>
    <w:rsid w:val="004F61F0"/>
    <w:rsid w:val="00506420"/>
    <w:rsid w:val="005B39B7"/>
    <w:rsid w:val="005C2481"/>
    <w:rsid w:val="005F3704"/>
    <w:rsid w:val="00604F9C"/>
    <w:rsid w:val="006150A5"/>
    <w:rsid w:val="006242E6"/>
    <w:rsid w:val="006269F6"/>
    <w:rsid w:val="0063655D"/>
    <w:rsid w:val="00636888"/>
    <w:rsid w:val="006453BC"/>
    <w:rsid w:val="00671F6B"/>
    <w:rsid w:val="00677C8A"/>
    <w:rsid w:val="00707AF2"/>
    <w:rsid w:val="007243B0"/>
    <w:rsid w:val="00725D77"/>
    <w:rsid w:val="007912BB"/>
    <w:rsid w:val="007D655B"/>
    <w:rsid w:val="007E524E"/>
    <w:rsid w:val="00805EEF"/>
    <w:rsid w:val="008A481A"/>
    <w:rsid w:val="00907592"/>
    <w:rsid w:val="00931512"/>
    <w:rsid w:val="00936322"/>
    <w:rsid w:val="00936E23"/>
    <w:rsid w:val="00940CB2"/>
    <w:rsid w:val="009B2977"/>
    <w:rsid w:val="009B32DC"/>
    <w:rsid w:val="009B7A42"/>
    <w:rsid w:val="009F2926"/>
    <w:rsid w:val="00A3101A"/>
    <w:rsid w:val="00A46484"/>
    <w:rsid w:val="00AB264A"/>
    <w:rsid w:val="00AF08AA"/>
    <w:rsid w:val="00B41FEB"/>
    <w:rsid w:val="00B8708C"/>
    <w:rsid w:val="00B91219"/>
    <w:rsid w:val="00BC6A69"/>
    <w:rsid w:val="00BE0951"/>
    <w:rsid w:val="00C5509E"/>
    <w:rsid w:val="00C87774"/>
    <w:rsid w:val="00C92195"/>
    <w:rsid w:val="00CB5E26"/>
    <w:rsid w:val="00D02776"/>
    <w:rsid w:val="00D475D8"/>
    <w:rsid w:val="00DF1730"/>
    <w:rsid w:val="00DF39BF"/>
    <w:rsid w:val="00E211F4"/>
    <w:rsid w:val="00EE2449"/>
    <w:rsid w:val="00EE7525"/>
    <w:rsid w:val="00EF099E"/>
    <w:rsid w:val="00F20D80"/>
    <w:rsid w:val="00F66E7D"/>
    <w:rsid w:val="00FA235D"/>
    <w:rsid w:val="00FA273D"/>
    <w:rsid w:val="00FB1FAF"/>
    <w:rsid w:val="00FB3978"/>
    <w:rsid w:val="00FB4A10"/>
    <w:rsid w:val="04413348"/>
    <w:rsid w:val="07D9618C"/>
    <w:rsid w:val="096D721A"/>
    <w:rsid w:val="0A1365C9"/>
    <w:rsid w:val="0EB96530"/>
    <w:rsid w:val="1CFD3585"/>
    <w:rsid w:val="2615183A"/>
    <w:rsid w:val="2AC21A45"/>
    <w:rsid w:val="2C2B14A5"/>
    <w:rsid w:val="2FFF0AF3"/>
    <w:rsid w:val="3325167E"/>
    <w:rsid w:val="34EF9921"/>
    <w:rsid w:val="37FFA96B"/>
    <w:rsid w:val="3AF40348"/>
    <w:rsid w:val="3EDBC4FF"/>
    <w:rsid w:val="46DA4C65"/>
    <w:rsid w:val="4D9BDBDD"/>
    <w:rsid w:val="50A866AF"/>
    <w:rsid w:val="51772925"/>
    <w:rsid w:val="5775F72F"/>
    <w:rsid w:val="58451D19"/>
    <w:rsid w:val="5D272FC6"/>
    <w:rsid w:val="5FEF0F7E"/>
    <w:rsid w:val="5FFF149C"/>
    <w:rsid w:val="63CF727B"/>
    <w:rsid w:val="68E93997"/>
    <w:rsid w:val="6DF90B1B"/>
    <w:rsid w:val="6E26608B"/>
    <w:rsid w:val="6EFFE0BC"/>
    <w:rsid w:val="71DF1FE4"/>
    <w:rsid w:val="753A7533"/>
    <w:rsid w:val="75E6A2F6"/>
    <w:rsid w:val="772C530F"/>
    <w:rsid w:val="77FB4779"/>
    <w:rsid w:val="79EDAD0A"/>
    <w:rsid w:val="7BFF62BF"/>
    <w:rsid w:val="7CCD6DB3"/>
    <w:rsid w:val="7DCDAE33"/>
    <w:rsid w:val="7E6522CF"/>
    <w:rsid w:val="7EF9CE73"/>
    <w:rsid w:val="7F394B06"/>
    <w:rsid w:val="7FEA63A2"/>
    <w:rsid w:val="7FFC31B2"/>
    <w:rsid w:val="7FFFEB20"/>
    <w:rsid w:val="7FFFFBCF"/>
    <w:rsid w:val="A95D9E79"/>
    <w:rsid w:val="ABFD39F1"/>
    <w:rsid w:val="B8E1FB1D"/>
    <w:rsid w:val="B8F5C185"/>
    <w:rsid w:val="BA7F1694"/>
    <w:rsid w:val="BCDDC116"/>
    <w:rsid w:val="BFDDA11C"/>
    <w:rsid w:val="CD7F7BF4"/>
    <w:rsid w:val="D9FF88B5"/>
    <w:rsid w:val="DBBDDE27"/>
    <w:rsid w:val="DBEF0C20"/>
    <w:rsid w:val="E667757C"/>
    <w:rsid w:val="E7ED87B7"/>
    <w:rsid w:val="EC5B66C4"/>
    <w:rsid w:val="EDBF12A2"/>
    <w:rsid w:val="EF2B6CC5"/>
    <w:rsid w:val="EFFC33EA"/>
    <w:rsid w:val="F3CAC756"/>
    <w:rsid w:val="F3FD5936"/>
    <w:rsid w:val="F7EFA55A"/>
    <w:rsid w:val="FBBC8253"/>
    <w:rsid w:val="FBF7A44E"/>
    <w:rsid w:val="FBFD556B"/>
    <w:rsid w:val="FBFF0713"/>
    <w:rsid w:val="FEC36EE7"/>
    <w:rsid w:val="FFBF4E41"/>
    <w:rsid w:val="FFFEF343"/>
    <w:rsid w:val="FF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214</Words>
  <Characters>1221</Characters>
  <Lines>10</Lines>
  <Paragraphs>2</Paragraphs>
  <TotalTime>4</TotalTime>
  <ScaleCrop>false</ScaleCrop>
  <LinksUpToDate>false</LinksUpToDate>
  <CharactersWithSpaces>1433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2021-05-14T02:01:00Z</dcterms:created>
  <dc:creator>吴培娟</dc:creator>
  <cp:lastModifiedBy>linxm</cp:lastModifiedBy>
  <cp:lastPrinted>2021-05-15T07:55:00Z</cp:lastPrinted>
  <dcterms:modified xsi:type="dcterms:W3CDTF">2023-09-28T16:20:50Z</dcterms:modified>
  <cp:revision>236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A8E84BF019DE4AD5AA715FBE22819091_13</vt:lpwstr>
  </property>
</Properties>
</file>