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0" w:firstLineChars="0"/>
        <w:jc w:val="left"/>
        <w:rPr>
          <w:rFonts w:hAnsi="宋体"/>
          <w:szCs w:val="32"/>
        </w:rPr>
      </w:pPr>
      <w:r>
        <w:rPr>
          <w:rFonts w:hint="eastAsia" w:hAnsi="宋体" w:cs="仿宋_GB2312"/>
          <w:szCs w:val="32"/>
        </w:rPr>
        <w:t>附件</w:t>
      </w:r>
      <w:r>
        <w:rPr>
          <w:rFonts w:hAnsi="宋体" w:cs="仿宋_GB2312"/>
          <w:szCs w:val="32"/>
        </w:rPr>
        <w:t>3</w:t>
      </w:r>
    </w:p>
    <w:p>
      <w:pPr>
        <w:ind w:firstLine="880"/>
        <w:rPr>
          <w:rFonts w:ascii="宋体"/>
          <w:sz w:val="44"/>
          <w:szCs w:val="44"/>
        </w:rPr>
      </w:pPr>
    </w:p>
    <w:p>
      <w:pPr>
        <w:ind w:firstLine="880"/>
        <w:rPr>
          <w:rFonts w:ascii="宋体"/>
          <w:sz w:val="44"/>
          <w:szCs w:val="44"/>
        </w:rPr>
      </w:pPr>
    </w:p>
    <w:p>
      <w:pPr>
        <w:ind w:firstLine="880"/>
        <w:rPr>
          <w:rFonts w:ascii="宋体"/>
          <w:sz w:val="44"/>
          <w:szCs w:val="44"/>
        </w:rPr>
      </w:pPr>
    </w:p>
    <w:p>
      <w:pPr>
        <w:ind w:firstLine="880"/>
        <w:rPr>
          <w:rFonts w:ascii="宋体"/>
          <w:sz w:val="44"/>
          <w:szCs w:val="44"/>
        </w:rPr>
      </w:pPr>
    </w:p>
    <w:p>
      <w:pPr>
        <w:ind w:firstLine="880"/>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2018年度重点项目支出</w:t>
      </w:r>
    </w:p>
    <w:p>
      <w:pPr>
        <w:ind w:firstLine="880"/>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绩效评价报告</w:t>
      </w:r>
    </w:p>
    <w:p>
      <w:pPr>
        <w:ind w:firstLine="720"/>
        <w:jc w:val="center"/>
        <w:rPr>
          <w:rFonts w:ascii="楷体_GB2312" w:hAnsi="宋体" w:eastAsia="楷体_GB2312"/>
          <w:sz w:val="36"/>
          <w:szCs w:val="36"/>
        </w:rPr>
      </w:pPr>
    </w:p>
    <w:p>
      <w:pPr>
        <w:ind w:firstLine="720"/>
        <w:jc w:val="center"/>
        <w:rPr>
          <w:rFonts w:ascii="楷体_GB2312" w:hAnsi="宋体" w:eastAsia="楷体_GB2312"/>
          <w:sz w:val="36"/>
          <w:szCs w:val="36"/>
        </w:rPr>
      </w:pPr>
    </w:p>
    <w:p>
      <w:pPr>
        <w:ind w:firstLine="720"/>
        <w:jc w:val="center"/>
        <w:rPr>
          <w:rFonts w:ascii="楷体_GB2312" w:hAnsi="宋体" w:eastAsia="楷体_GB2312"/>
          <w:sz w:val="36"/>
          <w:szCs w:val="36"/>
        </w:rPr>
      </w:pPr>
    </w:p>
    <w:p>
      <w:pPr>
        <w:ind w:firstLine="720"/>
        <w:jc w:val="center"/>
        <w:rPr>
          <w:rFonts w:ascii="楷体_GB2312" w:hAnsi="宋体" w:eastAsia="楷体_GB2312"/>
          <w:sz w:val="36"/>
          <w:szCs w:val="36"/>
        </w:rPr>
      </w:pPr>
    </w:p>
    <w:p>
      <w:pPr>
        <w:ind w:firstLine="720"/>
        <w:jc w:val="center"/>
        <w:rPr>
          <w:rFonts w:ascii="楷体_GB2312" w:hAnsi="宋体" w:eastAsia="楷体_GB2312"/>
          <w:sz w:val="36"/>
          <w:szCs w:val="36"/>
        </w:rPr>
      </w:pPr>
    </w:p>
    <w:p>
      <w:pPr>
        <w:ind w:firstLine="720"/>
        <w:jc w:val="center"/>
        <w:rPr>
          <w:rFonts w:ascii="楷体_GB2312" w:hAnsi="宋体" w:eastAsia="楷体_GB2312"/>
          <w:sz w:val="36"/>
          <w:szCs w:val="36"/>
        </w:rPr>
      </w:pPr>
    </w:p>
    <w:p>
      <w:pPr>
        <w:ind w:firstLine="1760" w:firstLineChars="550"/>
        <w:rPr>
          <w:szCs w:val="32"/>
        </w:rPr>
      </w:pPr>
      <w:r>
        <w:rPr>
          <w:rFonts w:hint="eastAsia" w:cs="仿宋_GB2312"/>
          <w:szCs w:val="32"/>
        </w:rPr>
        <w:t>项目名称：</w:t>
      </w:r>
      <w:bookmarkStart w:id="0" w:name="_Hlk8859119"/>
      <w:r>
        <w:rPr>
          <w:rFonts w:hint="eastAsia"/>
        </w:rPr>
        <w:t>普法宣传经费</w:t>
      </w:r>
    </w:p>
    <w:bookmarkEnd w:id="0"/>
    <w:p>
      <w:pPr>
        <w:ind w:firstLine="1760" w:firstLineChars="550"/>
        <w:rPr>
          <w:rFonts w:cs="仿宋_GB2312"/>
          <w:szCs w:val="32"/>
        </w:rPr>
      </w:pPr>
      <w:r>
        <w:rPr>
          <w:rFonts w:hint="eastAsia" w:cs="仿宋_GB2312"/>
          <w:szCs w:val="32"/>
        </w:rPr>
        <w:t>主管部门（公章）：深圳市司法局</w:t>
      </w:r>
    </w:p>
    <w:p>
      <w:pPr>
        <w:ind w:firstLine="1760" w:firstLineChars="550"/>
        <w:rPr>
          <w:szCs w:val="32"/>
        </w:rPr>
      </w:pPr>
      <w:r>
        <w:rPr>
          <w:rFonts w:hint="eastAsia" w:cs="仿宋_GB2312"/>
          <w:szCs w:val="32"/>
        </w:rPr>
        <w:t>项目负责人：杨湧</w:t>
      </w:r>
    </w:p>
    <w:p>
      <w:pPr>
        <w:ind w:firstLine="1760" w:firstLineChars="550"/>
        <w:rPr>
          <w:rFonts w:cs="仿宋_GB2312"/>
          <w:szCs w:val="32"/>
        </w:rPr>
      </w:pPr>
      <w:r>
        <w:rPr>
          <w:rFonts w:hint="eastAsia" w:cs="仿宋_GB2312"/>
          <w:szCs w:val="32"/>
        </w:rPr>
        <w:t>填报人：师健</w:t>
      </w:r>
    </w:p>
    <w:p>
      <w:pPr>
        <w:ind w:firstLine="1760" w:firstLineChars="550"/>
        <w:rPr>
          <w:rFonts w:ascii="楷体_GB2312" w:hAnsi="宋体"/>
          <w:sz w:val="36"/>
          <w:szCs w:val="36"/>
        </w:rPr>
        <w:sectPr>
          <w:footerReference r:id="rId5" w:type="default"/>
          <w:pgSz w:w="11906" w:h="16838"/>
          <w:pgMar w:top="2041" w:right="1417" w:bottom="1417" w:left="1531" w:header="851" w:footer="992" w:gutter="0"/>
          <w:cols w:space="425" w:num="1"/>
          <w:docGrid w:type="lines" w:linePitch="312" w:charSpace="0"/>
        </w:sectPr>
      </w:pPr>
      <w:r>
        <w:rPr>
          <w:rFonts w:hint="eastAsia" w:cs="仿宋_GB2312"/>
          <w:szCs w:val="32"/>
        </w:rPr>
        <w:t>联系电话：</w:t>
      </w:r>
      <w:r>
        <w:rPr>
          <w:rFonts w:hint="eastAsia"/>
          <w:szCs w:val="32"/>
        </w:rPr>
        <w:t>0755-83055633</w:t>
      </w:r>
    </w:p>
    <w:p>
      <w:pPr>
        <w:bidi w:val="0"/>
      </w:pPr>
      <w:r>
        <w:rPr>
          <w:rFonts w:hint="eastAsia"/>
        </w:rPr>
        <w:t>为提高财政支出管理水平，检验预期目标实现程度，考核财政支出效率和效果，进一步提高财政支出的管理水平，深圳市司法局（以下简称“我局”）根据《深圳市预算绩效管理暂行办法》（深财规〔2014〕8号）、《中共深圳市委办公厅 深圳市人民政府办公厅印发＜关于进一步深化预算管理改革强化预算绩效管理的意见＞的通知》（深办发〔2018〕32号）、《深圳市财政局关于开展2018年度绩效自评工作的通知》（深财绩〔2019〕2号）等文件精神，结合政府公共绩效管理的一般原理，通过收集和审核数据，进行汇总数据分析、综合分析等基础工作，对2018年“普法宣传经费”项目的财政资金使用及其效果实施绩效</w:t>
      </w:r>
      <w:r>
        <w:rPr>
          <w:rFonts w:hint="eastAsia"/>
          <w:lang w:val="en-US" w:eastAsia="zh-CN"/>
        </w:rPr>
        <w:t>自评</w:t>
      </w:r>
      <w:r>
        <w:rPr>
          <w:rFonts w:hint="eastAsia"/>
        </w:rPr>
        <w:t>，出具绩效</w:t>
      </w:r>
      <w:r>
        <w:rPr>
          <w:rFonts w:hint="eastAsia"/>
          <w:lang w:val="en-US" w:eastAsia="zh-CN"/>
        </w:rPr>
        <w:t>自评</w:t>
      </w:r>
      <w:r>
        <w:rPr>
          <w:rFonts w:hint="eastAsia"/>
        </w:rPr>
        <w:t>报告。</w:t>
      </w:r>
    </w:p>
    <w:p>
      <w:pPr>
        <w:pStyle w:val="2"/>
      </w:pPr>
      <w:r>
        <w:rPr>
          <w:rFonts w:hint="eastAsia"/>
        </w:rPr>
        <w:t>一、项目概况</w:t>
      </w:r>
    </w:p>
    <w:p>
      <w:pPr>
        <w:pStyle w:val="3"/>
      </w:pPr>
      <w:r>
        <w:rPr>
          <w:rFonts w:hint="eastAsia"/>
        </w:rPr>
        <w:t>（一）项目背景及立项依据。</w:t>
      </w:r>
    </w:p>
    <w:p>
      <w:pPr>
        <w:bidi w:val="0"/>
      </w:pPr>
      <w:r>
        <w:rPr>
          <w:rFonts w:hint="eastAsia"/>
        </w:rPr>
        <w:t>法制宣传教育是提高全民素质，推进依法治国基本方略，建设社会主义法治国家的一项基础性工作。党的十八大以来，以习近平同志为核心的党中央</w:t>
      </w:r>
      <w:bookmarkStart w:id="2" w:name="_GoBack"/>
      <w:bookmarkEnd w:id="2"/>
      <w:r>
        <w:rPr>
          <w:rFonts w:hint="eastAsia"/>
        </w:rPr>
        <w:t>对全面依法治国作出了重要部署，对法治宣传教育提出了新的更高要求，明确了法治宣传教育的基本定位、重大任务和重要措施。十八届三中全会要求“健全社会普法教育机制”；十八届四中全会要求“坚持把全民普法和守法作为依法治国的长期基础性工作，深入开展法治宣传教育”；十八届五中全会要求“弘扬社会主义法治精神，增强全社会特别是公职人员尊法学法守法用法观念，在全社会形成良好法治氛围和法治习惯”。2017年10月，党的十九大更是明确了全面推进依法治国总目标是建设中国特色社会主义法治体系、建设社会主义法治国家。这表明，建设法治中国与新时代党的历史使命同频共振，与国家命运紧密相连，与人民幸福唇齿相依。因此，加强法制宣传教育，提高国民法律素质的任务也成为新时代发展历程中的重中之重。</w:t>
      </w:r>
    </w:p>
    <w:p>
      <w:pPr>
        <w:bidi w:val="0"/>
      </w:pPr>
      <w:r>
        <w:rPr>
          <w:rFonts w:hint="eastAsia"/>
        </w:rPr>
        <w:t>2018年，是贯彻党的十九大精神的开局之年，是改革开放的40周年，也是深圳“七五”普法的平台建设年。本年度，我市法治宣传教育工作深入贯彻落实党的十九大和十九届二中、三中全会精神，坚持以习近平新时代中国特色社会主义思想为指导，以深入开展宪法宣传教育为重点工作，以落实“谁执法谁普法”普法责任制为抓手，完善组建普法讲师团、普法志愿者、普法形象大使三支队伍，探索打造普法公共阵地、行业阵地、企业依法经营阵地，开展“法治现场”、党内法规、公司法务三大工程，做好普法与弘德、科普、依法治理相结合，致力于传播法治信仰、培树法治素养、认同司法权威，为深圳建设法治中国示范城市营造良好法治环境。</w:t>
      </w:r>
    </w:p>
    <w:p>
      <w:pPr>
        <w:pStyle w:val="3"/>
        <w:numPr>
          <w:ilvl w:val="0"/>
          <w:numId w:val="1"/>
        </w:numPr>
      </w:pPr>
      <w:r>
        <w:rPr>
          <w:rFonts w:hint="eastAsia"/>
        </w:rPr>
        <w:t>项目管理的组织架构和职责分工。</w:t>
      </w:r>
    </w:p>
    <w:p>
      <w:pPr>
        <w:bidi w:val="0"/>
      </w:pPr>
      <w:r>
        <w:rPr>
          <w:rFonts w:hint="eastAsia"/>
        </w:rPr>
        <w:t>宣传教育处（市普法办公室）的主要职责是制定法制宣传教育五年规划和年度工作计划并组织实施；组织编写制作法治宣传教育资料；组织法制宣传教育工作者的业务培训；落实“谁执法，谁普法；谁主管，谁普法”工作制度；对全市普法责任单位的法宣工作进行督查及相关考评、考核；组织、指导全是法制宣传教育工作，把普法工作贯穿于立法、执法、司法、守法全过程；推动“法律四进”对重点人群实施精准普法；推动社会化普法，提高市民法律素养；创新方式方法，建设具有深圳特区特色的法治文化；开展法治创建工作等。且本项目设立的中期目标是通过加大法制宣传力度，提高全体公民法律修养、知法懂法、法制意识，以此构建“和谐社会”。因此，本项目主管和实施部门主要是宣传教育处（市普法办公室）。</w:t>
      </w:r>
    </w:p>
    <w:p>
      <w:pPr>
        <w:bidi w:val="0"/>
      </w:pPr>
      <w:r>
        <w:rPr>
          <w:rFonts w:hint="eastAsia"/>
        </w:rPr>
        <w:t>计财装备处的主要职责是编制和执行司法行政系统的部门预算；指导、监督司法行政系统的计划财务工作和各项业务经费的使用；指导、管理局机关和直属单位的财务、政府采购和基建投资；管理司法行政系统的枪支、弹药、服装、警用车辆等物资装备及固定资产。故计财装备处负责本项目年度预算编制工作；负责办理资金拨付工作；负责办理项目经费支出等报销业务。</w:t>
      </w:r>
    </w:p>
    <w:p>
      <w:pPr>
        <w:pStyle w:val="3"/>
        <w:rPr>
          <w:color w:val="FF0000"/>
        </w:rPr>
      </w:pPr>
      <w:r>
        <w:rPr>
          <w:rFonts w:hint="eastAsia"/>
        </w:rPr>
        <w:t>（三）项目资金管理情况。</w:t>
      </w:r>
    </w:p>
    <w:p>
      <w:pPr>
        <w:pStyle w:val="4"/>
        <w:rPr>
          <w:color w:val="FF0000"/>
        </w:rPr>
      </w:pPr>
      <w:r>
        <w:t>1.</w:t>
      </w:r>
      <w:r>
        <w:rPr>
          <w:rFonts w:hint="eastAsia"/>
        </w:rPr>
        <w:t>项目资金预算和分配情况。</w:t>
      </w:r>
    </w:p>
    <w:p>
      <w:pPr>
        <w:pStyle w:val="5"/>
      </w:pPr>
      <w:r>
        <w:rPr>
          <w:rFonts w:hint="eastAsia"/>
        </w:rPr>
        <w:t>（1）资金主管部门与使用单位。</w:t>
      </w:r>
    </w:p>
    <w:p>
      <w:pPr>
        <w:bidi w:val="0"/>
      </w:pPr>
      <w:r>
        <w:rPr>
          <w:rFonts w:hint="eastAsia"/>
        </w:rPr>
        <w:t>本项目资金主管部门与使用单位皆是我局本级，不涉及下属行政单位。2018年度，我局宣传教育处（市普法办公室）根据中共深圳市委办公厅、深圳市人民政府办公厅印发《关于落实国家机关“谁执法谁普法”普法责任制的实施意见》的通知（深办发〔2018〕7号），制订了《2018年深圳市法治宣传教育工作计划》。具体项目计划如下表：</w:t>
      </w:r>
    </w:p>
    <w:p>
      <w:pPr>
        <w:ind w:firstLine="560"/>
        <w:jc w:val="center"/>
        <w:rPr>
          <w:rFonts w:ascii="黑体" w:hAnsi="黑体" w:eastAsia="黑体" w:cs="黑体"/>
          <w:sz w:val="28"/>
          <w:szCs w:val="28"/>
        </w:rPr>
      </w:pPr>
      <w:r>
        <w:rPr>
          <w:rFonts w:hint="eastAsia" w:ascii="黑体" w:hAnsi="黑体" w:eastAsia="黑体" w:cs="黑体"/>
          <w:sz w:val="28"/>
          <w:szCs w:val="28"/>
        </w:rPr>
        <w:t>表1-1 普法宣传工作计划一览表</w:t>
      </w:r>
    </w:p>
    <w:tbl>
      <w:tblPr>
        <w:tblStyle w:val="13"/>
        <w:tblW w:w="91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4"/>
        <w:gridCol w:w="5273"/>
        <w:gridCol w:w="31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774" w:type="dxa"/>
            <w:shd w:val="clear" w:color="auto" w:fill="BFBFBF"/>
            <w:vAlign w:val="center"/>
          </w:tcPr>
          <w:p>
            <w:pPr>
              <w:spacing w:line="240" w:lineRule="auto"/>
              <w:ind w:firstLine="0" w:firstLineChars="0"/>
              <w:jc w:val="center"/>
              <w:rPr>
                <w:rFonts w:cs="仿宋_GB2312"/>
                <w:b/>
                <w:bCs/>
                <w:sz w:val="24"/>
                <w:szCs w:val="24"/>
              </w:rPr>
            </w:pPr>
            <w:r>
              <w:rPr>
                <w:rFonts w:hint="eastAsia" w:cs="仿宋_GB2312"/>
                <w:b/>
                <w:bCs/>
                <w:sz w:val="24"/>
                <w:szCs w:val="24"/>
              </w:rPr>
              <w:t>序号</w:t>
            </w:r>
          </w:p>
        </w:tc>
        <w:tc>
          <w:tcPr>
            <w:tcW w:w="5273" w:type="dxa"/>
            <w:shd w:val="clear" w:color="auto" w:fill="BFBFBF"/>
            <w:vAlign w:val="center"/>
          </w:tcPr>
          <w:p>
            <w:pPr>
              <w:spacing w:line="240" w:lineRule="auto"/>
              <w:ind w:firstLine="0" w:firstLineChars="0"/>
              <w:jc w:val="center"/>
              <w:rPr>
                <w:rFonts w:cs="仿宋_GB2312"/>
                <w:b/>
                <w:bCs/>
                <w:sz w:val="24"/>
                <w:szCs w:val="24"/>
              </w:rPr>
            </w:pPr>
            <w:r>
              <w:rPr>
                <w:rFonts w:hint="eastAsia" w:cs="仿宋_GB2312"/>
                <w:b/>
                <w:bCs/>
                <w:sz w:val="24"/>
                <w:szCs w:val="24"/>
              </w:rPr>
              <w:t>工作计划</w:t>
            </w:r>
          </w:p>
        </w:tc>
        <w:tc>
          <w:tcPr>
            <w:tcW w:w="3112" w:type="dxa"/>
            <w:shd w:val="clear" w:color="auto" w:fill="BFBFBF"/>
            <w:vAlign w:val="center"/>
          </w:tcPr>
          <w:p>
            <w:pPr>
              <w:spacing w:line="240" w:lineRule="auto"/>
              <w:ind w:firstLine="0" w:firstLineChars="0"/>
              <w:jc w:val="center"/>
              <w:rPr>
                <w:rFonts w:cs="仿宋_GB2312"/>
                <w:b/>
                <w:bCs/>
                <w:sz w:val="24"/>
                <w:szCs w:val="24"/>
              </w:rPr>
            </w:pPr>
            <w:r>
              <w:rPr>
                <w:rFonts w:hint="eastAsia" w:cs="仿宋_GB2312"/>
                <w:b/>
                <w:bCs/>
                <w:sz w:val="24"/>
                <w:szCs w:val="24"/>
              </w:rPr>
              <w:t>责任单位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74" w:type="dxa"/>
            <w:shd w:val="clear" w:color="auto" w:fill="auto"/>
            <w:vAlign w:val="center"/>
          </w:tcPr>
          <w:p>
            <w:pPr>
              <w:spacing w:line="240" w:lineRule="auto"/>
              <w:ind w:firstLine="0" w:firstLineChars="0"/>
              <w:jc w:val="center"/>
              <w:rPr>
                <w:rFonts w:cs="仿宋_GB2312"/>
                <w:sz w:val="24"/>
                <w:szCs w:val="24"/>
              </w:rPr>
            </w:pPr>
            <w:r>
              <w:rPr>
                <w:rFonts w:hint="eastAsia" w:cs="仿宋_GB2312"/>
                <w:sz w:val="24"/>
                <w:szCs w:val="24"/>
              </w:rPr>
              <w:t>1</w:t>
            </w:r>
          </w:p>
        </w:tc>
        <w:tc>
          <w:tcPr>
            <w:tcW w:w="5273" w:type="dxa"/>
            <w:shd w:val="clear" w:color="auto" w:fill="auto"/>
            <w:vAlign w:val="center"/>
          </w:tcPr>
          <w:p>
            <w:pPr>
              <w:spacing w:line="240" w:lineRule="auto"/>
              <w:ind w:firstLine="0" w:firstLineChars="0"/>
              <w:jc w:val="left"/>
              <w:rPr>
                <w:rFonts w:cs="仿宋_GB2312"/>
                <w:sz w:val="24"/>
                <w:szCs w:val="24"/>
              </w:rPr>
            </w:pPr>
            <w:r>
              <w:rPr>
                <w:rFonts w:hint="eastAsia" w:cs="仿宋_GB2312"/>
                <w:sz w:val="24"/>
                <w:szCs w:val="24"/>
              </w:rPr>
              <w:t>深入学习宣传习近平总书记关于全面依法治国的重要论述</w:t>
            </w:r>
          </w:p>
        </w:tc>
        <w:tc>
          <w:tcPr>
            <w:tcW w:w="3112" w:type="dxa"/>
            <w:shd w:val="clear" w:color="auto" w:fill="auto"/>
            <w:vAlign w:val="center"/>
          </w:tcPr>
          <w:p>
            <w:pPr>
              <w:spacing w:line="240" w:lineRule="auto"/>
              <w:ind w:firstLine="0" w:firstLineChars="0"/>
              <w:jc w:val="left"/>
              <w:rPr>
                <w:rFonts w:cs="仿宋_GB2312"/>
                <w:sz w:val="24"/>
                <w:szCs w:val="24"/>
              </w:rPr>
            </w:pPr>
            <w:r>
              <w:rPr>
                <w:rFonts w:hint="eastAsia" w:cs="仿宋_GB2312"/>
                <w:sz w:val="24"/>
                <w:szCs w:val="24"/>
              </w:rPr>
              <w:t>市普法办、各普法责任单位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74" w:type="dxa"/>
            <w:shd w:val="clear" w:color="auto" w:fill="auto"/>
            <w:vAlign w:val="center"/>
          </w:tcPr>
          <w:p>
            <w:pPr>
              <w:spacing w:line="240" w:lineRule="auto"/>
              <w:ind w:firstLine="0" w:firstLineChars="0"/>
              <w:jc w:val="center"/>
              <w:rPr>
                <w:rFonts w:cs="仿宋_GB2312"/>
                <w:sz w:val="24"/>
                <w:szCs w:val="24"/>
              </w:rPr>
            </w:pPr>
            <w:r>
              <w:rPr>
                <w:rFonts w:hint="eastAsia" w:cs="仿宋_GB2312"/>
                <w:sz w:val="24"/>
                <w:szCs w:val="24"/>
              </w:rPr>
              <w:t>2</w:t>
            </w:r>
          </w:p>
        </w:tc>
        <w:tc>
          <w:tcPr>
            <w:tcW w:w="5273" w:type="dxa"/>
            <w:shd w:val="clear" w:color="auto" w:fill="auto"/>
            <w:vAlign w:val="center"/>
          </w:tcPr>
          <w:p>
            <w:pPr>
              <w:spacing w:line="240" w:lineRule="auto"/>
              <w:ind w:firstLine="0" w:firstLineChars="0"/>
              <w:jc w:val="left"/>
              <w:rPr>
                <w:rFonts w:cs="仿宋_GB2312"/>
                <w:sz w:val="24"/>
                <w:szCs w:val="24"/>
              </w:rPr>
            </w:pPr>
            <w:r>
              <w:rPr>
                <w:rFonts w:hint="eastAsia" w:cs="仿宋_GB2312"/>
                <w:sz w:val="24"/>
                <w:szCs w:val="24"/>
              </w:rPr>
              <w:t>大力开展尊崇宪法、学习宪法、遵守宪法、维护宪法、运用宪法宣传教育活动</w:t>
            </w:r>
          </w:p>
        </w:tc>
        <w:tc>
          <w:tcPr>
            <w:tcW w:w="3112" w:type="dxa"/>
            <w:shd w:val="clear" w:color="auto" w:fill="auto"/>
            <w:vAlign w:val="center"/>
          </w:tcPr>
          <w:p>
            <w:pPr>
              <w:spacing w:line="240" w:lineRule="auto"/>
              <w:ind w:firstLine="0" w:firstLineChars="0"/>
              <w:jc w:val="left"/>
              <w:rPr>
                <w:rFonts w:cs="仿宋_GB2312"/>
                <w:sz w:val="24"/>
                <w:szCs w:val="24"/>
              </w:rPr>
            </w:pPr>
            <w:r>
              <w:rPr>
                <w:rFonts w:hint="eastAsia" w:cs="仿宋_GB2312"/>
                <w:sz w:val="24"/>
                <w:szCs w:val="24"/>
              </w:rPr>
              <w:t>市委政法委、市委组织部、市普法办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74" w:type="dxa"/>
            <w:shd w:val="clear" w:color="auto" w:fill="auto"/>
            <w:vAlign w:val="center"/>
          </w:tcPr>
          <w:p>
            <w:pPr>
              <w:spacing w:line="240" w:lineRule="auto"/>
              <w:ind w:firstLine="0" w:firstLineChars="0"/>
              <w:jc w:val="center"/>
              <w:rPr>
                <w:rFonts w:cs="仿宋_GB2312"/>
                <w:sz w:val="24"/>
                <w:szCs w:val="24"/>
              </w:rPr>
            </w:pPr>
            <w:r>
              <w:rPr>
                <w:rFonts w:hint="eastAsia" w:cs="仿宋_GB2312"/>
                <w:sz w:val="24"/>
                <w:szCs w:val="24"/>
              </w:rPr>
              <w:t>3</w:t>
            </w:r>
          </w:p>
        </w:tc>
        <w:tc>
          <w:tcPr>
            <w:tcW w:w="5273" w:type="dxa"/>
            <w:shd w:val="clear" w:color="auto" w:fill="auto"/>
            <w:vAlign w:val="center"/>
          </w:tcPr>
          <w:p>
            <w:pPr>
              <w:spacing w:line="240" w:lineRule="auto"/>
              <w:ind w:firstLine="0" w:firstLineChars="0"/>
              <w:jc w:val="left"/>
              <w:rPr>
                <w:rFonts w:cs="仿宋_GB2312"/>
                <w:sz w:val="24"/>
                <w:szCs w:val="24"/>
              </w:rPr>
            </w:pPr>
            <w:r>
              <w:rPr>
                <w:rFonts w:hint="eastAsia" w:cs="仿宋_GB2312"/>
                <w:sz w:val="24"/>
                <w:szCs w:val="24"/>
              </w:rPr>
              <w:t>宣传改革开放40周年</w:t>
            </w:r>
          </w:p>
        </w:tc>
        <w:tc>
          <w:tcPr>
            <w:tcW w:w="3112" w:type="dxa"/>
            <w:shd w:val="clear" w:color="auto" w:fill="auto"/>
            <w:vAlign w:val="center"/>
          </w:tcPr>
          <w:p>
            <w:pPr>
              <w:spacing w:line="240" w:lineRule="auto"/>
              <w:ind w:firstLine="0" w:firstLineChars="0"/>
              <w:jc w:val="left"/>
              <w:rPr>
                <w:rFonts w:cs="仿宋_GB2312"/>
                <w:sz w:val="24"/>
                <w:szCs w:val="24"/>
              </w:rPr>
            </w:pPr>
            <w:r>
              <w:rPr>
                <w:rFonts w:hint="eastAsia" w:cs="仿宋_GB2312"/>
                <w:sz w:val="24"/>
                <w:szCs w:val="24"/>
              </w:rPr>
              <w:t>市委全面依法治市办、市普法办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74" w:type="dxa"/>
            <w:shd w:val="clear" w:color="auto" w:fill="auto"/>
            <w:vAlign w:val="center"/>
          </w:tcPr>
          <w:p>
            <w:pPr>
              <w:spacing w:line="240" w:lineRule="auto"/>
              <w:ind w:firstLine="0" w:firstLineChars="0"/>
              <w:jc w:val="center"/>
              <w:rPr>
                <w:rFonts w:cs="仿宋_GB2312"/>
                <w:sz w:val="24"/>
                <w:szCs w:val="24"/>
              </w:rPr>
            </w:pPr>
            <w:r>
              <w:rPr>
                <w:rFonts w:hint="eastAsia" w:cs="仿宋_GB2312"/>
                <w:sz w:val="24"/>
                <w:szCs w:val="24"/>
              </w:rPr>
              <w:t>4</w:t>
            </w:r>
          </w:p>
        </w:tc>
        <w:tc>
          <w:tcPr>
            <w:tcW w:w="5273" w:type="dxa"/>
            <w:shd w:val="clear" w:color="auto" w:fill="auto"/>
            <w:vAlign w:val="center"/>
          </w:tcPr>
          <w:p>
            <w:pPr>
              <w:spacing w:line="240" w:lineRule="auto"/>
              <w:ind w:firstLine="0" w:firstLineChars="0"/>
              <w:jc w:val="left"/>
              <w:rPr>
                <w:rFonts w:cs="仿宋_GB2312"/>
                <w:sz w:val="24"/>
                <w:szCs w:val="24"/>
              </w:rPr>
            </w:pPr>
            <w:r>
              <w:rPr>
                <w:rFonts w:hint="eastAsia" w:cs="仿宋_GB2312"/>
                <w:sz w:val="24"/>
                <w:szCs w:val="24"/>
              </w:rPr>
              <w:t>贯彻我市“谁执法谁普法”实施意见</w:t>
            </w:r>
          </w:p>
        </w:tc>
        <w:tc>
          <w:tcPr>
            <w:tcW w:w="3112" w:type="dxa"/>
            <w:shd w:val="clear" w:color="auto" w:fill="auto"/>
            <w:vAlign w:val="center"/>
          </w:tcPr>
          <w:p>
            <w:pPr>
              <w:spacing w:line="240" w:lineRule="auto"/>
              <w:ind w:firstLine="0" w:firstLineChars="0"/>
              <w:jc w:val="left"/>
              <w:rPr>
                <w:rFonts w:cs="仿宋_GB2312"/>
                <w:sz w:val="24"/>
                <w:szCs w:val="24"/>
              </w:rPr>
            </w:pPr>
            <w:r>
              <w:rPr>
                <w:rFonts w:hint="eastAsia" w:cs="仿宋_GB2312"/>
                <w:sz w:val="24"/>
                <w:szCs w:val="24"/>
              </w:rPr>
              <w:t>市普法办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74" w:type="dxa"/>
            <w:shd w:val="clear" w:color="auto" w:fill="auto"/>
            <w:vAlign w:val="center"/>
          </w:tcPr>
          <w:p>
            <w:pPr>
              <w:spacing w:line="240" w:lineRule="auto"/>
              <w:ind w:firstLine="0" w:firstLineChars="0"/>
              <w:jc w:val="center"/>
              <w:rPr>
                <w:rFonts w:cs="仿宋_GB2312"/>
                <w:sz w:val="24"/>
                <w:szCs w:val="24"/>
              </w:rPr>
            </w:pPr>
            <w:r>
              <w:rPr>
                <w:rFonts w:hint="eastAsia" w:cs="仿宋_GB2312"/>
                <w:sz w:val="24"/>
                <w:szCs w:val="24"/>
              </w:rPr>
              <w:t>5</w:t>
            </w:r>
          </w:p>
        </w:tc>
        <w:tc>
          <w:tcPr>
            <w:tcW w:w="5273" w:type="dxa"/>
            <w:shd w:val="clear" w:color="auto" w:fill="auto"/>
            <w:vAlign w:val="center"/>
          </w:tcPr>
          <w:p>
            <w:pPr>
              <w:spacing w:line="240" w:lineRule="auto"/>
              <w:ind w:firstLine="0" w:firstLineChars="0"/>
              <w:jc w:val="left"/>
              <w:rPr>
                <w:rFonts w:cs="仿宋_GB2312"/>
                <w:sz w:val="24"/>
                <w:szCs w:val="24"/>
              </w:rPr>
            </w:pPr>
            <w:r>
              <w:rPr>
                <w:rFonts w:hint="eastAsia" w:cs="仿宋_GB2312"/>
                <w:sz w:val="24"/>
                <w:szCs w:val="24"/>
              </w:rPr>
              <w:t>落实“谁执法谁普法”各项制度</w:t>
            </w:r>
          </w:p>
        </w:tc>
        <w:tc>
          <w:tcPr>
            <w:tcW w:w="3112" w:type="dxa"/>
            <w:shd w:val="clear" w:color="auto" w:fill="auto"/>
            <w:vAlign w:val="center"/>
          </w:tcPr>
          <w:p>
            <w:pPr>
              <w:spacing w:line="240" w:lineRule="auto"/>
              <w:ind w:firstLine="0" w:firstLineChars="0"/>
              <w:jc w:val="left"/>
              <w:rPr>
                <w:rFonts w:cs="仿宋_GB2312"/>
                <w:sz w:val="24"/>
                <w:szCs w:val="24"/>
              </w:rPr>
            </w:pPr>
            <w:r>
              <w:rPr>
                <w:rFonts w:hint="eastAsia" w:cs="仿宋_GB2312"/>
                <w:sz w:val="24"/>
                <w:szCs w:val="24"/>
              </w:rPr>
              <w:t>市普法办、各普法责任单位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74" w:type="dxa"/>
            <w:shd w:val="clear" w:color="auto" w:fill="auto"/>
            <w:vAlign w:val="center"/>
          </w:tcPr>
          <w:p>
            <w:pPr>
              <w:spacing w:line="240" w:lineRule="auto"/>
              <w:ind w:firstLine="0" w:firstLineChars="0"/>
              <w:jc w:val="center"/>
              <w:rPr>
                <w:rFonts w:cs="仿宋_GB2312"/>
                <w:sz w:val="24"/>
                <w:szCs w:val="24"/>
              </w:rPr>
            </w:pPr>
            <w:r>
              <w:rPr>
                <w:rFonts w:hint="eastAsia" w:cs="仿宋_GB2312"/>
                <w:sz w:val="24"/>
                <w:szCs w:val="24"/>
              </w:rPr>
              <w:t>6</w:t>
            </w:r>
          </w:p>
        </w:tc>
        <w:tc>
          <w:tcPr>
            <w:tcW w:w="5273" w:type="dxa"/>
            <w:shd w:val="clear" w:color="auto" w:fill="auto"/>
            <w:vAlign w:val="center"/>
          </w:tcPr>
          <w:p>
            <w:pPr>
              <w:spacing w:line="240" w:lineRule="auto"/>
              <w:ind w:firstLine="0" w:firstLineChars="0"/>
              <w:jc w:val="left"/>
              <w:rPr>
                <w:rFonts w:cs="仿宋_GB2312"/>
                <w:sz w:val="24"/>
                <w:szCs w:val="24"/>
              </w:rPr>
            </w:pPr>
            <w:r>
              <w:rPr>
                <w:rFonts w:hint="eastAsia" w:cs="仿宋_GB2312"/>
                <w:sz w:val="24"/>
                <w:szCs w:val="24"/>
              </w:rPr>
              <w:t>召开“谁执法谁普法”联席会议，压实普法责任</w:t>
            </w:r>
          </w:p>
        </w:tc>
        <w:tc>
          <w:tcPr>
            <w:tcW w:w="3112" w:type="dxa"/>
            <w:shd w:val="clear" w:color="auto" w:fill="auto"/>
            <w:vAlign w:val="center"/>
          </w:tcPr>
          <w:p>
            <w:pPr>
              <w:spacing w:line="240" w:lineRule="auto"/>
              <w:ind w:firstLine="0" w:firstLineChars="0"/>
              <w:jc w:val="left"/>
              <w:rPr>
                <w:rFonts w:cs="仿宋_GB2312"/>
                <w:sz w:val="24"/>
                <w:szCs w:val="24"/>
              </w:rPr>
            </w:pPr>
            <w:r>
              <w:rPr>
                <w:rFonts w:hint="eastAsia" w:cs="仿宋_GB2312"/>
                <w:sz w:val="24"/>
                <w:szCs w:val="24"/>
              </w:rPr>
              <w:t>市普法办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74" w:type="dxa"/>
            <w:shd w:val="clear" w:color="auto" w:fill="auto"/>
            <w:vAlign w:val="center"/>
          </w:tcPr>
          <w:p>
            <w:pPr>
              <w:spacing w:line="240" w:lineRule="auto"/>
              <w:ind w:firstLine="0" w:firstLineChars="0"/>
              <w:jc w:val="center"/>
              <w:rPr>
                <w:rFonts w:cs="仿宋_GB2312"/>
                <w:sz w:val="24"/>
                <w:szCs w:val="24"/>
              </w:rPr>
            </w:pPr>
            <w:r>
              <w:rPr>
                <w:rFonts w:hint="eastAsia" w:cs="仿宋_GB2312"/>
                <w:sz w:val="24"/>
                <w:szCs w:val="24"/>
              </w:rPr>
              <w:t>7</w:t>
            </w:r>
          </w:p>
        </w:tc>
        <w:tc>
          <w:tcPr>
            <w:tcW w:w="5273" w:type="dxa"/>
            <w:shd w:val="clear" w:color="auto" w:fill="auto"/>
            <w:vAlign w:val="center"/>
          </w:tcPr>
          <w:p>
            <w:pPr>
              <w:spacing w:line="240" w:lineRule="auto"/>
              <w:ind w:firstLine="0" w:firstLineChars="0"/>
              <w:jc w:val="left"/>
              <w:rPr>
                <w:rFonts w:cs="仿宋_GB2312"/>
                <w:sz w:val="24"/>
                <w:szCs w:val="24"/>
              </w:rPr>
            </w:pPr>
            <w:r>
              <w:rPr>
                <w:rFonts w:hint="eastAsia" w:cs="仿宋_GB2312"/>
                <w:sz w:val="24"/>
                <w:szCs w:val="24"/>
              </w:rPr>
              <w:t>落实国家工作人员学法用法制度</w:t>
            </w:r>
          </w:p>
        </w:tc>
        <w:tc>
          <w:tcPr>
            <w:tcW w:w="3112" w:type="dxa"/>
            <w:shd w:val="clear" w:color="auto" w:fill="auto"/>
            <w:vAlign w:val="center"/>
          </w:tcPr>
          <w:p>
            <w:pPr>
              <w:spacing w:line="240" w:lineRule="auto"/>
              <w:ind w:firstLine="0" w:firstLineChars="0"/>
              <w:jc w:val="left"/>
              <w:rPr>
                <w:rFonts w:cs="仿宋_GB2312"/>
                <w:sz w:val="24"/>
                <w:szCs w:val="24"/>
              </w:rPr>
            </w:pPr>
            <w:r>
              <w:rPr>
                <w:rFonts w:hint="eastAsia" w:cs="仿宋_GB2312"/>
                <w:sz w:val="24"/>
                <w:szCs w:val="24"/>
              </w:rPr>
              <w:t>市委组织部、市普法办、市人力资源和社会保障局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74" w:type="dxa"/>
            <w:shd w:val="clear" w:color="auto" w:fill="auto"/>
            <w:vAlign w:val="center"/>
          </w:tcPr>
          <w:p>
            <w:pPr>
              <w:spacing w:line="240" w:lineRule="auto"/>
              <w:ind w:firstLine="0" w:firstLineChars="0"/>
              <w:jc w:val="center"/>
              <w:rPr>
                <w:rFonts w:cs="仿宋_GB2312"/>
                <w:sz w:val="24"/>
                <w:szCs w:val="24"/>
              </w:rPr>
            </w:pPr>
            <w:r>
              <w:rPr>
                <w:rFonts w:hint="eastAsia" w:cs="仿宋_GB2312"/>
                <w:sz w:val="24"/>
                <w:szCs w:val="24"/>
              </w:rPr>
              <w:t>8</w:t>
            </w:r>
          </w:p>
        </w:tc>
        <w:tc>
          <w:tcPr>
            <w:tcW w:w="5273" w:type="dxa"/>
            <w:shd w:val="clear" w:color="auto" w:fill="auto"/>
            <w:vAlign w:val="center"/>
          </w:tcPr>
          <w:p>
            <w:pPr>
              <w:spacing w:line="240" w:lineRule="auto"/>
              <w:ind w:firstLine="0" w:firstLineChars="0"/>
              <w:jc w:val="left"/>
              <w:rPr>
                <w:rFonts w:cs="仿宋_GB2312"/>
                <w:sz w:val="24"/>
                <w:szCs w:val="24"/>
              </w:rPr>
            </w:pPr>
            <w:r>
              <w:rPr>
                <w:rFonts w:hint="eastAsia" w:cs="仿宋_GB2312"/>
                <w:sz w:val="24"/>
                <w:szCs w:val="24"/>
              </w:rPr>
              <w:t>加强青少年法治教育</w:t>
            </w:r>
          </w:p>
        </w:tc>
        <w:tc>
          <w:tcPr>
            <w:tcW w:w="3112" w:type="dxa"/>
            <w:shd w:val="clear" w:color="auto" w:fill="auto"/>
            <w:vAlign w:val="center"/>
          </w:tcPr>
          <w:p>
            <w:pPr>
              <w:spacing w:line="240" w:lineRule="auto"/>
              <w:ind w:firstLine="0" w:firstLineChars="0"/>
              <w:jc w:val="left"/>
              <w:rPr>
                <w:rFonts w:cs="仿宋_GB2312"/>
                <w:sz w:val="24"/>
                <w:szCs w:val="24"/>
              </w:rPr>
            </w:pPr>
            <w:r>
              <w:rPr>
                <w:rFonts w:hint="eastAsia" w:cs="仿宋_GB2312"/>
                <w:sz w:val="24"/>
                <w:szCs w:val="24"/>
              </w:rPr>
              <w:t>市教育局、团市委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74" w:type="dxa"/>
            <w:shd w:val="clear" w:color="auto" w:fill="auto"/>
            <w:vAlign w:val="center"/>
          </w:tcPr>
          <w:p>
            <w:pPr>
              <w:spacing w:line="240" w:lineRule="auto"/>
              <w:ind w:firstLine="0" w:firstLineChars="0"/>
              <w:jc w:val="center"/>
              <w:rPr>
                <w:rFonts w:cs="仿宋_GB2312"/>
                <w:sz w:val="24"/>
                <w:szCs w:val="24"/>
              </w:rPr>
            </w:pPr>
            <w:r>
              <w:rPr>
                <w:rFonts w:hint="eastAsia" w:cs="仿宋_GB2312"/>
                <w:sz w:val="24"/>
                <w:szCs w:val="24"/>
              </w:rPr>
              <w:t>9</w:t>
            </w:r>
          </w:p>
        </w:tc>
        <w:tc>
          <w:tcPr>
            <w:tcW w:w="5273" w:type="dxa"/>
            <w:shd w:val="clear" w:color="auto" w:fill="auto"/>
            <w:vAlign w:val="center"/>
          </w:tcPr>
          <w:p>
            <w:pPr>
              <w:spacing w:line="240" w:lineRule="auto"/>
              <w:ind w:firstLine="0" w:firstLineChars="0"/>
              <w:jc w:val="left"/>
              <w:rPr>
                <w:rFonts w:cs="仿宋_GB2312"/>
                <w:sz w:val="24"/>
                <w:szCs w:val="24"/>
              </w:rPr>
            </w:pPr>
            <w:r>
              <w:rPr>
                <w:rFonts w:hint="eastAsia" w:cs="仿宋_GB2312"/>
                <w:sz w:val="24"/>
                <w:szCs w:val="24"/>
              </w:rPr>
              <w:t>探索来深建设者和企业经营管理人员法治宣传教育新模式</w:t>
            </w:r>
          </w:p>
        </w:tc>
        <w:tc>
          <w:tcPr>
            <w:tcW w:w="3112" w:type="dxa"/>
            <w:shd w:val="clear" w:color="auto" w:fill="auto"/>
            <w:vAlign w:val="center"/>
          </w:tcPr>
          <w:p>
            <w:pPr>
              <w:spacing w:line="240" w:lineRule="auto"/>
              <w:ind w:firstLine="0" w:firstLineChars="0"/>
              <w:jc w:val="left"/>
              <w:rPr>
                <w:rFonts w:cs="仿宋_GB2312"/>
                <w:sz w:val="24"/>
                <w:szCs w:val="24"/>
              </w:rPr>
            </w:pPr>
            <w:r>
              <w:rPr>
                <w:rFonts w:hint="eastAsia" w:cs="仿宋_GB2312"/>
                <w:sz w:val="24"/>
                <w:szCs w:val="24"/>
              </w:rPr>
              <w:t>市人力资源保障局、市普法办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74" w:type="dxa"/>
            <w:shd w:val="clear" w:color="auto" w:fill="auto"/>
            <w:vAlign w:val="center"/>
          </w:tcPr>
          <w:p>
            <w:pPr>
              <w:spacing w:line="240" w:lineRule="auto"/>
              <w:ind w:firstLine="0" w:firstLineChars="0"/>
              <w:jc w:val="center"/>
              <w:rPr>
                <w:rFonts w:cs="仿宋_GB2312"/>
                <w:sz w:val="24"/>
                <w:szCs w:val="24"/>
              </w:rPr>
            </w:pPr>
            <w:r>
              <w:rPr>
                <w:rFonts w:hint="eastAsia" w:cs="仿宋_GB2312"/>
                <w:sz w:val="24"/>
                <w:szCs w:val="24"/>
              </w:rPr>
              <w:t>10</w:t>
            </w:r>
          </w:p>
        </w:tc>
        <w:tc>
          <w:tcPr>
            <w:tcW w:w="5273" w:type="dxa"/>
            <w:shd w:val="clear" w:color="auto" w:fill="auto"/>
            <w:vAlign w:val="center"/>
          </w:tcPr>
          <w:p>
            <w:pPr>
              <w:spacing w:line="240" w:lineRule="auto"/>
              <w:ind w:firstLine="0" w:firstLineChars="0"/>
              <w:jc w:val="left"/>
              <w:rPr>
                <w:rFonts w:cs="仿宋_GB2312"/>
                <w:sz w:val="24"/>
                <w:szCs w:val="24"/>
              </w:rPr>
            </w:pPr>
            <w:r>
              <w:rPr>
                <w:rFonts w:hint="eastAsia" w:cs="仿宋_GB2312"/>
                <w:sz w:val="24"/>
                <w:szCs w:val="24"/>
              </w:rPr>
              <w:t>培育法治文化示范点</w:t>
            </w:r>
          </w:p>
        </w:tc>
        <w:tc>
          <w:tcPr>
            <w:tcW w:w="3112" w:type="dxa"/>
            <w:shd w:val="clear" w:color="auto" w:fill="auto"/>
            <w:vAlign w:val="center"/>
          </w:tcPr>
          <w:p>
            <w:pPr>
              <w:spacing w:line="240" w:lineRule="auto"/>
              <w:ind w:firstLine="0" w:firstLineChars="0"/>
              <w:jc w:val="left"/>
              <w:rPr>
                <w:rFonts w:cs="仿宋_GB2312"/>
                <w:sz w:val="24"/>
                <w:szCs w:val="24"/>
              </w:rPr>
            </w:pPr>
            <w:r>
              <w:rPr>
                <w:rFonts w:hint="eastAsia" w:cs="仿宋_GB2312"/>
                <w:sz w:val="24"/>
                <w:szCs w:val="24"/>
              </w:rPr>
              <w:t>市普法办、各普法责任单位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74" w:type="dxa"/>
            <w:shd w:val="clear" w:color="auto" w:fill="auto"/>
            <w:vAlign w:val="center"/>
          </w:tcPr>
          <w:p>
            <w:pPr>
              <w:spacing w:line="240" w:lineRule="auto"/>
              <w:ind w:firstLine="0" w:firstLineChars="0"/>
              <w:jc w:val="center"/>
              <w:rPr>
                <w:rFonts w:cs="仿宋_GB2312"/>
                <w:sz w:val="24"/>
                <w:szCs w:val="24"/>
              </w:rPr>
            </w:pPr>
            <w:r>
              <w:rPr>
                <w:rFonts w:hint="eastAsia" w:cs="仿宋_GB2312"/>
                <w:sz w:val="24"/>
                <w:szCs w:val="24"/>
              </w:rPr>
              <w:t>11</w:t>
            </w:r>
          </w:p>
        </w:tc>
        <w:tc>
          <w:tcPr>
            <w:tcW w:w="5273" w:type="dxa"/>
            <w:shd w:val="clear" w:color="auto" w:fill="auto"/>
            <w:vAlign w:val="center"/>
          </w:tcPr>
          <w:p>
            <w:pPr>
              <w:spacing w:line="240" w:lineRule="auto"/>
              <w:ind w:firstLine="0" w:firstLineChars="0"/>
              <w:jc w:val="left"/>
              <w:rPr>
                <w:rFonts w:cs="仿宋_GB2312"/>
                <w:sz w:val="24"/>
                <w:szCs w:val="24"/>
              </w:rPr>
            </w:pPr>
            <w:r>
              <w:rPr>
                <w:rFonts w:hint="eastAsia" w:cs="仿宋_GB2312"/>
                <w:sz w:val="24"/>
                <w:szCs w:val="24"/>
              </w:rPr>
              <w:t>推进法治文化公园建设</w:t>
            </w:r>
          </w:p>
        </w:tc>
        <w:tc>
          <w:tcPr>
            <w:tcW w:w="3112" w:type="dxa"/>
            <w:shd w:val="clear" w:color="auto" w:fill="auto"/>
            <w:vAlign w:val="center"/>
          </w:tcPr>
          <w:p>
            <w:pPr>
              <w:spacing w:line="240" w:lineRule="auto"/>
              <w:ind w:firstLine="0" w:firstLineChars="0"/>
              <w:jc w:val="left"/>
              <w:rPr>
                <w:rFonts w:cs="仿宋_GB2312"/>
                <w:sz w:val="24"/>
                <w:szCs w:val="24"/>
              </w:rPr>
            </w:pPr>
            <w:r>
              <w:rPr>
                <w:rFonts w:hint="eastAsia" w:cs="仿宋_GB2312"/>
                <w:sz w:val="24"/>
                <w:szCs w:val="24"/>
              </w:rPr>
              <w:t>市普法办、龙华区、前海管理局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74" w:type="dxa"/>
            <w:shd w:val="clear" w:color="auto" w:fill="auto"/>
            <w:vAlign w:val="center"/>
          </w:tcPr>
          <w:p>
            <w:pPr>
              <w:spacing w:line="240" w:lineRule="auto"/>
              <w:ind w:firstLine="0" w:firstLineChars="0"/>
              <w:jc w:val="center"/>
              <w:rPr>
                <w:rFonts w:cs="仿宋_GB2312"/>
                <w:sz w:val="24"/>
                <w:szCs w:val="24"/>
              </w:rPr>
            </w:pPr>
            <w:r>
              <w:rPr>
                <w:rFonts w:hint="eastAsia" w:cs="仿宋_GB2312"/>
                <w:sz w:val="24"/>
                <w:szCs w:val="24"/>
              </w:rPr>
              <w:t>12</w:t>
            </w:r>
          </w:p>
        </w:tc>
        <w:tc>
          <w:tcPr>
            <w:tcW w:w="5273" w:type="dxa"/>
            <w:shd w:val="clear" w:color="auto" w:fill="auto"/>
            <w:vAlign w:val="center"/>
          </w:tcPr>
          <w:p>
            <w:pPr>
              <w:spacing w:line="240" w:lineRule="auto"/>
              <w:ind w:firstLine="0" w:firstLineChars="0"/>
              <w:jc w:val="left"/>
              <w:rPr>
                <w:rFonts w:cs="仿宋_GB2312"/>
                <w:sz w:val="24"/>
                <w:szCs w:val="24"/>
              </w:rPr>
            </w:pPr>
            <w:r>
              <w:rPr>
                <w:rFonts w:hint="eastAsia" w:cs="仿宋_GB2312"/>
                <w:sz w:val="24"/>
                <w:szCs w:val="24"/>
              </w:rPr>
              <w:t>探索定期开放国家机关</w:t>
            </w:r>
          </w:p>
        </w:tc>
        <w:tc>
          <w:tcPr>
            <w:tcW w:w="3112" w:type="dxa"/>
            <w:shd w:val="clear" w:color="auto" w:fill="auto"/>
            <w:vAlign w:val="center"/>
          </w:tcPr>
          <w:p>
            <w:pPr>
              <w:spacing w:line="240" w:lineRule="auto"/>
              <w:ind w:firstLine="0" w:firstLineChars="0"/>
              <w:jc w:val="left"/>
              <w:rPr>
                <w:rFonts w:cs="仿宋_GB2312"/>
                <w:sz w:val="24"/>
                <w:szCs w:val="24"/>
              </w:rPr>
            </w:pPr>
            <w:r>
              <w:rPr>
                <w:rFonts w:hint="eastAsia" w:cs="仿宋_GB2312"/>
                <w:sz w:val="24"/>
                <w:szCs w:val="24"/>
              </w:rPr>
              <w:t>市人大办公厅、市中级人民法院、市检察院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74" w:type="dxa"/>
            <w:shd w:val="clear" w:color="auto" w:fill="auto"/>
            <w:vAlign w:val="center"/>
          </w:tcPr>
          <w:p>
            <w:pPr>
              <w:spacing w:line="240" w:lineRule="auto"/>
              <w:ind w:firstLine="0" w:firstLineChars="0"/>
              <w:jc w:val="center"/>
              <w:rPr>
                <w:rFonts w:cs="仿宋_GB2312"/>
                <w:sz w:val="24"/>
                <w:szCs w:val="24"/>
              </w:rPr>
            </w:pPr>
            <w:r>
              <w:rPr>
                <w:rFonts w:hint="eastAsia" w:cs="仿宋_GB2312"/>
                <w:sz w:val="24"/>
                <w:szCs w:val="24"/>
              </w:rPr>
              <w:t>13</w:t>
            </w:r>
          </w:p>
        </w:tc>
        <w:tc>
          <w:tcPr>
            <w:tcW w:w="5273" w:type="dxa"/>
            <w:shd w:val="clear" w:color="auto" w:fill="auto"/>
            <w:vAlign w:val="center"/>
          </w:tcPr>
          <w:p>
            <w:pPr>
              <w:spacing w:line="240" w:lineRule="auto"/>
              <w:ind w:firstLine="0" w:firstLineChars="0"/>
              <w:jc w:val="left"/>
              <w:rPr>
                <w:rFonts w:cs="仿宋_GB2312"/>
                <w:sz w:val="24"/>
                <w:szCs w:val="24"/>
              </w:rPr>
            </w:pPr>
            <w:r>
              <w:rPr>
                <w:rFonts w:hint="eastAsia" w:cs="仿宋_GB2312"/>
                <w:sz w:val="24"/>
                <w:szCs w:val="24"/>
              </w:rPr>
              <w:t>加强普法网络建设</w:t>
            </w:r>
          </w:p>
        </w:tc>
        <w:tc>
          <w:tcPr>
            <w:tcW w:w="3112" w:type="dxa"/>
            <w:shd w:val="clear" w:color="auto" w:fill="auto"/>
            <w:vAlign w:val="center"/>
          </w:tcPr>
          <w:p>
            <w:pPr>
              <w:spacing w:line="240" w:lineRule="auto"/>
              <w:ind w:firstLine="0" w:firstLineChars="0"/>
              <w:jc w:val="left"/>
              <w:rPr>
                <w:rFonts w:cs="仿宋_GB2312"/>
                <w:sz w:val="24"/>
                <w:szCs w:val="24"/>
              </w:rPr>
            </w:pPr>
            <w:r>
              <w:rPr>
                <w:rFonts w:hint="eastAsia" w:cs="仿宋_GB2312"/>
                <w:sz w:val="24"/>
                <w:szCs w:val="24"/>
              </w:rPr>
              <w:t>市普法办、深圳报业集团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74" w:type="dxa"/>
            <w:shd w:val="clear" w:color="auto" w:fill="auto"/>
            <w:vAlign w:val="center"/>
          </w:tcPr>
          <w:p>
            <w:pPr>
              <w:spacing w:line="240" w:lineRule="auto"/>
              <w:ind w:firstLine="0" w:firstLineChars="0"/>
              <w:jc w:val="center"/>
              <w:rPr>
                <w:rFonts w:cs="仿宋_GB2312"/>
                <w:sz w:val="24"/>
                <w:szCs w:val="24"/>
              </w:rPr>
            </w:pPr>
            <w:r>
              <w:rPr>
                <w:rFonts w:hint="eastAsia" w:cs="仿宋_GB2312"/>
                <w:sz w:val="24"/>
                <w:szCs w:val="24"/>
              </w:rPr>
              <w:t>14</w:t>
            </w:r>
          </w:p>
        </w:tc>
        <w:tc>
          <w:tcPr>
            <w:tcW w:w="5273" w:type="dxa"/>
            <w:shd w:val="clear" w:color="auto" w:fill="auto"/>
            <w:vAlign w:val="center"/>
          </w:tcPr>
          <w:p>
            <w:pPr>
              <w:spacing w:line="240" w:lineRule="auto"/>
              <w:ind w:firstLine="0" w:firstLineChars="0"/>
              <w:jc w:val="left"/>
              <w:rPr>
                <w:rFonts w:cs="仿宋_GB2312"/>
                <w:sz w:val="24"/>
                <w:szCs w:val="24"/>
              </w:rPr>
            </w:pPr>
            <w:r>
              <w:rPr>
                <w:rFonts w:hint="eastAsia" w:cs="仿宋_GB2312"/>
                <w:sz w:val="24"/>
                <w:szCs w:val="24"/>
              </w:rPr>
              <w:t>继续办好普法微信公众号和《深圳法治》杂志</w:t>
            </w:r>
          </w:p>
        </w:tc>
        <w:tc>
          <w:tcPr>
            <w:tcW w:w="3112" w:type="dxa"/>
            <w:shd w:val="clear" w:color="auto" w:fill="auto"/>
            <w:vAlign w:val="center"/>
          </w:tcPr>
          <w:p>
            <w:pPr>
              <w:spacing w:line="240" w:lineRule="auto"/>
              <w:ind w:firstLine="0" w:firstLineChars="0"/>
              <w:jc w:val="left"/>
              <w:rPr>
                <w:rFonts w:cs="仿宋_GB2312"/>
                <w:sz w:val="24"/>
                <w:szCs w:val="24"/>
              </w:rPr>
            </w:pPr>
            <w:r>
              <w:rPr>
                <w:rFonts w:hint="eastAsia" w:cs="仿宋_GB2312"/>
                <w:sz w:val="24"/>
                <w:szCs w:val="24"/>
              </w:rPr>
              <w:t>市普法办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74" w:type="dxa"/>
            <w:shd w:val="clear" w:color="auto" w:fill="auto"/>
            <w:vAlign w:val="center"/>
          </w:tcPr>
          <w:p>
            <w:pPr>
              <w:spacing w:line="240" w:lineRule="auto"/>
              <w:ind w:firstLine="0" w:firstLineChars="0"/>
              <w:jc w:val="center"/>
              <w:rPr>
                <w:rFonts w:cs="仿宋_GB2312"/>
                <w:sz w:val="24"/>
                <w:szCs w:val="24"/>
              </w:rPr>
            </w:pPr>
            <w:r>
              <w:rPr>
                <w:rFonts w:hint="eastAsia" w:cs="仿宋_GB2312"/>
                <w:sz w:val="24"/>
                <w:szCs w:val="24"/>
              </w:rPr>
              <w:t>15</w:t>
            </w:r>
          </w:p>
        </w:tc>
        <w:tc>
          <w:tcPr>
            <w:tcW w:w="5273" w:type="dxa"/>
            <w:shd w:val="clear" w:color="auto" w:fill="auto"/>
            <w:vAlign w:val="center"/>
          </w:tcPr>
          <w:p>
            <w:pPr>
              <w:spacing w:line="240" w:lineRule="auto"/>
              <w:ind w:firstLine="0" w:firstLineChars="0"/>
              <w:jc w:val="left"/>
              <w:rPr>
                <w:rFonts w:cs="仿宋_GB2312"/>
                <w:sz w:val="24"/>
                <w:szCs w:val="24"/>
              </w:rPr>
            </w:pPr>
            <w:r>
              <w:rPr>
                <w:rFonts w:hint="eastAsia" w:cs="仿宋_GB2312"/>
                <w:sz w:val="24"/>
                <w:szCs w:val="24"/>
              </w:rPr>
              <w:t>开办普法电视栏目</w:t>
            </w:r>
          </w:p>
        </w:tc>
        <w:tc>
          <w:tcPr>
            <w:tcW w:w="3112" w:type="dxa"/>
            <w:shd w:val="clear" w:color="auto" w:fill="auto"/>
            <w:vAlign w:val="center"/>
          </w:tcPr>
          <w:p>
            <w:pPr>
              <w:spacing w:line="240" w:lineRule="auto"/>
              <w:ind w:firstLine="0" w:firstLineChars="0"/>
              <w:jc w:val="left"/>
              <w:rPr>
                <w:rFonts w:cs="仿宋_GB2312"/>
                <w:sz w:val="24"/>
                <w:szCs w:val="24"/>
              </w:rPr>
            </w:pPr>
            <w:r>
              <w:rPr>
                <w:rFonts w:hint="eastAsia" w:cs="仿宋_GB2312"/>
                <w:sz w:val="24"/>
                <w:szCs w:val="24"/>
              </w:rPr>
              <w:t>市普法办、深圳广电集团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74" w:type="dxa"/>
            <w:shd w:val="clear" w:color="auto" w:fill="auto"/>
            <w:vAlign w:val="center"/>
          </w:tcPr>
          <w:p>
            <w:pPr>
              <w:spacing w:line="240" w:lineRule="auto"/>
              <w:ind w:firstLine="0" w:firstLineChars="0"/>
              <w:jc w:val="center"/>
              <w:rPr>
                <w:rFonts w:cs="仿宋_GB2312"/>
                <w:sz w:val="24"/>
                <w:szCs w:val="24"/>
              </w:rPr>
            </w:pPr>
            <w:r>
              <w:rPr>
                <w:rFonts w:hint="eastAsia" w:cs="仿宋_GB2312"/>
                <w:sz w:val="24"/>
                <w:szCs w:val="24"/>
              </w:rPr>
              <w:t>16</w:t>
            </w:r>
          </w:p>
        </w:tc>
        <w:tc>
          <w:tcPr>
            <w:tcW w:w="5273" w:type="dxa"/>
            <w:shd w:val="clear" w:color="auto" w:fill="auto"/>
            <w:vAlign w:val="center"/>
          </w:tcPr>
          <w:p>
            <w:pPr>
              <w:spacing w:line="240" w:lineRule="auto"/>
              <w:ind w:firstLine="0" w:firstLineChars="0"/>
              <w:jc w:val="left"/>
              <w:rPr>
                <w:rFonts w:cs="仿宋_GB2312"/>
                <w:sz w:val="24"/>
                <w:szCs w:val="24"/>
              </w:rPr>
            </w:pPr>
            <w:r>
              <w:rPr>
                <w:rFonts w:hint="eastAsia" w:cs="仿宋_GB2312"/>
                <w:sz w:val="24"/>
                <w:szCs w:val="24"/>
              </w:rPr>
              <w:t>加强普法品牌建设</w:t>
            </w:r>
          </w:p>
        </w:tc>
        <w:tc>
          <w:tcPr>
            <w:tcW w:w="3112" w:type="dxa"/>
            <w:shd w:val="clear" w:color="auto" w:fill="auto"/>
            <w:vAlign w:val="center"/>
          </w:tcPr>
          <w:p>
            <w:pPr>
              <w:spacing w:line="240" w:lineRule="auto"/>
              <w:ind w:firstLine="0" w:firstLineChars="0"/>
              <w:jc w:val="left"/>
              <w:rPr>
                <w:rFonts w:cs="仿宋_GB2312"/>
                <w:sz w:val="24"/>
                <w:szCs w:val="24"/>
              </w:rPr>
            </w:pPr>
            <w:r>
              <w:rPr>
                <w:rFonts w:hint="eastAsia" w:cs="仿宋_GB2312"/>
                <w:sz w:val="24"/>
                <w:szCs w:val="24"/>
              </w:rPr>
              <w:t>市普法办、市文明办、各普法责任单位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74" w:type="dxa"/>
            <w:shd w:val="clear" w:color="auto" w:fill="auto"/>
            <w:vAlign w:val="center"/>
          </w:tcPr>
          <w:p>
            <w:pPr>
              <w:spacing w:line="240" w:lineRule="auto"/>
              <w:ind w:firstLine="0" w:firstLineChars="0"/>
              <w:jc w:val="center"/>
              <w:rPr>
                <w:rFonts w:cs="仿宋_GB2312"/>
                <w:sz w:val="24"/>
                <w:szCs w:val="24"/>
              </w:rPr>
            </w:pPr>
            <w:r>
              <w:rPr>
                <w:rFonts w:hint="eastAsia" w:cs="仿宋_GB2312"/>
                <w:sz w:val="24"/>
                <w:szCs w:val="24"/>
              </w:rPr>
              <w:t>17</w:t>
            </w:r>
          </w:p>
        </w:tc>
        <w:tc>
          <w:tcPr>
            <w:tcW w:w="5273" w:type="dxa"/>
            <w:shd w:val="clear" w:color="auto" w:fill="auto"/>
            <w:vAlign w:val="center"/>
          </w:tcPr>
          <w:p>
            <w:pPr>
              <w:spacing w:line="240" w:lineRule="auto"/>
              <w:ind w:firstLine="0" w:firstLineChars="0"/>
              <w:jc w:val="left"/>
              <w:rPr>
                <w:rFonts w:cs="仿宋_GB2312"/>
                <w:sz w:val="24"/>
                <w:szCs w:val="24"/>
              </w:rPr>
            </w:pPr>
            <w:r>
              <w:rPr>
                <w:rFonts w:hint="eastAsia" w:cs="仿宋_GB2312"/>
                <w:sz w:val="24"/>
                <w:szCs w:val="24"/>
              </w:rPr>
              <w:t>实施“公民法律素质提升资助计划”</w:t>
            </w:r>
          </w:p>
        </w:tc>
        <w:tc>
          <w:tcPr>
            <w:tcW w:w="3112" w:type="dxa"/>
            <w:shd w:val="clear" w:color="auto" w:fill="auto"/>
            <w:vAlign w:val="center"/>
          </w:tcPr>
          <w:p>
            <w:pPr>
              <w:spacing w:line="240" w:lineRule="auto"/>
              <w:ind w:firstLine="0" w:firstLineChars="0"/>
              <w:jc w:val="left"/>
              <w:rPr>
                <w:rFonts w:cs="仿宋_GB2312"/>
                <w:sz w:val="24"/>
                <w:szCs w:val="24"/>
              </w:rPr>
            </w:pPr>
            <w:r>
              <w:rPr>
                <w:rFonts w:hint="eastAsia" w:cs="仿宋_GB2312"/>
                <w:sz w:val="24"/>
                <w:szCs w:val="24"/>
              </w:rPr>
              <w:t>市普法办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74" w:type="dxa"/>
            <w:shd w:val="clear" w:color="auto" w:fill="auto"/>
            <w:vAlign w:val="center"/>
          </w:tcPr>
          <w:p>
            <w:pPr>
              <w:spacing w:line="240" w:lineRule="auto"/>
              <w:ind w:firstLine="0" w:firstLineChars="0"/>
              <w:jc w:val="center"/>
              <w:rPr>
                <w:rFonts w:cs="仿宋_GB2312"/>
                <w:sz w:val="24"/>
                <w:szCs w:val="24"/>
              </w:rPr>
            </w:pPr>
            <w:r>
              <w:rPr>
                <w:rFonts w:hint="eastAsia" w:cs="仿宋_GB2312"/>
                <w:sz w:val="24"/>
                <w:szCs w:val="24"/>
              </w:rPr>
              <w:t>18</w:t>
            </w:r>
          </w:p>
        </w:tc>
        <w:tc>
          <w:tcPr>
            <w:tcW w:w="5273" w:type="dxa"/>
            <w:shd w:val="clear" w:color="auto" w:fill="auto"/>
            <w:vAlign w:val="center"/>
          </w:tcPr>
          <w:p>
            <w:pPr>
              <w:spacing w:line="240" w:lineRule="auto"/>
              <w:ind w:firstLine="0" w:firstLineChars="0"/>
              <w:jc w:val="left"/>
              <w:rPr>
                <w:rFonts w:cs="仿宋_GB2312"/>
                <w:sz w:val="24"/>
                <w:szCs w:val="24"/>
              </w:rPr>
            </w:pPr>
            <w:r>
              <w:rPr>
                <w:rFonts w:hint="eastAsia" w:cs="仿宋_GB2312"/>
                <w:sz w:val="24"/>
                <w:szCs w:val="24"/>
              </w:rPr>
              <w:t>制作发布法治公益广告</w:t>
            </w:r>
          </w:p>
        </w:tc>
        <w:tc>
          <w:tcPr>
            <w:tcW w:w="3112" w:type="dxa"/>
            <w:shd w:val="clear" w:color="auto" w:fill="auto"/>
            <w:vAlign w:val="center"/>
          </w:tcPr>
          <w:p>
            <w:pPr>
              <w:spacing w:line="240" w:lineRule="auto"/>
              <w:ind w:firstLine="0" w:firstLineChars="0"/>
              <w:jc w:val="left"/>
              <w:rPr>
                <w:rFonts w:cs="仿宋_GB2312"/>
                <w:sz w:val="24"/>
                <w:szCs w:val="24"/>
              </w:rPr>
            </w:pPr>
            <w:r>
              <w:rPr>
                <w:rFonts w:hint="eastAsia" w:cs="仿宋_GB2312"/>
                <w:sz w:val="24"/>
                <w:szCs w:val="24"/>
              </w:rPr>
              <w:t>市委宣传部、市普法办、市交委、市城管局、市地铁集团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74" w:type="dxa"/>
            <w:shd w:val="clear" w:color="auto" w:fill="auto"/>
            <w:vAlign w:val="center"/>
          </w:tcPr>
          <w:p>
            <w:pPr>
              <w:spacing w:line="240" w:lineRule="auto"/>
              <w:ind w:firstLine="0" w:firstLineChars="0"/>
              <w:jc w:val="center"/>
              <w:rPr>
                <w:rFonts w:cs="仿宋_GB2312"/>
                <w:sz w:val="24"/>
                <w:szCs w:val="24"/>
              </w:rPr>
            </w:pPr>
            <w:r>
              <w:rPr>
                <w:rFonts w:hint="eastAsia" w:cs="仿宋_GB2312"/>
                <w:sz w:val="24"/>
                <w:szCs w:val="24"/>
              </w:rPr>
              <w:t>19</w:t>
            </w:r>
          </w:p>
        </w:tc>
        <w:tc>
          <w:tcPr>
            <w:tcW w:w="5273" w:type="dxa"/>
            <w:shd w:val="clear" w:color="auto" w:fill="auto"/>
            <w:vAlign w:val="center"/>
          </w:tcPr>
          <w:p>
            <w:pPr>
              <w:spacing w:line="240" w:lineRule="auto"/>
              <w:ind w:firstLine="0" w:firstLineChars="0"/>
              <w:jc w:val="left"/>
              <w:rPr>
                <w:rFonts w:cs="仿宋_GB2312"/>
                <w:sz w:val="24"/>
                <w:szCs w:val="24"/>
              </w:rPr>
            </w:pPr>
            <w:r>
              <w:rPr>
                <w:rFonts w:hint="eastAsia" w:cs="仿宋_GB2312"/>
                <w:sz w:val="24"/>
                <w:szCs w:val="24"/>
              </w:rPr>
              <w:t>继续制作“一本书、一把伞、一瓶水”</w:t>
            </w:r>
          </w:p>
        </w:tc>
        <w:tc>
          <w:tcPr>
            <w:tcW w:w="3112" w:type="dxa"/>
            <w:shd w:val="clear" w:color="auto" w:fill="auto"/>
            <w:vAlign w:val="center"/>
          </w:tcPr>
          <w:p>
            <w:pPr>
              <w:spacing w:line="240" w:lineRule="auto"/>
              <w:ind w:firstLine="0" w:firstLineChars="0"/>
              <w:jc w:val="left"/>
              <w:rPr>
                <w:rFonts w:cs="仿宋_GB2312"/>
                <w:sz w:val="24"/>
                <w:szCs w:val="24"/>
              </w:rPr>
            </w:pPr>
            <w:r>
              <w:rPr>
                <w:rFonts w:hint="eastAsia" w:cs="仿宋_GB2312"/>
                <w:sz w:val="24"/>
                <w:szCs w:val="24"/>
              </w:rPr>
              <w:t>市普法办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74" w:type="dxa"/>
            <w:shd w:val="clear" w:color="auto" w:fill="auto"/>
            <w:vAlign w:val="center"/>
          </w:tcPr>
          <w:p>
            <w:pPr>
              <w:spacing w:line="240" w:lineRule="auto"/>
              <w:ind w:firstLine="0" w:firstLineChars="0"/>
              <w:jc w:val="center"/>
              <w:rPr>
                <w:rFonts w:cs="仿宋_GB2312"/>
                <w:sz w:val="24"/>
                <w:szCs w:val="24"/>
              </w:rPr>
            </w:pPr>
            <w:r>
              <w:rPr>
                <w:rFonts w:hint="eastAsia" w:cs="仿宋_GB2312"/>
                <w:sz w:val="24"/>
                <w:szCs w:val="24"/>
              </w:rPr>
              <w:t>20</w:t>
            </w:r>
          </w:p>
        </w:tc>
        <w:tc>
          <w:tcPr>
            <w:tcW w:w="5273" w:type="dxa"/>
            <w:shd w:val="clear" w:color="auto" w:fill="auto"/>
            <w:vAlign w:val="center"/>
          </w:tcPr>
          <w:p>
            <w:pPr>
              <w:spacing w:line="240" w:lineRule="auto"/>
              <w:ind w:firstLine="0" w:firstLineChars="0"/>
              <w:jc w:val="left"/>
              <w:rPr>
                <w:rFonts w:cs="仿宋_GB2312"/>
                <w:sz w:val="24"/>
                <w:szCs w:val="24"/>
              </w:rPr>
            </w:pPr>
            <w:r>
              <w:rPr>
                <w:rFonts w:hint="eastAsia" w:cs="仿宋_GB2312"/>
                <w:sz w:val="24"/>
                <w:szCs w:val="24"/>
              </w:rPr>
              <w:t>制定并实施全国普法依法治理联系点工作方案</w:t>
            </w:r>
          </w:p>
        </w:tc>
        <w:tc>
          <w:tcPr>
            <w:tcW w:w="3112" w:type="dxa"/>
            <w:shd w:val="clear" w:color="auto" w:fill="auto"/>
            <w:vAlign w:val="center"/>
          </w:tcPr>
          <w:p>
            <w:pPr>
              <w:spacing w:line="240" w:lineRule="auto"/>
              <w:ind w:firstLine="0" w:firstLineChars="0"/>
              <w:jc w:val="left"/>
              <w:rPr>
                <w:rFonts w:cs="仿宋_GB2312"/>
                <w:sz w:val="24"/>
                <w:szCs w:val="24"/>
              </w:rPr>
            </w:pPr>
            <w:r>
              <w:rPr>
                <w:rFonts w:hint="eastAsia" w:cs="仿宋_GB2312"/>
                <w:sz w:val="24"/>
                <w:szCs w:val="24"/>
              </w:rPr>
              <w:t>市委全面依法治市办、市普法办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74" w:type="dxa"/>
            <w:shd w:val="clear" w:color="auto" w:fill="auto"/>
            <w:vAlign w:val="center"/>
          </w:tcPr>
          <w:p>
            <w:pPr>
              <w:spacing w:line="240" w:lineRule="auto"/>
              <w:ind w:firstLine="0" w:firstLineChars="0"/>
              <w:jc w:val="center"/>
              <w:rPr>
                <w:rFonts w:cs="仿宋_GB2312"/>
                <w:sz w:val="24"/>
                <w:szCs w:val="24"/>
              </w:rPr>
            </w:pPr>
            <w:r>
              <w:rPr>
                <w:rFonts w:hint="eastAsia" w:cs="仿宋_GB2312"/>
                <w:sz w:val="24"/>
                <w:szCs w:val="24"/>
              </w:rPr>
              <w:t>21</w:t>
            </w:r>
          </w:p>
        </w:tc>
        <w:tc>
          <w:tcPr>
            <w:tcW w:w="5273" w:type="dxa"/>
            <w:shd w:val="clear" w:color="auto" w:fill="auto"/>
            <w:vAlign w:val="center"/>
          </w:tcPr>
          <w:p>
            <w:pPr>
              <w:spacing w:line="240" w:lineRule="auto"/>
              <w:ind w:firstLine="0" w:firstLineChars="0"/>
              <w:jc w:val="left"/>
              <w:rPr>
                <w:rFonts w:cs="仿宋_GB2312"/>
                <w:sz w:val="24"/>
                <w:szCs w:val="24"/>
              </w:rPr>
            </w:pPr>
            <w:r>
              <w:rPr>
                <w:rFonts w:hint="eastAsia" w:cs="仿宋_GB2312"/>
                <w:sz w:val="24"/>
                <w:szCs w:val="24"/>
              </w:rPr>
              <w:t>抓好基层法治创建活动</w:t>
            </w:r>
          </w:p>
        </w:tc>
        <w:tc>
          <w:tcPr>
            <w:tcW w:w="3112" w:type="dxa"/>
            <w:shd w:val="clear" w:color="auto" w:fill="auto"/>
            <w:vAlign w:val="center"/>
          </w:tcPr>
          <w:p>
            <w:pPr>
              <w:spacing w:line="240" w:lineRule="auto"/>
              <w:ind w:firstLine="0" w:firstLineChars="0"/>
              <w:jc w:val="left"/>
              <w:rPr>
                <w:rFonts w:cs="仿宋_GB2312"/>
                <w:sz w:val="24"/>
                <w:szCs w:val="24"/>
              </w:rPr>
            </w:pPr>
            <w:r>
              <w:rPr>
                <w:rFonts w:hint="eastAsia" w:cs="仿宋_GB2312"/>
                <w:sz w:val="24"/>
                <w:szCs w:val="24"/>
              </w:rPr>
              <w:t>市委政法委、市普法办、市民政局、各区普法办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74" w:type="dxa"/>
            <w:shd w:val="clear" w:color="auto" w:fill="auto"/>
            <w:vAlign w:val="center"/>
          </w:tcPr>
          <w:p>
            <w:pPr>
              <w:spacing w:line="240" w:lineRule="auto"/>
              <w:ind w:firstLine="0" w:firstLineChars="0"/>
              <w:jc w:val="center"/>
              <w:rPr>
                <w:rFonts w:cs="仿宋_GB2312"/>
                <w:sz w:val="24"/>
                <w:szCs w:val="24"/>
              </w:rPr>
            </w:pPr>
            <w:r>
              <w:rPr>
                <w:rFonts w:hint="eastAsia" w:cs="仿宋_GB2312"/>
                <w:sz w:val="24"/>
                <w:szCs w:val="24"/>
              </w:rPr>
              <w:t>22</w:t>
            </w:r>
          </w:p>
        </w:tc>
        <w:tc>
          <w:tcPr>
            <w:tcW w:w="5273" w:type="dxa"/>
            <w:shd w:val="clear" w:color="auto" w:fill="auto"/>
            <w:vAlign w:val="center"/>
          </w:tcPr>
          <w:p>
            <w:pPr>
              <w:spacing w:line="240" w:lineRule="auto"/>
              <w:ind w:firstLine="0" w:firstLineChars="0"/>
              <w:jc w:val="left"/>
              <w:rPr>
                <w:rFonts w:cs="仿宋_GB2312"/>
                <w:sz w:val="24"/>
                <w:szCs w:val="24"/>
              </w:rPr>
            </w:pPr>
            <w:r>
              <w:rPr>
                <w:rFonts w:hint="eastAsia" w:cs="仿宋_GB2312"/>
                <w:sz w:val="24"/>
                <w:szCs w:val="24"/>
              </w:rPr>
              <w:t>推动企业依法治理</w:t>
            </w:r>
          </w:p>
        </w:tc>
        <w:tc>
          <w:tcPr>
            <w:tcW w:w="3112" w:type="dxa"/>
            <w:shd w:val="clear" w:color="auto" w:fill="auto"/>
            <w:vAlign w:val="center"/>
          </w:tcPr>
          <w:p>
            <w:pPr>
              <w:spacing w:line="240" w:lineRule="auto"/>
              <w:ind w:firstLine="0" w:firstLineChars="0"/>
              <w:jc w:val="left"/>
              <w:rPr>
                <w:rFonts w:cs="仿宋_GB2312"/>
                <w:sz w:val="24"/>
                <w:szCs w:val="24"/>
              </w:rPr>
            </w:pPr>
            <w:r>
              <w:rPr>
                <w:rFonts w:hint="eastAsia" w:cs="仿宋_GB2312"/>
                <w:sz w:val="24"/>
                <w:szCs w:val="24"/>
              </w:rPr>
              <w:t>市普法办、市经贸信息委、市国资委、市总工会、市工商联、各区普法办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74" w:type="dxa"/>
            <w:shd w:val="clear" w:color="auto" w:fill="auto"/>
            <w:vAlign w:val="center"/>
          </w:tcPr>
          <w:p>
            <w:pPr>
              <w:spacing w:line="240" w:lineRule="auto"/>
              <w:ind w:firstLine="0" w:firstLineChars="0"/>
              <w:jc w:val="center"/>
              <w:rPr>
                <w:rFonts w:cs="仿宋_GB2312"/>
                <w:sz w:val="24"/>
                <w:szCs w:val="24"/>
              </w:rPr>
            </w:pPr>
            <w:r>
              <w:rPr>
                <w:rFonts w:hint="eastAsia" w:cs="仿宋_GB2312"/>
                <w:sz w:val="24"/>
                <w:szCs w:val="24"/>
              </w:rPr>
              <w:t>23</w:t>
            </w:r>
          </w:p>
        </w:tc>
        <w:tc>
          <w:tcPr>
            <w:tcW w:w="5273" w:type="dxa"/>
            <w:shd w:val="clear" w:color="auto" w:fill="auto"/>
            <w:vAlign w:val="center"/>
          </w:tcPr>
          <w:p>
            <w:pPr>
              <w:spacing w:line="240" w:lineRule="auto"/>
              <w:ind w:firstLine="0" w:firstLineChars="0"/>
              <w:jc w:val="left"/>
              <w:rPr>
                <w:rFonts w:cs="仿宋_GB2312"/>
                <w:sz w:val="24"/>
                <w:szCs w:val="24"/>
              </w:rPr>
            </w:pPr>
            <w:r>
              <w:rPr>
                <w:rFonts w:hint="eastAsia" w:cs="仿宋_GB2312"/>
                <w:sz w:val="24"/>
                <w:szCs w:val="24"/>
              </w:rPr>
              <w:t>迎接中央和省“七五”普法中期检查</w:t>
            </w:r>
          </w:p>
        </w:tc>
        <w:tc>
          <w:tcPr>
            <w:tcW w:w="3112" w:type="dxa"/>
            <w:shd w:val="clear" w:color="auto" w:fill="auto"/>
            <w:vAlign w:val="center"/>
          </w:tcPr>
          <w:p>
            <w:pPr>
              <w:spacing w:line="240" w:lineRule="auto"/>
              <w:ind w:firstLine="0" w:firstLineChars="0"/>
              <w:jc w:val="left"/>
              <w:rPr>
                <w:rFonts w:cs="仿宋_GB2312"/>
                <w:sz w:val="24"/>
                <w:szCs w:val="24"/>
              </w:rPr>
            </w:pPr>
            <w:r>
              <w:rPr>
                <w:rFonts w:hint="eastAsia" w:cs="仿宋_GB2312"/>
                <w:sz w:val="24"/>
                <w:szCs w:val="24"/>
              </w:rPr>
              <w:t>市普法办、各区普法办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74" w:type="dxa"/>
            <w:shd w:val="clear" w:color="auto" w:fill="auto"/>
            <w:vAlign w:val="center"/>
          </w:tcPr>
          <w:p>
            <w:pPr>
              <w:spacing w:line="240" w:lineRule="auto"/>
              <w:ind w:firstLine="0" w:firstLineChars="0"/>
              <w:jc w:val="center"/>
              <w:rPr>
                <w:rFonts w:cs="仿宋_GB2312"/>
                <w:sz w:val="24"/>
                <w:szCs w:val="24"/>
              </w:rPr>
            </w:pPr>
            <w:r>
              <w:rPr>
                <w:rFonts w:hint="eastAsia" w:cs="仿宋_GB2312"/>
                <w:sz w:val="24"/>
                <w:szCs w:val="24"/>
              </w:rPr>
              <w:t>24</w:t>
            </w:r>
          </w:p>
        </w:tc>
        <w:tc>
          <w:tcPr>
            <w:tcW w:w="5273" w:type="dxa"/>
            <w:shd w:val="clear" w:color="auto" w:fill="auto"/>
            <w:vAlign w:val="center"/>
          </w:tcPr>
          <w:p>
            <w:pPr>
              <w:spacing w:line="240" w:lineRule="auto"/>
              <w:ind w:firstLine="0" w:firstLineChars="0"/>
              <w:jc w:val="left"/>
              <w:rPr>
                <w:rFonts w:cs="仿宋_GB2312"/>
                <w:sz w:val="24"/>
                <w:szCs w:val="24"/>
              </w:rPr>
            </w:pPr>
            <w:r>
              <w:rPr>
                <w:rFonts w:hint="eastAsia" w:cs="仿宋_GB2312"/>
                <w:sz w:val="24"/>
                <w:szCs w:val="24"/>
              </w:rPr>
              <w:t>完善普法讲师团制度</w:t>
            </w:r>
          </w:p>
        </w:tc>
        <w:tc>
          <w:tcPr>
            <w:tcW w:w="3112" w:type="dxa"/>
            <w:shd w:val="clear" w:color="auto" w:fill="auto"/>
            <w:vAlign w:val="center"/>
          </w:tcPr>
          <w:p>
            <w:pPr>
              <w:spacing w:line="240" w:lineRule="auto"/>
              <w:ind w:firstLine="0" w:firstLineChars="0"/>
              <w:jc w:val="left"/>
              <w:rPr>
                <w:rFonts w:cs="仿宋_GB2312"/>
                <w:sz w:val="24"/>
                <w:szCs w:val="24"/>
              </w:rPr>
            </w:pPr>
            <w:r>
              <w:rPr>
                <w:rFonts w:hint="eastAsia" w:cs="仿宋_GB2312"/>
                <w:sz w:val="24"/>
                <w:szCs w:val="24"/>
              </w:rPr>
              <w:t>市普法办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74" w:type="dxa"/>
            <w:shd w:val="clear" w:color="auto" w:fill="auto"/>
            <w:vAlign w:val="center"/>
          </w:tcPr>
          <w:p>
            <w:pPr>
              <w:spacing w:line="240" w:lineRule="auto"/>
              <w:ind w:firstLine="0" w:firstLineChars="0"/>
              <w:jc w:val="center"/>
              <w:rPr>
                <w:rFonts w:cs="仿宋_GB2312"/>
                <w:sz w:val="24"/>
                <w:szCs w:val="24"/>
              </w:rPr>
            </w:pPr>
            <w:r>
              <w:rPr>
                <w:rFonts w:hint="eastAsia" w:cs="仿宋_GB2312"/>
                <w:sz w:val="24"/>
                <w:szCs w:val="24"/>
              </w:rPr>
              <w:t>25</w:t>
            </w:r>
          </w:p>
        </w:tc>
        <w:tc>
          <w:tcPr>
            <w:tcW w:w="5273" w:type="dxa"/>
            <w:shd w:val="clear" w:color="auto" w:fill="auto"/>
            <w:vAlign w:val="center"/>
          </w:tcPr>
          <w:p>
            <w:pPr>
              <w:spacing w:line="240" w:lineRule="auto"/>
              <w:ind w:firstLine="0" w:firstLineChars="0"/>
              <w:jc w:val="left"/>
              <w:rPr>
                <w:rFonts w:cs="仿宋_GB2312"/>
                <w:sz w:val="24"/>
                <w:szCs w:val="24"/>
              </w:rPr>
            </w:pPr>
            <w:r>
              <w:rPr>
                <w:rFonts w:hint="eastAsia" w:cs="仿宋_GB2312"/>
                <w:sz w:val="24"/>
                <w:szCs w:val="24"/>
              </w:rPr>
              <w:t>充实普法志愿者队伍</w:t>
            </w:r>
          </w:p>
        </w:tc>
        <w:tc>
          <w:tcPr>
            <w:tcW w:w="3112" w:type="dxa"/>
            <w:shd w:val="clear" w:color="auto" w:fill="auto"/>
            <w:vAlign w:val="center"/>
          </w:tcPr>
          <w:p>
            <w:pPr>
              <w:spacing w:line="240" w:lineRule="auto"/>
              <w:ind w:firstLine="0" w:firstLineChars="0"/>
              <w:jc w:val="left"/>
              <w:rPr>
                <w:rFonts w:cs="仿宋_GB2312"/>
                <w:sz w:val="24"/>
                <w:szCs w:val="24"/>
              </w:rPr>
            </w:pPr>
            <w:r>
              <w:rPr>
                <w:rFonts w:hint="eastAsia" w:cs="仿宋_GB2312"/>
                <w:sz w:val="24"/>
                <w:szCs w:val="24"/>
              </w:rPr>
              <w:t>各区普法办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74" w:type="dxa"/>
            <w:shd w:val="clear" w:color="auto" w:fill="auto"/>
            <w:vAlign w:val="center"/>
          </w:tcPr>
          <w:p>
            <w:pPr>
              <w:spacing w:line="240" w:lineRule="auto"/>
              <w:ind w:firstLine="0" w:firstLineChars="0"/>
              <w:jc w:val="center"/>
              <w:rPr>
                <w:rFonts w:cs="仿宋_GB2312"/>
                <w:sz w:val="24"/>
                <w:szCs w:val="24"/>
              </w:rPr>
            </w:pPr>
            <w:r>
              <w:rPr>
                <w:rFonts w:hint="eastAsia" w:cs="仿宋_GB2312"/>
                <w:sz w:val="24"/>
                <w:szCs w:val="24"/>
              </w:rPr>
              <w:t>26</w:t>
            </w:r>
          </w:p>
        </w:tc>
        <w:tc>
          <w:tcPr>
            <w:tcW w:w="5273" w:type="dxa"/>
            <w:shd w:val="clear" w:color="auto" w:fill="auto"/>
            <w:vAlign w:val="center"/>
          </w:tcPr>
          <w:p>
            <w:pPr>
              <w:spacing w:line="240" w:lineRule="auto"/>
              <w:ind w:firstLine="0" w:firstLineChars="0"/>
              <w:jc w:val="left"/>
              <w:rPr>
                <w:rFonts w:cs="仿宋_GB2312"/>
                <w:sz w:val="24"/>
                <w:szCs w:val="24"/>
              </w:rPr>
            </w:pPr>
            <w:r>
              <w:rPr>
                <w:rFonts w:hint="eastAsia" w:cs="仿宋_GB2312"/>
                <w:sz w:val="24"/>
                <w:szCs w:val="24"/>
              </w:rPr>
              <w:t>招募普法形象大使</w:t>
            </w:r>
          </w:p>
        </w:tc>
        <w:tc>
          <w:tcPr>
            <w:tcW w:w="3112" w:type="dxa"/>
            <w:shd w:val="clear" w:color="auto" w:fill="auto"/>
            <w:vAlign w:val="center"/>
          </w:tcPr>
          <w:p>
            <w:pPr>
              <w:spacing w:line="240" w:lineRule="auto"/>
              <w:ind w:firstLine="0" w:firstLineChars="0"/>
              <w:jc w:val="left"/>
              <w:rPr>
                <w:rFonts w:cs="仿宋_GB2312"/>
                <w:sz w:val="24"/>
                <w:szCs w:val="24"/>
              </w:rPr>
            </w:pPr>
            <w:r>
              <w:rPr>
                <w:rFonts w:hint="eastAsia" w:cs="仿宋_GB2312"/>
                <w:sz w:val="24"/>
                <w:szCs w:val="24"/>
              </w:rPr>
              <w:t>市普法办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74" w:type="dxa"/>
            <w:shd w:val="clear" w:color="auto" w:fill="auto"/>
            <w:vAlign w:val="center"/>
          </w:tcPr>
          <w:p>
            <w:pPr>
              <w:spacing w:line="240" w:lineRule="auto"/>
              <w:ind w:firstLine="0" w:firstLineChars="0"/>
              <w:jc w:val="center"/>
              <w:rPr>
                <w:rFonts w:cs="仿宋_GB2312"/>
                <w:sz w:val="24"/>
                <w:szCs w:val="24"/>
              </w:rPr>
            </w:pPr>
            <w:r>
              <w:rPr>
                <w:rFonts w:hint="eastAsia" w:cs="仿宋_GB2312"/>
                <w:sz w:val="24"/>
                <w:szCs w:val="24"/>
              </w:rPr>
              <w:t>27</w:t>
            </w:r>
          </w:p>
        </w:tc>
        <w:tc>
          <w:tcPr>
            <w:tcW w:w="5273" w:type="dxa"/>
            <w:shd w:val="clear" w:color="auto" w:fill="auto"/>
            <w:vAlign w:val="center"/>
          </w:tcPr>
          <w:p>
            <w:pPr>
              <w:spacing w:line="240" w:lineRule="auto"/>
              <w:ind w:firstLine="0" w:firstLineChars="0"/>
              <w:jc w:val="left"/>
              <w:rPr>
                <w:rFonts w:cs="仿宋_GB2312"/>
                <w:sz w:val="24"/>
                <w:szCs w:val="24"/>
              </w:rPr>
            </w:pPr>
            <w:r>
              <w:rPr>
                <w:rFonts w:hint="eastAsia" w:cs="仿宋_GB2312"/>
                <w:sz w:val="24"/>
                <w:szCs w:val="24"/>
              </w:rPr>
              <w:t>开展“普法与治理”主题培训</w:t>
            </w:r>
          </w:p>
        </w:tc>
        <w:tc>
          <w:tcPr>
            <w:tcW w:w="3112" w:type="dxa"/>
            <w:shd w:val="clear" w:color="auto" w:fill="auto"/>
            <w:vAlign w:val="center"/>
          </w:tcPr>
          <w:p>
            <w:pPr>
              <w:spacing w:line="240" w:lineRule="auto"/>
              <w:ind w:firstLine="0" w:firstLineChars="0"/>
              <w:jc w:val="left"/>
              <w:rPr>
                <w:rFonts w:cs="仿宋_GB2312"/>
                <w:sz w:val="24"/>
                <w:szCs w:val="24"/>
              </w:rPr>
            </w:pPr>
            <w:r>
              <w:rPr>
                <w:rFonts w:hint="eastAsia" w:cs="仿宋_GB2312"/>
                <w:sz w:val="24"/>
                <w:szCs w:val="24"/>
              </w:rPr>
              <w:t>市普法办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74" w:type="dxa"/>
            <w:shd w:val="clear" w:color="auto" w:fill="auto"/>
            <w:vAlign w:val="center"/>
          </w:tcPr>
          <w:p>
            <w:pPr>
              <w:spacing w:line="240" w:lineRule="auto"/>
              <w:ind w:firstLine="0" w:firstLineChars="0"/>
              <w:jc w:val="center"/>
              <w:rPr>
                <w:rFonts w:cs="仿宋_GB2312"/>
                <w:sz w:val="24"/>
                <w:szCs w:val="24"/>
              </w:rPr>
            </w:pPr>
            <w:r>
              <w:rPr>
                <w:rFonts w:hint="eastAsia" w:cs="仿宋_GB2312"/>
                <w:sz w:val="24"/>
                <w:szCs w:val="24"/>
              </w:rPr>
              <w:t>28</w:t>
            </w:r>
          </w:p>
        </w:tc>
        <w:tc>
          <w:tcPr>
            <w:tcW w:w="5273" w:type="dxa"/>
            <w:shd w:val="clear" w:color="auto" w:fill="auto"/>
            <w:vAlign w:val="center"/>
          </w:tcPr>
          <w:p>
            <w:pPr>
              <w:spacing w:line="240" w:lineRule="auto"/>
              <w:ind w:firstLine="0" w:firstLineChars="0"/>
              <w:jc w:val="left"/>
              <w:rPr>
                <w:rFonts w:cs="仿宋_GB2312"/>
                <w:sz w:val="24"/>
                <w:szCs w:val="24"/>
              </w:rPr>
            </w:pPr>
            <w:r>
              <w:rPr>
                <w:rFonts w:hint="eastAsia" w:cs="仿宋_GB2312"/>
                <w:sz w:val="24"/>
                <w:szCs w:val="24"/>
              </w:rPr>
              <w:t>配备普法社工</w:t>
            </w:r>
          </w:p>
        </w:tc>
        <w:tc>
          <w:tcPr>
            <w:tcW w:w="3112" w:type="dxa"/>
            <w:shd w:val="clear" w:color="auto" w:fill="auto"/>
            <w:vAlign w:val="center"/>
          </w:tcPr>
          <w:p>
            <w:pPr>
              <w:spacing w:line="240" w:lineRule="auto"/>
              <w:ind w:firstLine="0" w:firstLineChars="0"/>
              <w:jc w:val="left"/>
              <w:rPr>
                <w:rFonts w:cs="仿宋_GB2312"/>
                <w:sz w:val="24"/>
                <w:szCs w:val="24"/>
              </w:rPr>
            </w:pPr>
            <w:r>
              <w:rPr>
                <w:rFonts w:hint="eastAsia" w:cs="仿宋_GB2312"/>
                <w:sz w:val="24"/>
                <w:szCs w:val="24"/>
              </w:rPr>
              <w:t>市普法办、各区普法办</w:t>
            </w:r>
          </w:p>
        </w:tc>
      </w:tr>
    </w:tbl>
    <w:p>
      <w:pPr>
        <w:ind w:firstLine="0" w:firstLineChars="0"/>
      </w:pPr>
    </w:p>
    <w:p>
      <w:pPr>
        <w:pStyle w:val="5"/>
      </w:pPr>
      <w:r>
        <w:rPr>
          <w:rFonts w:hint="eastAsia"/>
        </w:rPr>
        <w:t>（2）使用方式及范围。</w:t>
      </w:r>
    </w:p>
    <w:p>
      <w:r>
        <w:rPr>
          <w:rFonts w:hint="eastAsia"/>
        </w:rPr>
        <w:t>本项目</w:t>
      </w:r>
      <w:r>
        <w:t>属于</w:t>
      </w:r>
      <w:r>
        <w:rPr>
          <w:rFonts w:hint="eastAsia"/>
        </w:rPr>
        <w:t>我局</w:t>
      </w:r>
      <w:r>
        <w:t>经常性项目经费，每年编制支出预算，纳入部门预算。</w:t>
      </w:r>
      <w:r>
        <w:rPr>
          <w:rFonts w:hint="eastAsia"/>
        </w:rPr>
        <w:t>主要用于支付法治公益广告、立柱、移动视频等投放费用；常规化法治论坛、沙龙、案例说法等主题活动组织费用；微信公众号法治宣传费用。</w:t>
      </w:r>
    </w:p>
    <w:p>
      <w:pPr>
        <w:pStyle w:val="5"/>
        <w:numPr>
          <w:ilvl w:val="0"/>
          <w:numId w:val="2"/>
        </w:numPr>
      </w:pPr>
      <w:r>
        <w:rPr>
          <w:rFonts w:hint="eastAsia"/>
        </w:rPr>
        <w:t>项目招投标情况。</w:t>
      </w:r>
    </w:p>
    <w:p>
      <w:r>
        <w:rPr>
          <w:rFonts w:hint="eastAsia"/>
        </w:rPr>
        <w:t>普法项目在选定服务商时遵循“公开、公平、公正、诚信、择优”的原则，并采取公开招标、邀请招标、竞争性谈判或单一来源等方式进行采购。评标后，采购小组必须出具《中标确认表》，向中标人发出中标通知书，同时将中标结果告知未中标的投标人。中标公告在局内公告栏或内网进行公示，时间不少于3天。最后，采购部门以“深圳市司法局”名义与被选定的供应商签订合同。</w:t>
      </w:r>
    </w:p>
    <w:p>
      <w:pPr>
        <w:pStyle w:val="5"/>
      </w:pPr>
      <w:r>
        <w:rPr>
          <w:rFonts w:hint="eastAsia"/>
        </w:rPr>
        <w:t>（4）项目资金预算情况。</w:t>
      </w:r>
    </w:p>
    <w:p>
      <w:r>
        <w:t>2018年度</w:t>
      </w:r>
      <w:r>
        <w:rPr>
          <w:rFonts w:hint="eastAsia"/>
        </w:rPr>
        <w:t>，</w:t>
      </w:r>
      <w:r>
        <w:t>“</w:t>
      </w:r>
      <w:r>
        <w:rPr>
          <w:rFonts w:hint="eastAsia"/>
        </w:rPr>
        <w:t>普法宣传经费</w:t>
      </w:r>
      <w:r>
        <w:t>”项目年初预算安排</w:t>
      </w:r>
      <w:r>
        <w:rPr>
          <w:rFonts w:hint="eastAsia"/>
        </w:rPr>
        <w:t>590.00万元，其中，</w:t>
      </w:r>
      <w:r>
        <w:rPr>
          <w:rFonts w:hint="eastAsia"/>
          <w:highlight w:val="none"/>
        </w:rPr>
        <w:t>存量项目490.00万元，新增项目100.00万元</w:t>
      </w:r>
      <w:r>
        <w:rPr>
          <w:highlight w:val="none"/>
        </w:rPr>
        <w:t>。</w:t>
      </w:r>
      <w:r>
        <w:rPr>
          <w:rFonts w:hint="eastAsia"/>
        </w:rPr>
        <w:t>项目资金预算情况如下表：</w:t>
      </w:r>
    </w:p>
    <w:p>
      <w:pPr>
        <w:ind w:firstLine="0" w:firstLineChars="0"/>
        <w:rPr>
          <w:rFonts w:ascii="黑体" w:hAnsi="黑体" w:eastAsia="黑体" w:cs="黑体"/>
          <w:color w:val="FF0000"/>
          <w:sz w:val="28"/>
          <w:szCs w:val="28"/>
        </w:rPr>
      </w:pPr>
    </w:p>
    <w:p>
      <w:pPr>
        <w:ind w:firstLine="560"/>
        <w:jc w:val="center"/>
        <w:rPr>
          <w:rFonts w:ascii="黑体" w:hAnsi="黑体" w:eastAsia="黑体" w:cs="黑体"/>
          <w:sz w:val="28"/>
          <w:szCs w:val="28"/>
        </w:rPr>
      </w:pPr>
      <w:r>
        <w:rPr>
          <w:rFonts w:hint="eastAsia" w:ascii="黑体" w:hAnsi="黑体" w:eastAsia="黑体" w:cs="黑体"/>
          <w:sz w:val="28"/>
          <w:szCs w:val="28"/>
        </w:rPr>
        <w:t>表1-2 项目资金预算明细表</w:t>
      </w:r>
    </w:p>
    <w:p>
      <w:pPr>
        <w:ind w:firstLine="480"/>
        <w:jc w:val="center"/>
        <w:rPr>
          <w:rFonts w:cs="仿宋_GB2312"/>
          <w:sz w:val="24"/>
        </w:rPr>
      </w:pPr>
      <w:r>
        <w:rPr>
          <w:rFonts w:hint="eastAsia" w:cs="仿宋_GB2312"/>
          <w:sz w:val="24"/>
        </w:rPr>
        <w:t xml:space="preserve">                                                      单位：万元</w:t>
      </w:r>
    </w:p>
    <w:tbl>
      <w:tblPr>
        <w:tblStyle w:val="13"/>
        <w:tblpPr w:leftFromText="180" w:rightFromText="180" w:vertAnchor="text" w:horzAnchor="page" w:tblpXSpec="center" w:tblpY="186"/>
        <w:tblOverlap w:val="never"/>
        <w:tblW w:w="94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0"/>
        <w:gridCol w:w="1335"/>
        <w:gridCol w:w="1376"/>
        <w:gridCol w:w="1147"/>
        <w:gridCol w:w="1244"/>
        <w:gridCol w:w="1305"/>
        <w:gridCol w:w="14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530" w:type="dxa"/>
            <w:shd w:val="clear" w:color="auto" w:fill="D8D8D8"/>
            <w:vAlign w:val="center"/>
          </w:tcPr>
          <w:p>
            <w:pPr>
              <w:ind w:firstLine="0" w:firstLineChars="0"/>
              <w:jc w:val="center"/>
              <w:rPr>
                <w:b/>
                <w:bCs/>
                <w:sz w:val="24"/>
                <w:szCs w:val="24"/>
              </w:rPr>
            </w:pPr>
            <w:r>
              <w:rPr>
                <w:rFonts w:hint="eastAsia"/>
                <w:b/>
                <w:bCs/>
                <w:sz w:val="24"/>
                <w:szCs w:val="24"/>
              </w:rPr>
              <w:t>预算单位</w:t>
            </w:r>
          </w:p>
        </w:tc>
        <w:tc>
          <w:tcPr>
            <w:tcW w:w="1335" w:type="dxa"/>
            <w:shd w:val="clear" w:color="auto" w:fill="D8D8D8"/>
            <w:vAlign w:val="center"/>
          </w:tcPr>
          <w:p>
            <w:pPr>
              <w:ind w:firstLine="0" w:firstLineChars="0"/>
              <w:jc w:val="center"/>
              <w:rPr>
                <w:b/>
                <w:bCs/>
                <w:sz w:val="24"/>
                <w:szCs w:val="24"/>
              </w:rPr>
            </w:pPr>
            <w:r>
              <w:rPr>
                <w:rFonts w:hint="eastAsia"/>
                <w:b/>
                <w:bCs/>
                <w:sz w:val="24"/>
                <w:szCs w:val="24"/>
              </w:rPr>
              <w:t>预算项目</w:t>
            </w:r>
          </w:p>
        </w:tc>
        <w:tc>
          <w:tcPr>
            <w:tcW w:w="1376" w:type="dxa"/>
            <w:shd w:val="clear" w:color="auto" w:fill="D8D8D8"/>
            <w:vAlign w:val="center"/>
          </w:tcPr>
          <w:p>
            <w:pPr>
              <w:ind w:firstLine="0" w:firstLineChars="0"/>
              <w:jc w:val="center"/>
              <w:rPr>
                <w:b/>
                <w:bCs/>
                <w:sz w:val="24"/>
                <w:szCs w:val="24"/>
              </w:rPr>
            </w:pPr>
            <w:r>
              <w:rPr>
                <w:rFonts w:hint="eastAsia"/>
                <w:b/>
                <w:bCs/>
                <w:sz w:val="24"/>
                <w:szCs w:val="24"/>
              </w:rPr>
              <w:t>功能分类</w:t>
            </w:r>
          </w:p>
        </w:tc>
        <w:tc>
          <w:tcPr>
            <w:tcW w:w="1147" w:type="dxa"/>
            <w:shd w:val="clear" w:color="auto" w:fill="D8D8D8"/>
            <w:vAlign w:val="center"/>
          </w:tcPr>
          <w:p>
            <w:pPr>
              <w:ind w:firstLine="0" w:firstLineChars="0"/>
              <w:jc w:val="center"/>
              <w:rPr>
                <w:b/>
                <w:bCs/>
                <w:sz w:val="24"/>
                <w:szCs w:val="24"/>
              </w:rPr>
            </w:pPr>
            <w:r>
              <w:rPr>
                <w:rFonts w:hint="eastAsia"/>
                <w:b/>
                <w:bCs/>
                <w:sz w:val="24"/>
                <w:szCs w:val="24"/>
              </w:rPr>
              <w:t>部门预算指标</w:t>
            </w:r>
          </w:p>
        </w:tc>
        <w:tc>
          <w:tcPr>
            <w:tcW w:w="1244" w:type="dxa"/>
            <w:shd w:val="clear" w:color="auto" w:fill="D8D8D8"/>
            <w:vAlign w:val="center"/>
          </w:tcPr>
          <w:p>
            <w:pPr>
              <w:ind w:firstLine="0" w:firstLineChars="0"/>
              <w:jc w:val="center"/>
              <w:rPr>
                <w:b/>
                <w:bCs/>
                <w:sz w:val="24"/>
                <w:szCs w:val="24"/>
              </w:rPr>
            </w:pPr>
            <w:r>
              <w:rPr>
                <w:rFonts w:hint="eastAsia"/>
                <w:b/>
                <w:bCs/>
                <w:sz w:val="24"/>
                <w:szCs w:val="24"/>
              </w:rPr>
              <w:t>追加指标</w:t>
            </w:r>
          </w:p>
        </w:tc>
        <w:tc>
          <w:tcPr>
            <w:tcW w:w="1305" w:type="dxa"/>
            <w:shd w:val="clear" w:color="auto" w:fill="D8D8D8"/>
            <w:vAlign w:val="center"/>
          </w:tcPr>
          <w:p>
            <w:pPr>
              <w:ind w:firstLine="0" w:firstLineChars="0"/>
              <w:jc w:val="center"/>
              <w:rPr>
                <w:b/>
                <w:bCs/>
                <w:sz w:val="24"/>
                <w:szCs w:val="24"/>
              </w:rPr>
            </w:pPr>
            <w:r>
              <w:rPr>
                <w:rFonts w:hint="eastAsia"/>
                <w:b/>
                <w:bCs/>
                <w:sz w:val="24"/>
                <w:szCs w:val="24"/>
              </w:rPr>
              <w:t>调整指标</w:t>
            </w:r>
          </w:p>
        </w:tc>
        <w:tc>
          <w:tcPr>
            <w:tcW w:w="1486" w:type="dxa"/>
            <w:shd w:val="clear" w:color="auto" w:fill="D8D8D8"/>
            <w:vAlign w:val="center"/>
          </w:tcPr>
          <w:p>
            <w:pPr>
              <w:ind w:firstLine="0" w:firstLineChars="0"/>
              <w:jc w:val="center"/>
              <w:rPr>
                <w:b/>
                <w:bCs/>
                <w:sz w:val="24"/>
                <w:szCs w:val="24"/>
              </w:rPr>
            </w:pPr>
            <w:r>
              <w:rPr>
                <w:rFonts w:hint="eastAsia"/>
                <w:b/>
                <w:bCs/>
                <w:sz w:val="24"/>
                <w:szCs w:val="24"/>
              </w:rPr>
              <w:t>年度总规模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530" w:type="dxa"/>
            <w:vMerge w:val="restart"/>
            <w:shd w:val="clear" w:color="auto" w:fill="auto"/>
            <w:vAlign w:val="center"/>
          </w:tcPr>
          <w:p>
            <w:pPr>
              <w:ind w:firstLine="0" w:firstLineChars="0"/>
              <w:jc w:val="center"/>
              <w:rPr>
                <w:sz w:val="24"/>
                <w:szCs w:val="24"/>
              </w:rPr>
            </w:pPr>
            <w:r>
              <w:rPr>
                <w:rFonts w:hint="eastAsia"/>
                <w:sz w:val="24"/>
                <w:szCs w:val="24"/>
              </w:rPr>
              <w:t>深圳市司法局(行政)</w:t>
            </w:r>
          </w:p>
        </w:tc>
        <w:tc>
          <w:tcPr>
            <w:tcW w:w="1335" w:type="dxa"/>
            <w:vMerge w:val="restart"/>
            <w:shd w:val="clear" w:color="auto" w:fill="auto"/>
            <w:vAlign w:val="center"/>
          </w:tcPr>
          <w:p>
            <w:pPr>
              <w:ind w:firstLine="0" w:firstLineChars="0"/>
              <w:jc w:val="center"/>
              <w:rPr>
                <w:sz w:val="24"/>
                <w:szCs w:val="24"/>
              </w:rPr>
            </w:pPr>
            <w:r>
              <w:rPr>
                <w:rFonts w:hint="eastAsia"/>
                <w:sz w:val="24"/>
                <w:szCs w:val="24"/>
              </w:rPr>
              <w:t>普法宣传经费</w:t>
            </w:r>
          </w:p>
        </w:tc>
        <w:tc>
          <w:tcPr>
            <w:tcW w:w="1376" w:type="dxa"/>
            <w:shd w:val="clear" w:color="auto" w:fill="auto"/>
            <w:vAlign w:val="center"/>
          </w:tcPr>
          <w:p>
            <w:pPr>
              <w:ind w:firstLine="0" w:firstLineChars="0"/>
              <w:jc w:val="center"/>
              <w:rPr>
                <w:sz w:val="24"/>
                <w:szCs w:val="24"/>
              </w:rPr>
            </w:pPr>
            <w:r>
              <w:rPr>
                <w:rFonts w:hint="eastAsia"/>
                <w:sz w:val="24"/>
                <w:szCs w:val="24"/>
              </w:rPr>
              <w:t>普法宣传</w:t>
            </w:r>
          </w:p>
        </w:tc>
        <w:tc>
          <w:tcPr>
            <w:tcW w:w="1147" w:type="dxa"/>
            <w:shd w:val="clear" w:color="auto" w:fill="auto"/>
            <w:vAlign w:val="center"/>
          </w:tcPr>
          <w:p>
            <w:pPr>
              <w:ind w:firstLine="0" w:firstLineChars="0"/>
              <w:jc w:val="center"/>
              <w:rPr>
                <w:sz w:val="24"/>
                <w:szCs w:val="24"/>
              </w:rPr>
            </w:pPr>
            <w:r>
              <w:rPr>
                <w:rFonts w:hint="eastAsia"/>
                <w:sz w:val="24"/>
                <w:szCs w:val="24"/>
              </w:rPr>
              <w:t>566.00</w:t>
            </w:r>
          </w:p>
        </w:tc>
        <w:tc>
          <w:tcPr>
            <w:tcW w:w="1244" w:type="dxa"/>
            <w:shd w:val="clear" w:color="auto" w:fill="auto"/>
            <w:vAlign w:val="center"/>
          </w:tcPr>
          <w:p>
            <w:pPr>
              <w:ind w:firstLine="0" w:firstLineChars="0"/>
              <w:jc w:val="center"/>
              <w:rPr>
                <w:sz w:val="24"/>
                <w:szCs w:val="24"/>
              </w:rPr>
            </w:pPr>
            <w:r>
              <w:rPr>
                <w:rFonts w:hint="eastAsia"/>
                <w:sz w:val="24"/>
                <w:szCs w:val="24"/>
              </w:rPr>
              <w:t>——</w:t>
            </w:r>
          </w:p>
        </w:tc>
        <w:tc>
          <w:tcPr>
            <w:tcW w:w="1305" w:type="dxa"/>
            <w:shd w:val="clear" w:color="auto" w:fill="auto"/>
            <w:vAlign w:val="center"/>
          </w:tcPr>
          <w:p>
            <w:pPr>
              <w:ind w:firstLine="0" w:firstLineChars="0"/>
              <w:jc w:val="center"/>
              <w:rPr>
                <w:sz w:val="24"/>
                <w:szCs w:val="24"/>
              </w:rPr>
            </w:pPr>
            <w:r>
              <w:rPr>
                <w:rFonts w:hint="eastAsia"/>
                <w:sz w:val="24"/>
                <w:szCs w:val="24"/>
              </w:rPr>
              <w:t>——</w:t>
            </w:r>
          </w:p>
        </w:tc>
        <w:tc>
          <w:tcPr>
            <w:tcW w:w="1486" w:type="dxa"/>
            <w:shd w:val="clear" w:color="auto" w:fill="auto"/>
            <w:vAlign w:val="center"/>
          </w:tcPr>
          <w:p>
            <w:pPr>
              <w:ind w:firstLine="0" w:firstLineChars="0"/>
              <w:jc w:val="center"/>
              <w:rPr>
                <w:sz w:val="24"/>
                <w:szCs w:val="24"/>
              </w:rPr>
            </w:pPr>
            <w:r>
              <w:rPr>
                <w:rFonts w:hint="eastAsia"/>
                <w:sz w:val="24"/>
                <w:szCs w:val="24"/>
              </w:rPr>
              <w:t>566</w:t>
            </w:r>
            <w:r>
              <w:rPr>
                <w:sz w:val="24"/>
                <w:szCs w:val="24"/>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530" w:type="dxa"/>
            <w:vMerge w:val="continue"/>
            <w:shd w:val="clear" w:color="auto" w:fill="auto"/>
            <w:vAlign w:val="center"/>
          </w:tcPr>
          <w:p>
            <w:pPr>
              <w:ind w:firstLine="0" w:firstLineChars="0"/>
              <w:jc w:val="center"/>
              <w:rPr>
                <w:sz w:val="24"/>
                <w:szCs w:val="24"/>
              </w:rPr>
            </w:pPr>
          </w:p>
        </w:tc>
        <w:tc>
          <w:tcPr>
            <w:tcW w:w="1335" w:type="dxa"/>
            <w:vMerge w:val="continue"/>
            <w:shd w:val="clear" w:color="auto" w:fill="auto"/>
            <w:vAlign w:val="center"/>
          </w:tcPr>
          <w:p>
            <w:pPr>
              <w:ind w:firstLine="0" w:firstLineChars="0"/>
              <w:jc w:val="center"/>
              <w:rPr>
                <w:sz w:val="24"/>
                <w:szCs w:val="24"/>
              </w:rPr>
            </w:pPr>
          </w:p>
        </w:tc>
        <w:tc>
          <w:tcPr>
            <w:tcW w:w="1376" w:type="dxa"/>
            <w:shd w:val="clear" w:color="auto" w:fill="auto"/>
            <w:vAlign w:val="center"/>
          </w:tcPr>
          <w:p>
            <w:pPr>
              <w:ind w:firstLine="0" w:firstLineChars="0"/>
              <w:jc w:val="center"/>
              <w:rPr>
                <w:sz w:val="24"/>
                <w:szCs w:val="24"/>
              </w:rPr>
            </w:pPr>
            <w:r>
              <w:rPr>
                <w:rFonts w:hint="eastAsia"/>
                <w:sz w:val="24"/>
                <w:szCs w:val="24"/>
              </w:rPr>
              <w:t>培训支出</w:t>
            </w:r>
          </w:p>
        </w:tc>
        <w:tc>
          <w:tcPr>
            <w:tcW w:w="1147" w:type="dxa"/>
            <w:shd w:val="clear" w:color="auto" w:fill="auto"/>
            <w:vAlign w:val="center"/>
          </w:tcPr>
          <w:p>
            <w:pPr>
              <w:ind w:firstLine="0" w:firstLineChars="0"/>
              <w:jc w:val="center"/>
              <w:rPr>
                <w:sz w:val="24"/>
                <w:szCs w:val="24"/>
              </w:rPr>
            </w:pPr>
            <w:r>
              <w:rPr>
                <w:rFonts w:hint="eastAsia"/>
                <w:sz w:val="24"/>
                <w:szCs w:val="24"/>
              </w:rPr>
              <w:t>24.00</w:t>
            </w:r>
          </w:p>
        </w:tc>
        <w:tc>
          <w:tcPr>
            <w:tcW w:w="1244" w:type="dxa"/>
            <w:shd w:val="clear" w:color="auto" w:fill="auto"/>
            <w:vAlign w:val="center"/>
          </w:tcPr>
          <w:p>
            <w:pPr>
              <w:ind w:firstLine="0" w:firstLineChars="0"/>
              <w:jc w:val="center"/>
              <w:rPr>
                <w:sz w:val="24"/>
                <w:szCs w:val="24"/>
              </w:rPr>
            </w:pPr>
            <w:r>
              <w:rPr>
                <w:rFonts w:hint="eastAsia"/>
                <w:sz w:val="24"/>
                <w:szCs w:val="24"/>
              </w:rPr>
              <w:t>——</w:t>
            </w:r>
          </w:p>
        </w:tc>
        <w:tc>
          <w:tcPr>
            <w:tcW w:w="1305" w:type="dxa"/>
            <w:shd w:val="clear" w:color="auto" w:fill="auto"/>
            <w:vAlign w:val="center"/>
          </w:tcPr>
          <w:p>
            <w:pPr>
              <w:ind w:firstLine="0" w:firstLineChars="0"/>
              <w:jc w:val="center"/>
              <w:rPr>
                <w:sz w:val="24"/>
                <w:szCs w:val="24"/>
              </w:rPr>
            </w:pPr>
            <w:r>
              <w:rPr>
                <w:rFonts w:hint="eastAsia"/>
                <w:sz w:val="24"/>
                <w:szCs w:val="24"/>
              </w:rPr>
              <w:t>——</w:t>
            </w:r>
          </w:p>
        </w:tc>
        <w:tc>
          <w:tcPr>
            <w:tcW w:w="1486" w:type="dxa"/>
            <w:shd w:val="clear" w:color="auto" w:fill="auto"/>
            <w:vAlign w:val="center"/>
          </w:tcPr>
          <w:p>
            <w:pPr>
              <w:ind w:firstLine="0" w:firstLineChars="0"/>
              <w:jc w:val="center"/>
              <w:rPr>
                <w:sz w:val="24"/>
                <w:szCs w:val="24"/>
              </w:rPr>
            </w:pPr>
            <w:r>
              <w:rPr>
                <w:rFonts w:hint="eastAsia"/>
                <w:sz w:val="24"/>
                <w:szCs w:val="24"/>
              </w:rPr>
              <w:t>24.00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4241" w:type="dxa"/>
            <w:gridSpan w:val="3"/>
            <w:shd w:val="clear" w:color="auto" w:fill="auto"/>
            <w:vAlign w:val="center"/>
          </w:tcPr>
          <w:p>
            <w:pPr>
              <w:ind w:firstLine="0" w:firstLineChars="0"/>
              <w:jc w:val="center"/>
              <w:rPr>
                <w:sz w:val="24"/>
                <w:szCs w:val="24"/>
              </w:rPr>
            </w:pPr>
            <w:r>
              <w:rPr>
                <w:rFonts w:hint="eastAsia"/>
                <w:sz w:val="24"/>
                <w:szCs w:val="24"/>
              </w:rPr>
              <w:t>总计</w:t>
            </w:r>
          </w:p>
        </w:tc>
        <w:tc>
          <w:tcPr>
            <w:tcW w:w="1147" w:type="dxa"/>
            <w:shd w:val="clear" w:color="auto" w:fill="auto"/>
            <w:vAlign w:val="center"/>
          </w:tcPr>
          <w:p>
            <w:pPr>
              <w:ind w:firstLine="0" w:firstLineChars="0"/>
              <w:jc w:val="center"/>
              <w:rPr>
                <w:sz w:val="24"/>
                <w:szCs w:val="24"/>
              </w:rPr>
            </w:pPr>
            <w:r>
              <w:rPr>
                <w:rFonts w:hint="eastAsia"/>
                <w:sz w:val="24"/>
                <w:szCs w:val="24"/>
              </w:rPr>
              <w:t>590.00</w:t>
            </w:r>
          </w:p>
        </w:tc>
        <w:tc>
          <w:tcPr>
            <w:tcW w:w="1244" w:type="dxa"/>
            <w:shd w:val="clear" w:color="auto" w:fill="auto"/>
            <w:vAlign w:val="center"/>
          </w:tcPr>
          <w:p>
            <w:pPr>
              <w:ind w:firstLine="0" w:firstLineChars="0"/>
              <w:jc w:val="center"/>
              <w:rPr>
                <w:sz w:val="24"/>
                <w:szCs w:val="24"/>
              </w:rPr>
            </w:pPr>
            <w:r>
              <w:rPr>
                <w:rFonts w:hint="eastAsia"/>
                <w:sz w:val="24"/>
                <w:szCs w:val="24"/>
              </w:rPr>
              <w:t>——</w:t>
            </w:r>
          </w:p>
        </w:tc>
        <w:tc>
          <w:tcPr>
            <w:tcW w:w="1305" w:type="dxa"/>
            <w:shd w:val="clear" w:color="auto" w:fill="auto"/>
            <w:vAlign w:val="center"/>
          </w:tcPr>
          <w:p>
            <w:pPr>
              <w:ind w:firstLine="0" w:firstLineChars="0"/>
              <w:jc w:val="center"/>
              <w:rPr>
                <w:sz w:val="24"/>
                <w:szCs w:val="24"/>
              </w:rPr>
            </w:pPr>
            <w:r>
              <w:rPr>
                <w:rFonts w:hint="eastAsia"/>
                <w:sz w:val="24"/>
                <w:szCs w:val="24"/>
              </w:rPr>
              <w:t>——</w:t>
            </w:r>
          </w:p>
        </w:tc>
        <w:tc>
          <w:tcPr>
            <w:tcW w:w="1486" w:type="dxa"/>
            <w:shd w:val="clear" w:color="auto" w:fill="auto"/>
            <w:vAlign w:val="center"/>
          </w:tcPr>
          <w:p>
            <w:pPr>
              <w:ind w:firstLine="0" w:firstLineChars="0"/>
              <w:jc w:val="center"/>
              <w:rPr>
                <w:sz w:val="24"/>
                <w:szCs w:val="24"/>
              </w:rPr>
            </w:pPr>
            <w:r>
              <w:rPr>
                <w:rFonts w:hint="eastAsia"/>
                <w:sz w:val="24"/>
                <w:szCs w:val="24"/>
              </w:rPr>
              <w:t>590.00</w:t>
            </w:r>
          </w:p>
        </w:tc>
      </w:tr>
    </w:tbl>
    <w:p>
      <w:pPr>
        <w:ind w:firstLine="0" w:firstLineChars="0"/>
        <w:rPr>
          <w:color w:val="FF0000"/>
        </w:rPr>
      </w:pPr>
    </w:p>
    <w:p>
      <w:pPr>
        <w:pStyle w:val="4"/>
      </w:pPr>
      <w:r>
        <w:rPr>
          <w:rFonts w:hint="eastAsia"/>
        </w:rPr>
        <w:t>2.项目资金管理和使用情况。</w:t>
      </w:r>
    </w:p>
    <w:p>
      <w:pPr>
        <w:bidi w:val="0"/>
      </w:pPr>
      <w:r>
        <w:rPr>
          <w:rFonts w:hint="eastAsia"/>
        </w:rPr>
        <w:t>为进一步加强项目经费管理，规范财务管理工作，维护财经纪律，促进各项工作有序进行，使财务管理科学化、规范化、制度化，我局严格按照《中华人民共和国会计法》、《中华人民共和国预算法》、《行政单位财务规则》、《行政事业单位内部控制规范》、《深圳特区政府采购条例》、《司法行政机关财务管理暂行办法》和《深圳市司法局机关行政财务管理制度》等相关制度对项目经费进行管理。</w:t>
      </w:r>
    </w:p>
    <w:p>
      <w:pPr>
        <w:bidi w:val="0"/>
      </w:pPr>
      <w:r>
        <w:rPr>
          <w:rFonts w:hint="eastAsia"/>
        </w:rPr>
        <w:t>本项目遵循分级审批与集体审定相结合原则。一般情况下，由局分管财务领导和财务部门负责人按经费支出审批权限限额审批；数额较大的财务开支，由局办公会集体审定。项目支出事前申请程序如下，具体支付审批流程见图1-1所示：</w:t>
      </w:r>
    </w:p>
    <w:p>
      <w:pPr>
        <w:bidi w:val="0"/>
      </w:pPr>
      <w:r>
        <w:rPr>
          <w:rFonts w:hint="eastAsia"/>
        </w:rPr>
        <w:t xml:space="preserve">（1）经办人员提出申请(填写开支申请表并附预算表)； </w:t>
      </w:r>
    </w:p>
    <w:p>
      <w:pPr>
        <w:bidi w:val="0"/>
      </w:pPr>
      <w:r>
        <w:rPr>
          <w:rFonts w:hint="eastAsia"/>
        </w:rPr>
        <w:t>（2）报本处室负责人审核（处室对项目负责）；</w:t>
      </w:r>
    </w:p>
    <w:p>
      <w:pPr>
        <w:bidi w:val="0"/>
      </w:pPr>
      <w:r>
        <w:rPr>
          <w:rFonts w:hint="eastAsia"/>
        </w:rPr>
        <w:t>（3）按审批权限审批或提交局长办公会议审定。</w:t>
      </w:r>
    </w:p>
    <w:p>
      <w:pPr>
        <w:bidi w:val="0"/>
      </w:pPr>
    </w:p>
    <w:p>
      <w:pPr>
        <w:bidi w:val="0"/>
      </w:pPr>
    </w:p>
    <w:p>
      <w:pPr>
        <w:bidi w:val="0"/>
      </w:pPr>
    </w:p>
    <w:p>
      <w:pPr>
        <w:bidi w:val="0"/>
      </w:pPr>
    </w:p>
    <w:p>
      <w:pPr>
        <w:bidi w:val="0"/>
      </w:pPr>
    </w:p>
    <w:p>
      <w:pPr>
        <w:pStyle w:val="7"/>
        <w:ind w:firstLine="641"/>
        <w:rPr>
          <w:rFonts w:ascii="华文仿宋" w:hAnsi="华文仿宋" w:eastAsia="华文仿宋"/>
          <w:b/>
          <w:sz w:val="32"/>
          <w:szCs w:val="32"/>
        </w:rPr>
      </w:pPr>
    </w:p>
    <w:p>
      <w:pPr>
        <w:pStyle w:val="7"/>
        <w:ind w:firstLine="641"/>
        <w:rPr>
          <w:rFonts w:ascii="华文仿宋" w:hAnsi="华文仿宋" w:eastAsia="华文仿宋"/>
          <w:b/>
          <w:sz w:val="32"/>
          <w:szCs w:val="32"/>
        </w:rPr>
      </w:pPr>
    </w:p>
    <w:p>
      <w:pPr>
        <w:pStyle w:val="7"/>
        <w:ind w:firstLine="640"/>
        <w:rPr>
          <w:rFonts w:ascii="华文仿宋" w:hAnsi="华文仿宋" w:eastAsia="华文仿宋"/>
          <w:b/>
          <w:sz w:val="32"/>
          <w:szCs w:val="32"/>
        </w:rPr>
      </w:pPr>
      <w:r>
        <w:rPr>
          <w:rFonts w:ascii="华文仿宋" w:hAnsi="华文仿宋" w:eastAsia="华文仿宋"/>
          <w:sz w:val="32"/>
          <w:szCs w:val="32"/>
        </w:rPr>
        <mc:AlternateContent>
          <mc:Choice Requires="wps">
            <w:drawing>
              <wp:anchor distT="0" distB="0" distL="114300" distR="114300" simplePos="0" relativeHeight="251659264" behindDoc="0" locked="0" layoutInCell="1" allowOverlap="1">
                <wp:simplePos x="0" y="0"/>
                <wp:positionH relativeFrom="column">
                  <wp:posOffset>2933700</wp:posOffset>
                </wp:positionH>
                <wp:positionV relativeFrom="paragraph">
                  <wp:posOffset>76200</wp:posOffset>
                </wp:positionV>
                <wp:extent cx="1066800" cy="731520"/>
                <wp:effectExtent l="5080" t="4445" r="13970" b="6985"/>
                <wp:wrapNone/>
                <wp:docPr id="1" name="矩形 1051"/>
                <wp:cNvGraphicFramePr/>
                <a:graphic xmlns:a="http://schemas.openxmlformats.org/drawingml/2006/main">
                  <a:graphicData uri="http://schemas.microsoft.com/office/word/2010/wordprocessingShape">
                    <wps:wsp>
                      <wps:cNvSpPr/>
                      <wps:spPr>
                        <a:xfrm>
                          <a:off x="0" y="0"/>
                          <a:ext cx="1066800" cy="73152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240" w:lineRule="auto"/>
                              <w:ind w:firstLine="0" w:firstLineChars="0"/>
                              <w:rPr>
                                <w:rFonts w:eastAsia="宋体"/>
                                <w:sz w:val="24"/>
                                <w:szCs w:val="24"/>
                              </w:rPr>
                            </w:pPr>
                            <w:r>
                              <w:rPr>
                                <w:rFonts w:hint="eastAsia"/>
                                <w:sz w:val="24"/>
                                <w:szCs w:val="24"/>
                              </w:rPr>
                              <w:t>1万元以内由计财处领导审批</w:t>
                            </w:r>
                          </w:p>
                        </w:txbxContent>
                      </wps:txbx>
                      <wps:bodyPr upright="1"/>
                    </wps:wsp>
                  </a:graphicData>
                </a:graphic>
              </wp:anchor>
            </w:drawing>
          </mc:Choice>
          <mc:Fallback>
            <w:pict>
              <v:rect id="矩形 1051" o:spid="_x0000_s1026" o:spt="1" style="position:absolute;left:0pt;margin-left:231pt;margin-top:6pt;height:57.6pt;width:84pt;z-index:251659264;mso-width-relative:page;mso-height-relative:page;" fillcolor="#FFFFFF" filled="t" stroked="t" coordsize="21600,21600" o:gfxdata="UEsDBAoAAAAAAIdO4kAAAAAAAAAAAAAAAAAEAAAAZHJzL1BLAwQUAAAACACHTuJAAyvEr9QAAAAK&#10;AQAADwAAAGRycy9kb3ducmV2LnhtbE1PPU/DMBDdkfgP1iGxUbspChDidAAVibFNF7ZLfCSB2I5i&#10;pw38ei4Tne7jPb2PfDvbXpxoDJ13GtYrBYJc7U3nGg3Hcnf3CCJEdAZ770jDDwXYFtdXOWbGn92e&#10;TofYCBZxIUMNbYxDJmWoW7IYVn4gx9inHy1GPsdGmhHPLG57mSiVSoudY4cWB3ppqf4+TFZD1SVH&#10;/N2Xb8o+7TbxfS6/po9XrW9v1uoZRKQ5/pNhic/RoeBMlZ+cCaLXcJ8m3CUysEwmpBvFS7U8HhKQ&#10;RS4vKxR/UEsDBBQAAAAIAIdO4kAM7pomBQIAACwEAAAOAAAAZHJzL2Uyb0RvYy54bWytU82O0zAQ&#10;viPxDpbvNElRlyVqugdKuSBYaZcHmDpOYsl/8rhN+jRI3HgIHgfxGozd0v2BQw/k4MzY42/m+2a8&#10;vJmMZnsZUDnb8GpWciatcK2yfcO/3G9eXXOGEWwL2lnZ8INEfrN6+WI5+lrO3eB0KwMjEIv16Bs+&#10;xOjrokAxSAM4c15aOuxcMBDJDX3RBhgJ3ehiXpZXxehC64MTEpF218dDfkIMlwC6rlNCrp3YGWnj&#10;ETVIDZEo4aA88lWutuukiJ+7DmVkuuHENOaVkpC9TWuxWkLdB/CDEqcS4JISnnEyoCwlPUOtIQLb&#10;BfUXlFEiOHRdnAlniiORrAixqMpn2twN4GXmQlKjP4uO/w9WfNrfBqZamgTOLBhq+K+v33/++Maq&#10;clEleUaPNUXd+dtw8pDMxHXqgkl/YsGmLOnhLKmcIhO0WZVXV9clqS3o7M3rajHPmhcPt33A+EE6&#10;w5LR8EAty0rC/iNGykihf0JSMnRatRuldXZCv32nA9sDtXeTv1QyXXkSpi0bG/52MV9QHUAz29Gs&#10;kGk88Ubb53xPbuBj4DJ//wJOha0Bh2MBGSGFQW1UlEkuqAcJ7XvbsnjwpK2lJ8VTMUa2nGlJLzBZ&#10;OTKC0pdEEjttiWRqzLEVyYrTdiKYZG5de6Cm7nxQ/UCS5jbmcBqirM5p4NOUPvYz6MMjX/0G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AyvEr9QAAAAKAQAADwAAAAAAAAABACAAAAAiAAAAZHJzL2Rv&#10;d25yZXYueG1sUEsBAhQAFAAAAAgAh07iQAzumiYFAgAALAQAAA4AAAAAAAAAAQAgAAAAIwEAAGRy&#10;cy9lMm9Eb2MueG1sUEsFBgAAAAAGAAYAWQEAAJoFAAAAAA==&#10;">
                <v:fill on="t" focussize="0,0"/>
                <v:stroke color="#000000" joinstyle="miter"/>
                <v:imagedata o:title=""/>
                <o:lock v:ext="edit" aspectratio="f"/>
                <v:textbox>
                  <w:txbxContent>
                    <w:p>
                      <w:pPr>
                        <w:spacing w:line="240" w:lineRule="auto"/>
                        <w:ind w:firstLine="0" w:firstLineChars="0"/>
                        <w:rPr>
                          <w:rFonts w:eastAsia="宋体"/>
                          <w:sz w:val="24"/>
                          <w:szCs w:val="24"/>
                        </w:rPr>
                      </w:pPr>
                      <w:r>
                        <w:rPr>
                          <w:rFonts w:hint="eastAsia"/>
                          <w:sz w:val="24"/>
                          <w:szCs w:val="24"/>
                        </w:rPr>
                        <w:t>1万元以内由计财处领导审批</w:t>
                      </w:r>
                    </w:p>
                  </w:txbxContent>
                </v:textbox>
              </v:rect>
            </w:pict>
          </mc:Fallback>
        </mc:AlternateContent>
      </w:r>
    </w:p>
    <w:p>
      <w:pPr>
        <w:pStyle w:val="7"/>
        <w:ind w:firstLine="640"/>
        <w:rPr>
          <w:rFonts w:ascii="华文仿宋" w:hAnsi="华文仿宋" w:eastAsia="华文仿宋"/>
          <w:sz w:val="32"/>
          <w:szCs w:val="32"/>
        </w:rPr>
      </w:pPr>
      <w:r>
        <w:rPr>
          <w:rFonts w:ascii="华文仿宋" w:hAnsi="华文仿宋" w:eastAsia="华文仿宋"/>
          <w:sz w:val="32"/>
          <w:szCs w:val="32"/>
        </w:rPr>
        <mc:AlternateContent>
          <mc:Choice Requires="wps">
            <w:drawing>
              <wp:anchor distT="0" distB="0" distL="114300" distR="114300" simplePos="0" relativeHeight="251659264" behindDoc="0" locked="0" layoutInCell="1" allowOverlap="1">
                <wp:simplePos x="0" y="0"/>
                <wp:positionH relativeFrom="column">
                  <wp:posOffset>2651760</wp:posOffset>
                </wp:positionH>
                <wp:positionV relativeFrom="paragraph">
                  <wp:posOffset>182880</wp:posOffset>
                </wp:positionV>
                <wp:extent cx="281940" cy="635"/>
                <wp:effectExtent l="0" t="37465" r="3810" b="38100"/>
                <wp:wrapNone/>
                <wp:docPr id="2" name="自选图形 1052"/>
                <wp:cNvGraphicFramePr/>
                <a:graphic xmlns:a="http://schemas.openxmlformats.org/drawingml/2006/main">
                  <a:graphicData uri="http://schemas.microsoft.com/office/word/2010/wordprocessingShape">
                    <wps:wsp>
                      <wps:cNvCnPr/>
                      <wps:spPr>
                        <a:xfrm>
                          <a:off x="0" y="0"/>
                          <a:ext cx="281940" cy="635"/>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自选图形 1052" o:spid="_x0000_s1026" o:spt="32" type="#_x0000_t32" style="position:absolute;left:0pt;margin-left:208.8pt;margin-top:14.4pt;height:0.05pt;width:22.2pt;z-index:251659264;mso-width-relative:page;mso-height-relative:page;" filled="f" stroked="t" coordsize="21600,21600" o:gfxdata="UEsDBAoAAAAAAIdO4kAAAAAAAAAAAAAAAAAEAAAAZHJzL1BLAwQUAAAACACHTuJAM7vYd9kAAAAJ&#10;AQAADwAAAGRycy9kb3ducmV2LnhtbE2Py07DMBBF90j8gzVI7KiTqDJtGqcSVIhsQGqLEEs3nsYW&#10;sR3F7ouvZ7qC5cwc3Tm3Wp5dz444Rhu8hHySAUPfBm19J+Fj+/IwAxaT8lr1waOEC0ZY1rc3lSp1&#10;OPk1HjepYxTiY6kkmJSGkvPYGnQqTsKAnm77MDqVaBw7rkd1onDX8yLLBHfKevpg1IDPBtvvzcFJ&#10;SKuvixGf7dPcvm9f34T9aZpmJeX9XZ4tgCU8pz8YrvqkDjU57cLB68h6CdP8URAqoZhRBQKmoqBy&#10;u+tiDryu+P8G9S9QSwMEFAAAAAgAh07iQBYxw/L+AQAA6wMAAA4AAABkcnMvZTJvRG9jLnhtbK1T&#10;zY7TMBC+I/EOlu80baCr3ajpHlqWC4JKwANMHSex5D95vE1744Z4Bm4ceQd4m5XgLRg7pYVFSHsg&#10;B2fsmflmvs/jxfXeaLaTAZWzNZ9NppxJK1yjbFfzd29vnlxyhhFsA9pZWfODRH69fPxoMfhKlq53&#10;upGBEYjFavA172P0VVGg6KUBnDgvLTlbFwxE2oauaAIMhG50UU6nF8XgQuODExKRTtejkx8Rw0MA&#10;XdsqIddO3Bpp44gapIZIlLBXHvkyd9u2UsTXbYsyMl1zYhrzSkXI3qa1WC6g6gL4XoljC/CQFu5x&#10;MqAsFT1BrSECuw3qLyijRHDo2jgRzhQjkawIsZhN72nzpgcvMxeSGv1JdPx/sOLVbhOYampecmbB&#10;0IV///Dlx/uPd5++3X39zGbTeZlEGjxWFLuym3Dcod+ExHjfBpP+xIXts7CHk7ByH5mgw/JydvWM&#10;JBfkung6T4DFOdMHjC+kMywZNccYQHV9XDlr6f5cmGVlYfcS45j4KyGV1ZYNNb+al3OCB5rHluaA&#10;TOOJE9ou56LTqrlRWqcMDN12pQPbQZqJ/B0b+iMsFVkD9mNcdqUwqHoJzXPbsHjwpJalR8JTC0Y2&#10;nGlJbypZOTKC0ufIGBTYTv8jmvTQlmRJQo/SJmvrmkNWPJ/TDGThjvOahuz3fc4+v9HlT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DO72HfZAAAACQEAAA8AAAAAAAAAAQAgAAAAIgAAAGRycy9kb3du&#10;cmV2LnhtbFBLAQIUABQAAAAIAIdO4kAWMcPy/gEAAOsDAAAOAAAAAAAAAAEAIAAAACgBAABkcnMv&#10;ZTJvRG9jLnhtbFBLBQYAAAAABgAGAFkBAACYBQAAAAA=&#10;">
                <v:fill on="f" focussize="0,0"/>
                <v:stroke color="#000000" joinstyle="round" endarrow="block"/>
                <v:imagedata o:title=""/>
                <o:lock v:ext="edit" aspectratio="f"/>
              </v:shape>
            </w:pict>
          </mc:Fallback>
        </mc:AlternateContent>
      </w:r>
      <w:r>
        <w:rPr>
          <w:rFonts w:ascii="华文仿宋" w:hAnsi="华文仿宋" w:eastAsia="华文仿宋"/>
          <w:sz w:val="32"/>
          <w:szCs w:val="32"/>
        </w:rPr>
        <mc:AlternateContent>
          <mc:Choice Requires="wps">
            <w:drawing>
              <wp:anchor distT="0" distB="0" distL="114300" distR="114300" simplePos="0" relativeHeight="251659264" behindDoc="0" locked="0" layoutInCell="1" allowOverlap="1">
                <wp:simplePos x="0" y="0"/>
                <wp:positionH relativeFrom="column">
                  <wp:posOffset>4000500</wp:posOffset>
                </wp:positionH>
                <wp:positionV relativeFrom="paragraph">
                  <wp:posOffset>182880</wp:posOffset>
                </wp:positionV>
                <wp:extent cx="266700" cy="0"/>
                <wp:effectExtent l="0" t="0" r="0" b="0"/>
                <wp:wrapNone/>
                <wp:docPr id="3" name="自选图形 1053"/>
                <wp:cNvGraphicFramePr/>
                <a:graphic xmlns:a="http://schemas.openxmlformats.org/drawingml/2006/main">
                  <a:graphicData uri="http://schemas.microsoft.com/office/word/2010/wordprocessingShape">
                    <wps:wsp>
                      <wps:cNvCnPr/>
                      <wps:spPr>
                        <a:xfrm>
                          <a:off x="0" y="0"/>
                          <a:ext cx="266700"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1053" o:spid="_x0000_s1026" o:spt="32" type="#_x0000_t32" style="position:absolute;left:0pt;margin-left:315pt;margin-top:14.4pt;height:0pt;width:21pt;z-index:251659264;mso-width-relative:page;mso-height-relative:page;" filled="f" stroked="t" coordsize="21600,21600" o:gfxdata="UEsDBAoAAAAAAIdO4kAAAAAAAAAAAAAAAAAEAAAAZHJzL1BLAwQUAAAACACHTuJARupkadcAAAAJ&#10;AQAADwAAAGRycy9kb3ducmV2LnhtbE2PwU7DMBBE70j9B2srcUGtnSBCG+JUVSUOHGkrcXXjJQnE&#10;6yh2mtKvZxEHOO7saGZesbm4TpxxCK0nDclSgUCqvG2p1nA8PC9WIEI0ZE3nCTV8YYBNObspTG79&#10;RK943sdacAiF3GhoYuxzKUPVoDNh6Xsk/r37wZnI51BLO5iJw10nU6Uy6UxL3NCYHncNVp/70WnA&#10;MD4kart29fHlOt29pdePqT9ofTtP1BOIiJf4Z4af+TwdSt508iPZIDoN2b1ilqghXTECG7LHlIXT&#10;ryDLQv4nKL8BUEsDBBQAAAAIAIdO4kDDC/Pr9wEAAOUDAAAOAAAAZHJzL2Uyb0RvYy54bWytU82O&#10;0zAQviPxDpbvNGlXLRA13UPLckGwEvAAU8dJLPlPHm/T3rghnoEbR94B3mal5S0YO90uLJceyMEZ&#10;e2a+me/zeHm5N5rtZEDlbM2nk5IzaYVrlO1q/vHD1bMXnGEE24B2Vtb8IJFfrp4+WQ6+kjPXO93I&#10;wAjEYjX4mvcx+qooUPTSAE6cl5acrQsGIm1DVzQBBkI3upiV5aIYXGh8cEIi0ulmdPIjYjgH0LWt&#10;EnLjxI2RNo6oQWqIRAl75ZGvcrdtK0V817YoI9M1J6Yxr1SE7G1ai9USqi6A75U4tgDntPCIkwFl&#10;qegJagMR2E1Q/0AZJYJD18aJcKYYiWRFiMW0fKTN+x68zFxIavQn0fH/wYq3u+vAVFPzC84sGLrw&#10;u8/ff336cvv15+2Pb2xazi+SSIPHimLX9jocd+ivQ2K8b4NJf+LC9lnYw0lYuY9M0OFssXhekuTi&#10;3lU85PmA8bV0hiWj5hgDqK6Pa2ct3Z4L06wr7N5gpMqUeJ+QimrLhpq/nM/mBA40jS1NAZnGEyO0&#10;Xc5Fp1VzpbROGRi67VoHtoM0EflL/Aj3r7BUZAPYj3HZNc5KL6F5ZRsWD560svREeGrByIYzLelF&#10;JYsAoYqg9DmRVFpb6iBJPIqarK1rDlnrfE63n3s8Tmoarz/3Ofvhda5+A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EbqZGnXAAAACQEAAA8AAAAAAAAAAQAgAAAAIgAAAGRycy9kb3ducmV2LnhtbFBL&#10;AQIUABQAAAAIAIdO4kDDC/Pr9wEAAOUDAAAOAAAAAAAAAAEAIAAAACYBAABkcnMvZTJvRG9jLnht&#10;bFBLBQYAAAAABgAGAFkBAACPBQAAAAA=&#10;">
                <v:fill on="f" focussize="0,0"/>
                <v:stroke color="#000000" joinstyle="round"/>
                <v:imagedata o:title=""/>
                <o:lock v:ext="edit" aspectratio="f"/>
              </v:shape>
            </w:pict>
          </mc:Fallback>
        </mc:AlternateContent>
      </w:r>
      <w:r>
        <w:rPr>
          <w:rFonts w:ascii="华文仿宋" w:hAnsi="华文仿宋" w:eastAsia="华文仿宋"/>
          <w:sz w:val="32"/>
          <w:szCs w:val="32"/>
        </w:rPr>
        <mc:AlternateContent>
          <mc:Choice Requires="wps">
            <w:drawing>
              <wp:anchor distT="0" distB="0" distL="114300" distR="114300" simplePos="0" relativeHeight="251659264" behindDoc="0" locked="0" layoutInCell="1" allowOverlap="1">
                <wp:simplePos x="0" y="0"/>
                <wp:positionH relativeFrom="column">
                  <wp:posOffset>4267200</wp:posOffset>
                </wp:positionH>
                <wp:positionV relativeFrom="paragraph">
                  <wp:posOffset>182880</wp:posOffset>
                </wp:positionV>
                <wp:extent cx="635" cy="2202180"/>
                <wp:effectExtent l="4445" t="0" r="13970" b="7620"/>
                <wp:wrapNone/>
                <wp:docPr id="4" name="自选图形 1054"/>
                <wp:cNvGraphicFramePr/>
                <a:graphic xmlns:a="http://schemas.openxmlformats.org/drawingml/2006/main">
                  <a:graphicData uri="http://schemas.microsoft.com/office/word/2010/wordprocessingShape">
                    <wps:wsp>
                      <wps:cNvCnPr/>
                      <wps:spPr>
                        <a:xfrm>
                          <a:off x="0" y="0"/>
                          <a:ext cx="635" cy="220218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1054" o:spid="_x0000_s1026" o:spt="32" type="#_x0000_t32" style="position:absolute;left:0pt;margin-left:336pt;margin-top:14.4pt;height:173.4pt;width:0.05pt;z-index:251659264;mso-width-relative:page;mso-height-relative:page;" filled="f" stroked="t" coordsize="21600,21600" o:gfxdata="UEsDBAoAAAAAAIdO4kAAAAAAAAAAAAAAAAAEAAAAZHJzL1BLAwQUAAAACACHTuJAc3WKd9gAAAAK&#10;AQAADwAAAGRycy9kb3ducmV2LnhtbE2PwU7DMAyG70i8Q2QkLoilLVo3St0JIXHgyDaJa9aYttA4&#10;VZOuY0+PObGj7V+/v6/cnFyvjjSGzjNCukhAEdfedtwg7Hev92tQIRq2pvdMCD8UYFNdX5WmsH7m&#10;dzpuY6OkhENhENoYh0LrULfkTFj4gVhun350Jso4NtqOZpZy1+ssSXLtTMfyoTUDvbRUf28nh0Bh&#10;WqbJ86Nr9m/n+e4jO3/Nww7x9iZNnkBFOsX/MPzhCzpUwnTwE9ugeoR8lYlLRMjWoiABWaSgDggP&#10;q2UOuir1pUL1C1BLAwQUAAAACACHTuJARRABsPoBAADoAwAADgAAAGRycy9lMm9Eb2MueG1srVNL&#10;jhMxEN0jcQfLe9IfJqOhlc4sEoYNgkjAARzb3W3JP7k86WTHDnEGdiy5A9xmpOEWlN0hA8MmC3rh&#10;LperXtV7Li+u90aTnQygnG1pNSspkZY7oWzf0g/vb55dUQKRWcG0s7KlBwn0evn0yWL0jazd4LSQ&#10;gSCIhWb0LR1i9E1RAB+kYTBzXlo87FwwLOI29IUIbER0o4u6LC+L0QXhg+MSAL3r6ZAeEcM5gK7r&#10;FJdrx2+NtHFCDVKziJRgUB7oMnfbdZLHt10HMhLdUmQa84pF0N6mtVguWNMH5gfFjy2wc1p4xMkw&#10;ZbHoCWrNIiO3Qf0DZRQPDlwXZ9yZYiKSFUEWVflIm3cD8zJzQanBn0SH/wfL3+w2gSjR0gtKLDN4&#10;4fefvv38+Pnuy4+7719JVc4vkkijhwZjV3YTjjvwm5AY77tg0h+5kH0W9nASVu4j4ei8fD6nhKO/&#10;rsu6usqyFw+pPkB8JZ0hyWgpxMBUP8SVsxYv0IUqS8t2ryFicUz8nZDqakvGlr6Y16kEw4HscBDQ&#10;NB5Jge1zLjitxI3SOmVA6LcrHciOpaHIX6KIuH+FpSJrBsMUl4+mcRkkEy+tIPHgUS6Lr4SmFowU&#10;lGiJjypZCMiayJQ+JxJLa4sdJJUnXZO1deKQ5c5+HIDc43FY04T9uc/ZDw90+Qt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BzdYp32AAAAAoBAAAPAAAAAAAAAAEAIAAAACIAAABkcnMvZG93bnJldi54&#10;bWxQSwECFAAUAAAACACHTuJARRABsPoBAADoAwAADgAAAAAAAAABACAAAAAnAQAAZHJzL2Uyb0Rv&#10;Yy54bWxQSwUGAAAAAAYABgBZAQAAkwUAAAAA&#10;">
                <v:fill on="f" focussize="0,0"/>
                <v:stroke color="#000000" joinstyle="round"/>
                <v:imagedata o:title=""/>
                <o:lock v:ext="edit" aspectratio="f"/>
              </v:shape>
            </w:pict>
          </mc:Fallback>
        </mc:AlternateContent>
      </w:r>
      <w:r>
        <w:rPr>
          <w:rFonts w:ascii="华文仿宋" w:hAnsi="华文仿宋" w:eastAsia="华文仿宋"/>
          <w:sz w:val="32"/>
          <w:szCs w:val="32"/>
        </w:rPr>
        <mc:AlternateContent>
          <mc:Choice Requires="wps">
            <w:drawing>
              <wp:anchor distT="0" distB="0" distL="114300" distR="114300" simplePos="0" relativeHeight="251659264" behindDoc="0" locked="0" layoutInCell="1" allowOverlap="1">
                <wp:simplePos x="0" y="0"/>
                <wp:positionH relativeFrom="column">
                  <wp:posOffset>2651760</wp:posOffset>
                </wp:positionH>
                <wp:positionV relativeFrom="paragraph">
                  <wp:posOffset>182880</wp:posOffset>
                </wp:positionV>
                <wp:extent cx="635" cy="2263140"/>
                <wp:effectExtent l="4445" t="0" r="13970" b="3810"/>
                <wp:wrapNone/>
                <wp:docPr id="5" name="自选图形 1055"/>
                <wp:cNvGraphicFramePr/>
                <a:graphic xmlns:a="http://schemas.openxmlformats.org/drawingml/2006/main">
                  <a:graphicData uri="http://schemas.microsoft.com/office/word/2010/wordprocessingShape">
                    <wps:wsp>
                      <wps:cNvCnPr/>
                      <wps:spPr>
                        <a:xfrm>
                          <a:off x="0" y="0"/>
                          <a:ext cx="635" cy="226314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1055" o:spid="_x0000_s1026" o:spt="32" type="#_x0000_t32" style="position:absolute;left:0pt;margin-left:208.8pt;margin-top:14.4pt;height:178.2pt;width:0.05pt;z-index:251659264;mso-width-relative:page;mso-height-relative:page;" filled="f" stroked="t" coordsize="21600,21600" o:gfxdata="UEsDBAoAAAAAAIdO4kAAAAAAAAAAAAAAAAAEAAAAZHJzL1BLAwQUAAAACACHTuJAhTOjhNgAAAAK&#10;AQAADwAAAGRycy9kb3ducmV2LnhtbE2PwU7DMAyG70i8Q2QkLoilLWwrpe6EkDhwZJvENWtMW2ic&#10;qknXsafHnOBo+9Pv7y83J9erI42h84yQLhJQxLW3HTcI+93LbQ4qRMPW9J4J4ZsCbKrLi9IU1s/8&#10;RsdtbJSEcCgMQhvjUGgd6pacCQs/EMvtw4/ORBnHRtvRzBLuep0lyUo707F8aM1Azy3VX9vJIVCY&#10;lmny9OCa/et5vnnPzp/zsEO8vkqTR1CRTvEPhl99UYdKnA5+YhtUj3CfrleCImS5VBBAFmtQB4S7&#10;fJmBrkr9v0L1A1BLAwQUAAAACACHTuJA3ZyG+fkBAADoAwAADgAAAGRycy9lMm9Eb2MueG1srVPN&#10;jtMwEL4j8Q6W7zRpl1YQNd1Dy3JBUAl4gKnjJJb8J4+3aW/cEM/AjSPvAG+zErwFY6d0Ybn0QA7O&#10;eDzzzXyfx8vrg9FsLwMqZ2s+nZScSStco2xX8/fvbp484wwj2Aa0s7LmR4n8evX40XLwlZy53ulG&#10;BkYgFqvB17yP0VdFgaKXBnDivLR02LpgINI2dEUTYCB0o4tZWS6KwYXGByckInk34yE/IYZLAF3b&#10;KiE3TtwaaeOIGqSGSJSwVx75KnfbtlLEN22LMjJdc2Ia80pFyN6ltVgtoeoC+F6JUwtwSQsPOBlQ&#10;loqeoTYQgd0G9Q+UUSI4dG2cCGeKkUhWhFhMywfavO3By8yFpEZ/Fh3/H6x4vd8GppqazzmzYOjC&#10;f3z8+vPDp7vP3+++fWHTcj5PIg0eK4pd22047dBvQ2J8aINJf+LCDlnY41lYeYhMkHNxReiC/LPZ&#10;4mr6NMte3Kf6gPGldIYlo+YYA6iuj2tnLV2gC9MsLexfYaTilPg7IdXVlg01fz6fpRJAA9nSIJBp&#10;PJFC2+VcdFo1N0rrlIGh2611YHtIQ5G/RJFw/wpLRTaA/RiXj8Zx6SU0L2zD4tGTXJZeCU8tGNlw&#10;piU9qmQRIFQRlL4kkkprSx0klUddk7VzzTHLnf00ALnH07CmCftzn7PvH+jqF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IUzo4TYAAAACgEAAA8AAAAAAAAAAQAgAAAAIgAAAGRycy9kb3ducmV2Lnht&#10;bFBLAQIUABQAAAAIAIdO4kDdnIb5+QEAAOgDAAAOAAAAAAAAAAEAIAAAACcBAABkcnMvZTJvRG9j&#10;LnhtbFBLBQYAAAAABgAGAFkBAACSBQAAAAA=&#10;">
                <v:fill on="f" focussize="0,0"/>
                <v:stroke color="#000000" joinstyle="round"/>
                <v:imagedata o:title=""/>
                <o:lock v:ext="edit" aspectratio="f"/>
              </v:shape>
            </w:pict>
          </mc:Fallback>
        </mc:AlternateContent>
      </w:r>
    </w:p>
    <w:p>
      <w:pPr>
        <w:pStyle w:val="7"/>
        <w:ind w:firstLine="640"/>
        <w:rPr>
          <w:rFonts w:ascii="华文仿宋" w:hAnsi="华文仿宋" w:eastAsia="华文仿宋"/>
          <w:sz w:val="32"/>
          <w:szCs w:val="32"/>
        </w:rPr>
      </w:pPr>
      <w:r>
        <w:rPr>
          <w:rFonts w:ascii="华文仿宋" w:hAnsi="华文仿宋" w:eastAsia="华文仿宋"/>
          <w:sz w:val="32"/>
          <w:szCs w:val="32"/>
        </w:rPr>
        <mc:AlternateContent>
          <mc:Choice Requires="wps">
            <w:drawing>
              <wp:anchor distT="0" distB="0" distL="114300" distR="114300" simplePos="0" relativeHeight="251659264" behindDoc="0" locked="0" layoutInCell="1" allowOverlap="1">
                <wp:simplePos x="0" y="0"/>
                <wp:positionH relativeFrom="column">
                  <wp:posOffset>3457575</wp:posOffset>
                </wp:positionH>
                <wp:positionV relativeFrom="paragraph">
                  <wp:posOffset>198120</wp:posOffset>
                </wp:positionV>
                <wp:extent cx="0" cy="190500"/>
                <wp:effectExtent l="4445" t="0" r="14605" b="0"/>
                <wp:wrapNone/>
                <wp:docPr id="6" name="自选图形 1056"/>
                <wp:cNvGraphicFramePr/>
                <a:graphic xmlns:a="http://schemas.openxmlformats.org/drawingml/2006/main">
                  <a:graphicData uri="http://schemas.microsoft.com/office/word/2010/wordprocessingShape">
                    <wps:wsp>
                      <wps:cNvCnPr/>
                      <wps:spPr>
                        <a:xfrm>
                          <a:off x="0" y="0"/>
                          <a:ext cx="0" cy="19050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1056" o:spid="_x0000_s1026" o:spt="32" type="#_x0000_t32" style="position:absolute;left:0pt;margin-left:272.25pt;margin-top:15.6pt;height:15pt;width:0pt;z-index:251659264;mso-width-relative:page;mso-height-relative:page;" filled="f" stroked="t" coordsize="21600,21600" o:gfxdata="UEsDBAoAAAAAAIdO4kAAAAAAAAAAAAAAAAAEAAAAZHJzL1BLAwQUAAAACACHTuJAi9rHO9YAAAAJ&#10;AQAADwAAAGRycy9kb3ducmV2LnhtbE2PwU7DMAyG70i8Q2QkLoilLesEpe6EkDhwZJvENWtMW2ic&#10;qknXsafHiMM4+ven35/L9dH16kBj6DwjpIsEFHHtbccNwm77cnsPKkTD1vSeCeGbAqyry4vSFNbP&#10;/EaHTWyUlHAoDEIb41BoHeqWnAkLPxDL7sOPzkQZx0bb0cxS7nqdJclKO9OxXGjNQM8t1V+bySFQ&#10;mPI0eXpwze71NN+8Z6fPedgiXl+lySOoSMd4huFXX9ShEqe9n9gG1SPky2UuKMJdmoES4C/YI6wk&#10;0FWp/39Q/QBQSwMEFAAAAAgAh07iQFksVG72AQAA5QMAAA4AAABkcnMvZTJvRG9jLnhtbK1TzY7T&#10;MBC+I/EOlu80aaVWbNR0Dy3LBUEl4AGmjpNY8p883qa9cUM8AzeOvAO8zUrwFoyd0mV3Lz2QgzMe&#10;z3wz3+fx8vpgNNvLgMrZmk8nJWfSCtco29X844ebFy85wwi2Ae2srPlRIr9ePX+2HHwlZ653upGB&#10;EYjFavA172P0VVGg6KUBnDgvLR22LhiItA1d0QQYCN3oYlaWi2JwofHBCYlI3s14yE+I4RJA17ZK&#10;yI0Tt0baOKIGqSESJeyVR77K3batFPFd26KMTNecmMa8UhGyd2ktVkuougC+V+LUAlzSwiNOBpSl&#10;omeoDURgt0E9gTJKBIeujRPhTDESyYoQi2n5SJv3PXiZuZDU6M+i4/+DFW/328BUU/MFZxYMXfiv&#10;z99/f/py9/Xn3Y9vbFrOF0mkwWNFsWu7Dacd+m1IjA9tMOlPXNghC3s8CysPkYnRKcg7vSrnZda8&#10;uM/zAeNr6QxLRs0xBlBdH9fOWro9F6ZZV9i/wUiVKfFvQiqqLRtqfjWfzTkTQNPY0hSQaTwxQtvl&#10;XHRaNTdK65SBodutdWB7SBORv8SPcB+EpSIbwH6My0fjrPQSmle2YfHoSStLT4SnFoxsONOSXlSy&#10;CBCqCEpfEkmltaUOksSjqMnaueaYtc5+uv3c42lS03j9u8/Z969z9Q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CL2sc71gAAAAkBAAAPAAAAAAAAAAEAIAAAACIAAABkcnMvZG93bnJldi54bWxQSwEC&#10;FAAUAAAACACHTuJAWSxUbvYBAADlAwAADgAAAAAAAAABACAAAAAlAQAAZHJzL2Uyb0RvYy54bWxQ&#10;SwUGAAAAAAYABgBZAQAAjQUAAAAA&#10;">
                <v:fill on="f" focussize="0,0"/>
                <v:stroke color="#000000" joinstyle="round"/>
                <v:imagedata o:title=""/>
                <o:lock v:ext="edit" aspectratio="f"/>
              </v:shape>
            </w:pict>
          </mc:Fallback>
        </mc:AlternateContent>
      </w:r>
    </w:p>
    <w:p>
      <w:pPr>
        <w:pStyle w:val="7"/>
        <w:ind w:firstLine="640"/>
        <w:rPr>
          <w:rFonts w:ascii="华文仿宋" w:hAnsi="华文仿宋" w:eastAsia="华文仿宋"/>
          <w:sz w:val="32"/>
          <w:szCs w:val="32"/>
        </w:rPr>
      </w:pPr>
      <w:r>
        <w:rPr>
          <w:rFonts w:ascii="华文仿宋" w:hAnsi="华文仿宋" w:eastAsia="华文仿宋"/>
          <w:sz w:val="32"/>
          <w:szCs w:val="32"/>
        </w:rPr>
        <mc:AlternateContent>
          <mc:Choice Requires="wps">
            <w:drawing>
              <wp:anchor distT="0" distB="0" distL="114300" distR="114300" simplePos="0" relativeHeight="251659264" behindDoc="0" locked="0" layoutInCell="1" allowOverlap="1">
                <wp:simplePos x="0" y="0"/>
                <wp:positionH relativeFrom="column">
                  <wp:posOffset>-194945</wp:posOffset>
                </wp:positionH>
                <wp:positionV relativeFrom="paragraph">
                  <wp:posOffset>121920</wp:posOffset>
                </wp:positionV>
                <wp:extent cx="956945" cy="830580"/>
                <wp:effectExtent l="4445" t="5080" r="10160" b="21590"/>
                <wp:wrapNone/>
                <wp:docPr id="7" name="矩形 1058"/>
                <wp:cNvGraphicFramePr/>
                <a:graphic xmlns:a="http://schemas.openxmlformats.org/drawingml/2006/main">
                  <a:graphicData uri="http://schemas.microsoft.com/office/word/2010/wordprocessingShape">
                    <wps:wsp>
                      <wps:cNvSpPr/>
                      <wps:spPr>
                        <a:xfrm>
                          <a:off x="0" y="0"/>
                          <a:ext cx="956945" cy="83058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240" w:lineRule="auto"/>
                              <w:ind w:firstLine="0" w:firstLineChars="0"/>
                              <w:jc w:val="left"/>
                              <w:rPr>
                                <w:sz w:val="24"/>
                                <w:szCs w:val="24"/>
                              </w:rPr>
                            </w:pPr>
                            <w:r>
                              <w:rPr>
                                <w:rFonts w:hint="eastAsia"/>
                                <w:sz w:val="24"/>
                                <w:szCs w:val="24"/>
                              </w:rPr>
                              <w:t>经办人提出经费支出申请</w:t>
                            </w:r>
                          </w:p>
                        </w:txbxContent>
                      </wps:txbx>
                      <wps:bodyPr upright="1"/>
                    </wps:wsp>
                  </a:graphicData>
                </a:graphic>
              </wp:anchor>
            </w:drawing>
          </mc:Choice>
          <mc:Fallback>
            <w:pict>
              <v:rect id="矩形 1058" o:spid="_x0000_s1026" o:spt="1" style="position:absolute;left:0pt;margin-left:-15.35pt;margin-top:9.6pt;height:65.4pt;width:75.35pt;z-index:251659264;mso-width-relative:page;mso-height-relative:page;" fillcolor="#FFFFFF" filled="t" stroked="t" coordsize="21600,21600" o:gfxdata="UEsDBAoAAAAAAIdO4kAAAAAAAAAAAAAAAAAEAAAAZHJzL1BLAwQUAAAACACHTuJARynQNdYAAAAK&#10;AQAADwAAAGRycy9kb3ducmV2LnhtbE2PvU7DQBCEeyTe4bRIdMldHPET43MKUJAoE6ehW9uLbfDt&#10;Wb5zYnh6NhV0s5rRzLfZdna9OtEYOs8WVksDirjydceNhWOxWzyCChG5xt4zWfimANv8+irDtPZn&#10;3tPpEBslJRxStNDGOKRah6olh2HpB2LxPvzoMMo5Nroe8SzlrteJMffaYcey0OJAzy1VX4fJWSi7&#10;5Ig/++LVuM1uHd/m4nN6f7H29mZlnkBFmuNfGC74gg65MJV+4jqo3sJibR4kKsYmAXUJyB6oUsSd&#10;CJ1n+v8L+S9QSwMEFAAAAAgAh07iQLDzfYsDAgAAKwQAAA4AAABkcnMvZTJvRG9jLnhtbK1TzY7T&#10;MBC+I/EOlu80aaFLN2q6B0q5IFhplweYOk5iyX/yuE36NEjceAgeB/EajN3S/YFDD+SQjOPxN9/3&#10;zXh5MxrN9jKgcrbm00nJmbTCNcp2Nf9yv3m14Awj2Aa0s7LmB4n8ZvXyxXLwlZy53ulGBkYgFqvB&#10;17yP0VdFgaKXBnDivLS02bpgINIydEUTYCB0o4tZWV4VgwuND05IRPq7Pm7yE2K4BNC1rRJy7cTO&#10;SBuPqEFqiCQJe+WRrzLbtpUifm5blJHpmpPSmN9UhOJteherJVRdAN8rcaIAl1B4psmAslT0DLWG&#10;CGwX1F9QRong0LVxIpwpjkKyI6RiWj7z5q4HL7MWshr92XT8f7Di0/42MNXU/C1nFgw1/NfX7z9/&#10;fGPTcr5I9gweK8q687fhtEIKk9axDSZ9SQUbs6WHs6VyjEzQz+v51fWbOWeCthavCTJbXjwc9gHj&#10;B+kMS0HNA3UsGwn7jxipIKX+SUm10GnVbJTWeRG67Tsd2B6ou5v8JMZ05EmatmxITGaJB9DItjQq&#10;FBpPstF2ud6TE/gYuMzPv4ATsTVgfySQEVIaVEZFmdyCqpfQvLcNiwdP1lq6UTyRMbLhTEu6gCnK&#10;mRGUviST1GlLIlNfjp1IURy3I8GkcOuaA/V054PqerJ0mqmnHZqh7M5p3tOQPl5n0Ic7vvoN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RynQNdYAAAAKAQAADwAAAAAAAAABACAAAAAiAAAAZHJzL2Rv&#10;d25yZXYueG1sUEsBAhQAFAAAAAgAh07iQLDzfYsDAgAAKwQAAA4AAAAAAAAAAQAgAAAAJQEAAGRy&#10;cy9lMm9Eb2MueG1sUEsFBgAAAAAGAAYAWQEAAJoFAAAAAA==&#10;">
                <v:fill on="t" focussize="0,0"/>
                <v:stroke color="#000000" joinstyle="miter"/>
                <v:imagedata o:title=""/>
                <o:lock v:ext="edit" aspectratio="f"/>
                <v:textbox>
                  <w:txbxContent>
                    <w:p>
                      <w:pPr>
                        <w:spacing w:line="240" w:lineRule="auto"/>
                        <w:ind w:firstLine="0" w:firstLineChars="0"/>
                        <w:jc w:val="left"/>
                        <w:rPr>
                          <w:sz w:val="24"/>
                          <w:szCs w:val="24"/>
                        </w:rPr>
                      </w:pPr>
                      <w:r>
                        <w:rPr>
                          <w:rFonts w:hint="eastAsia"/>
                          <w:sz w:val="24"/>
                          <w:szCs w:val="24"/>
                        </w:rPr>
                        <w:t>经办人提出经费支出申请</w:t>
                      </w:r>
                    </w:p>
                  </w:txbxContent>
                </v:textbox>
              </v:rect>
            </w:pict>
          </mc:Fallback>
        </mc:AlternateContent>
      </w:r>
      <w:r>
        <w:rPr>
          <w:rFonts w:ascii="华文仿宋" w:hAnsi="华文仿宋" w:eastAsia="华文仿宋"/>
          <w:sz w:val="32"/>
          <w:szCs w:val="32"/>
        </w:rPr>
        <mc:AlternateContent>
          <mc:Choice Requires="wps">
            <w:drawing>
              <wp:anchor distT="0" distB="0" distL="114300" distR="114300" simplePos="0" relativeHeight="251659264" behindDoc="0" locked="0" layoutInCell="1" allowOverlap="1">
                <wp:simplePos x="0" y="0"/>
                <wp:positionH relativeFrom="column">
                  <wp:posOffset>2933700</wp:posOffset>
                </wp:positionH>
                <wp:positionV relativeFrom="paragraph">
                  <wp:posOffset>83820</wp:posOffset>
                </wp:positionV>
                <wp:extent cx="1059180" cy="1021080"/>
                <wp:effectExtent l="5080" t="5080" r="21590" b="21590"/>
                <wp:wrapNone/>
                <wp:docPr id="8" name="矩形 1057"/>
                <wp:cNvGraphicFramePr/>
                <a:graphic xmlns:a="http://schemas.openxmlformats.org/drawingml/2006/main">
                  <a:graphicData uri="http://schemas.microsoft.com/office/word/2010/wordprocessingShape">
                    <wps:wsp>
                      <wps:cNvSpPr/>
                      <wps:spPr>
                        <a:xfrm>
                          <a:off x="0" y="0"/>
                          <a:ext cx="1059180" cy="102108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240" w:lineRule="auto"/>
                              <w:ind w:firstLine="0" w:firstLineChars="0"/>
                              <w:rPr>
                                <w:sz w:val="24"/>
                                <w:szCs w:val="24"/>
                              </w:rPr>
                            </w:pPr>
                            <w:r>
                              <w:rPr>
                                <w:rFonts w:hint="eastAsia"/>
                                <w:sz w:val="24"/>
                                <w:szCs w:val="24"/>
                              </w:rPr>
                              <w:t>1万元-10万元（含）的由分管工作的局领导审批</w:t>
                            </w:r>
                          </w:p>
                        </w:txbxContent>
                      </wps:txbx>
                      <wps:bodyPr upright="1"/>
                    </wps:wsp>
                  </a:graphicData>
                </a:graphic>
              </wp:anchor>
            </w:drawing>
          </mc:Choice>
          <mc:Fallback>
            <w:pict>
              <v:rect id="矩形 1057" o:spid="_x0000_s1026" o:spt="1" style="position:absolute;left:0pt;margin-left:231pt;margin-top:6.6pt;height:80.4pt;width:83.4pt;z-index:251659264;mso-width-relative:page;mso-height-relative:page;" fillcolor="#FFFFFF" filled="t" stroked="t" coordsize="21600,21600" o:gfxdata="UEsDBAoAAAAAAIdO4kAAAAAAAAAAAAAAAAAEAAAAZHJzL1BLAwQUAAAACACHTuJAwvzwMdgAAAAK&#10;AQAADwAAAGRycy9kb3ducmV2LnhtbE2PwU7DMBBE70j8g7VI3KjdtAoljdMDqEgc2/TCbRO7SSBe&#10;R7HTBr6e5QTHnRnNzst3s+vFxY6h86RhuVAgLNXedNRoOJX7hw2IEJEM9p6shi8bYFfc3uSYGX+l&#10;g70cYyO4hEKGGtoYh0zKULfWYVj4wRJ7Zz86jHyOjTQjXrnc9TJRKpUOO+IPLQ72ubX153FyGqou&#10;OeH3oXxV7mm/im9z+TG9v2h9f7dUWxDRzvEvDL/zeToUvKnyE5kgeg3rNGGWyMYqAcGBNNkwS8XC&#10;41qBLHL5H6H4AVBLAwQUAAAACACHTuJAwTbMLgECAAAtBAAADgAAAGRycy9lMm9Eb2MueG1srVPN&#10;jtMwEL4j8Q6W7zRJpcJu1HQPW8oFwUoLD+DaTmLJf/K4Tfo0SNx4CB4H8RqMndD9gUMPm4MzY4+/&#10;me+b8fpmNJocZQDlbEOrRUmJtNwJZbuGfv2ye3NFCURmBdPOyoaeJNCbzetX68HXcul6p4UMBEEs&#10;1INvaB+jr4sCeC8Ng4Xz0uJh64JhEd3QFSKwAdGNLpZl+bYYXBA+OC4BcHc7HdIZMVwC6NpWcbl1&#10;/GCkjRNqkJpFpAS98kA3udq2lTx+bluQkeiGItOYV0yC9j6txWbN6i4w3ys+l8AuKeEZJ8OUxaRn&#10;qC2LjByC+gfKKB4cuDYuuDPFRCQrgiyq8pk29z3zMnNBqcGfRYeXg+WfjneBKNFQbLtlBhv++9uP&#10;Xz+/k6pcvUvyDB5qjLr3d2H2AM3EdWyDSX9kQcYs6eksqRwj4biJKNfVFarN8awql1WJDuIUD9d9&#10;gPhBOkOS0dCAPctSsuNHiFPo35CUDZxWYqe0zk7o9rc6kCPD/u7yN6M/CdOWDA29Xi1XWAjDoW1x&#10;WNA0HomD7XK+JzfgMXCZv/8Bp8K2DPqpgIyQwlhtVJQhW71k4r0VJJ48imvxTdFUjJGCEi3xCSYr&#10;R0am9CWRqJ22KGHqzNSLZMVxPyJMMvdOnLCrBx9U16OkVS49neAUZe3niU9j+tjPoA+vfPMH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wvzwMdgAAAAKAQAADwAAAAAAAAABACAAAAAiAAAAZHJzL2Rv&#10;d25yZXYueG1sUEsBAhQAFAAAAAgAh07iQME2zC4BAgAALQQAAA4AAAAAAAAAAQAgAAAAJwEAAGRy&#10;cy9lMm9Eb2MueG1sUEsFBgAAAAAGAAYAWQEAAJoFAAAAAA==&#10;">
                <v:fill on="t" focussize="0,0"/>
                <v:stroke color="#000000" joinstyle="miter"/>
                <v:imagedata o:title=""/>
                <o:lock v:ext="edit" aspectratio="f"/>
                <v:textbox>
                  <w:txbxContent>
                    <w:p>
                      <w:pPr>
                        <w:spacing w:line="240" w:lineRule="auto"/>
                        <w:ind w:firstLine="0" w:firstLineChars="0"/>
                        <w:rPr>
                          <w:sz w:val="24"/>
                          <w:szCs w:val="24"/>
                        </w:rPr>
                      </w:pPr>
                      <w:r>
                        <w:rPr>
                          <w:rFonts w:hint="eastAsia"/>
                          <w:sz w:val="24"/>
                          <w:szCs w:val="24"/>
                        </w:rPr>
                        <w:t>1万元-10万元（含）的由分管工作的局领导审批</w:t>
                      </w:r>
                    </w:p>
                  </w:txbxContent>
                </v:textbox>
              </v:rect>
            </w:pict>
          </mc:Fallback>
        </mc:AlternateContent>
      </w:r>
      <w:r>
        <w:rPr>
          <w:rFonts w:ascii="华文仿宋" w:hAnsi="华文仿宋" w:eastAsia="华文仿宋"/>
          <w:sz w:val="32"/>
          <w:szCs w:val="32"/>
        </w:rPr>
        <mc:AlternateContent>
          <mc:Choice Requires="wps">
            <w:drawing>
              <wp:anchor distT="0" distB="0" distL="114300" distR="114300" simplePos="0" relativeHeight="251659264" behindDoc="0" locked="0" layoutInCell="1" allowOverlap="1">
                <wp:simplePos x="0" y="0"/>
                <wp:positionH relativeFrom="column">
                  <wp:posOffset>1211580</wp:posOffset>
                </wp:positionH>
                <wp:positionV relativeFrom="paragraph">
                  <wp:posOffset>121920</wp:posOffset>
                </wp:positionV>
                <wp:extent cx="1211580" cy="830580"/>
                <wp:effectExtent l="5080" t="4445" r="21590" b="22225"/>
                <wp:wrapNone/>
                <wp:docPr id="9" name="矩形 1059"/>
                <wp:cNvGraphicFramePr/>
                <a:graphic xmlns:a="http://schemas.openxmlformats.org/drawingml/2006/main">
                  <a:graphicData uri="http://schemas.microsoft.com/office/word/2010/wordprocessingShape">
                    <wps:wsp>
                      <wps:cNvSpPr/>
                      <wps:spPr>
                        <a:xfrm>
                          <a:off x="0" y="0"/>
                          <a:ext cx="1211580" cy="83058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240" w:lineRule="auto"/>
                              <w:ind w:firstLine="0" w:firstLineChars="0"/>
                              <w:rPr>
                                <w:sz w:val="24"/>
                                <w:szCs w:val="24"/>
                              </w:rPr>
                            </w:pPr>
                            <w:r>
                              <w:rPr>
                                <w:rFonts w:hint="eastAsia"/>
                                <w:sz w:val="24"/>
                                <w:szCs w:val="24"/>
                              </w:rPr>
                              <w:t>由经办人所在部门领导审核后报</w:t>
                            </w:r>
                          </w:p>
                          <w:p>
                            <w:pPr>
                              <w:ind w:firstLine="480"/>
                              <w:rPr>
                                <w:sz w:val="24"/>
                                <w:szCs w:val="24"/>
                              </w:rPr>
                            </w:pPr>
                          </w:p>
                        </w:txbxContent>
                      </wps:txbx>
                      <wps:bodyPr upright="1"/>
                    </wps:wsp>
                  </a:graphicData>
                </a:graphic>
              </wp:anchor>
            </w:drawing>
          </mc:Choice>
          <mc:Fallback>
            <w:pict>
              <v:rect id="矩形 1059" o:spid="_x0000_s1026" o:spt="1" style="position:absolute;left:0pt;margin-left:95.4pt;margin-top:9.6pt;height:65.4pt;width:95.4pt;z-index:251659264;mso-width-relative:page;mso-height-relative:page;" fillcolor="#FFFFFF" filled="t" stroked="t" coordsize="21600,21600" o:gfxdata="UEsDBAoAAAAAAIdO4kAAAAAAAAAAAAAAAAAEAAAAZHJzL1BLAwQUAAAACACHTuJArCDoTNcAAAAK&#10;AQAADwAAAGRycy9kb3ducmV2LnhtbE2PMU/DMBCFdyT+g3VIbNROKqo2jdMBVCTGNl3YnPhIUuJz&#10;FDtt4NdznWC7d/f07nv5bna9uOAYOk8akoUCgVR721Gj4VTun9YgQjRkTe8JNXxjgF1xf5ebzPor&#10;HfByjI3gEAqZ0dDGOGRShrpFZ8LCD0h8+/SjM5Hl2Eg7miuHu16mSq2kMx3xh9YM+NJi/XWcnIaq&#10;S0/m51C+KbfZL+P7XJ6nj1etHx8StQURcY5/ZrjhMzoUzFT5iWwQPeuNYvR4G1IQbFiukxWIihfP&#10;SoEscvm/QvELUEsDBBQAAAAIAIdO4kBFzs63/wEAACwEAAAOAAAAZHJzL2Uyb0RvYy54bWytU0uu&#10;0zAUnSOxB8tzmqSoqC9q+gaUMkHwpAcLcG0nseSffN0mXQ0SMxbBchDb4NoJfR8YdEAGzrF9fXzP&#10;udeb29FocpIBlLMNrRYlJdJyJ5TtGvrl8/7VmhKIzAqmnZUNPUugt9uXLzaDr+XS9U4LGQiSWKgH&#10;39A+Rl8XBfBeGgYL56XFzdYFwyJOQ1eIwAZkN7pYluWbYnBB+OC4BMDV3bRJZ8ZwDaFrW8XlzvGj&#10;kTZOrEFqFlES9MoD3eZs21by+KltQUaiG4pKYx7xEsSHNBbbDau7wHyv+JwCuyaFZ5oMUxYvvVDt&#10;WGTkGNRfVEbx4MC1ccGdKSYh2RFUUZXPvLnvmZdZC1oN/mI6/D9a/vF0F4gSDb2hxDKDBf/19fvP&#10;H99IVa5ukj2Dhxqj7v1dmGeAMGkd22DSH1WQMVt6vlgqx0g4LlbLqlqt0W2Oe+vXZcJIUzyc9gHi&#10;e+kMSaChAUuWnWSnDxCn0D8h6TJwWom90jpPQnd4qwM5MSzvPn8z+5MwbcmAAlfLFebBsGdb7BWE&#10;xqNusF2+78kJeExc5u9fxCmxHYN+SiAzpDBWGxVlyKiXTLyzgsSzR28tPimakjFSUKIlvsCEcmRk&#10;Sl8Tid5pixamwkylSCiOhxFpEjw4ccaiHn1QXY+WVjn1tINNlL2fGz516eN5Jn145Nv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rCDoTNcAAAAKAQAADwAAAAAAAAABACAAAAAiAAAAZHJzL2Rvd25y&#10;ZXYueG1sUEsBAhQAFAAAAAgAh07iQEXOzrf/AQAALAQAAA4AAAAAAAAAAQAgAAAAJgEAAGRycy9l&#10;Mm9Eb2MueG1sUEsFBgAAAAAGAAYAWQEAAJcFAAAAAA==&#10;">
                <v:fill on="t" focussize="0,0"/>
                <v:stroke color="#000000" joinstyle="miter"/>
                <v:imagedata o:title=""/>
                <o:lock v:ext="edit" aspectratio="f"/>
                <v:textbox>
                  <w:txbxContent>
                    <w:p>
                      <w:pPr>
                        <w:spacing w:line="240" w:lineRule="auto"/>
                        <w:ind w:firstLine="0" w:firstLineChars="0"/>
                        <w:rPr>
                          <w:sz w:val="24"/>
                          <w:szCs w:val="24"/>
                        </w:rPr>
                      </w:pPr>
                      <w:r>
                        <w:rPr>
                          <w:rFonts w:hint="eastAsia"/>
                          <w:sz w:val="24"/>
                          <w:szCs w:val="24"/>
                        </w:rPr>
                        <w:t>由经办人所在部门领导审核后报</w:t>
                      </w:r>
                    </w:p>
                    <w:p>
                      <w:pPr>
                        <w:ind w:firstLine="480"/>
                        <w:rPr>
                          <w:sz w:val="24"/>
                          <w:szCs w:val="24"/>
                        </w:rPr>
                      </w:pPr>
                    </w:p>
                  </w:txbxContent>
                </v:textbox>
              </v:rect>
            </w:pict>
          </mc:Fallback>
        </mc:AlternateContent>
      </w:r>
      <w:r>
        <w:rPr>
          <w:rFonts w:ascii="华文仿宋" w:hAnsi="华文仿宋" w:eastAsia="华文仿宋"/>
          <w:sz w:val="32"/>
          <w:szCs w:val="32"/>
        </w:rPr>
        <mc:AlternateContent>
          <mc:Choice Requires="wps">
            <w:drawing>
              <wp:anchor distT="0" distB="0" distL="114300" distR="114300" simplePos="0" relativeHeight="251659264" behindDoc="0" locked="0" layoutInCell="1" allowOverlap="1">
                <wp:simplePos x="0" y="0"/>
                <wp:positionH relativeFrom="column">
                  <wp:posOffset>4556760</wp:posOffset>
                </wp:positionH>
                <wp:positionV relativeFrom="paragraph">
                  <wp:posOffset>106680</wp:posOffset>
                </wp:positionV>
                <wp:extent cx="1127760" cy="845820"/>
                <wp:effectExtent l="4445" t="4445" r="10795" b="6985"/>
                <wp:wrapNone/>
                <wp:docPr id="10" name="矩形 1060"/>
                <wp:cNvGraphicFramePr/>
                <a:graphic xmlns:a="http://schemas.openxmlformats.org/drawingml/2006/main">
                  <a:graphicData uri="http://schemas.microsoft.com/office/word/2010/wordprocessingShape">
                    <wps:wsp>
                      <wps:cNvSpPr/>
                      <wps:spPr>
                        <a:xfrm>
                          <a:off x="0" y="0"/>
                          <a:ext cx="1127760" cy="84582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240" w:lineRule="auto"/>
                              <w:ind w:firstLine="0" w:firstLineChars="0"/>
                              <w:rPr>
                                <w:sz w:val="24"/>
                                <w:szCs w:val="24"/>
                              </w:rPr>
                            </w:pPr>
                          </w:p>
                          <w:p>
                            <w:pPr>
                              <w:spacing w:line="240" w:lineRule="auto"/>
                              <w:ind w:firstLine="0" w:firstLineChars="0"/>
                              <w:rPr>
                                <w:sz w:val="24"/>
                                <w:szCs w:val="24"/>
                              </w:rPr>
                            </w:pPr>
                            <w:r>
                              <w:rPr>
                                <w:rFonts w:hint="eastAsia"/>
                                <w:sz w:val="24"/>
                                <w:szCs w:val="24"/>
                              </w:rPr>
                              <w:t>批准后办理相关业务</w:t>
                            </w:r>
                          </w:p>
                        </w:txbxContent>
                      </wps:txbx>
                      <wps:bodyPr upright="1"/>
                    </wps:wsp>
                  </a:graphicData>
                </a:graphic>
              </wp:anchor>
            </w:drawing>
          </mc:Choice>
          <mc:Fallback>
            <w:pict>
              <v:rect id="矩形 1060" o:spid="_x0000_s1026" o:spt="1" style="position:absolute;left:0pt;margin-left:358.8pt;margin-top:8.4pt;height:66.6pt;width:88.8pt;z-index:251659264;mso-width-relative:page;mso-height-relative:page;" fillcolor="#FFFFFF" filled="t" stroked="t" coordsize="21600,21600" o:gfxdata="UEsDBAoAAAAAAIdO4kAAAAAAAAAAAAAAAAAEAAAAZHJzL1BLAwQUAAAACACHTuJAFv3bVdgAAAAK&#10;AQAADwAAAGRycy9kb3ducmV2LnhtbE2PQU+DQBCF7yb+h82YeLO7YEpbytKDpiYeW3rxtsAIVHaW&#10;sEuL/nrHkz3Oe1/evJftZtuLC46+c6QhWigQSJWrO2o0nIr90xqED4Zq0ztCDd/oYZff32Umrd2V&#10;Dng5hkZwCPnUaGhDGFIpfdWiNX7hBiT2Pt1oTeBzbGQ9miuH217GSiXSmo74Q2sGfGmx+jpOVkPZ&#10;xSfzcyjelN3sn8P7XJynj1etHx8itQURcA7/MPzV5+qQc6fSTVR70WtYRauEUTYSnsDAerOMQZQs&#10;LJUCmWfydkL+C1BLAwQUAAAACACHTuJA8+ILJQQCAAAtBAAADgAAAGRycy9lMm9Eb2MueG1srVNL&#10;jhMxEN0jcQfLe9IfkZnQSmcWhLBBMNLAARzb3W3JP7mcdOc0SOw4BMdBXIOyE5KZgUUW9MJdZZdf&#10;1XtVXt5NRpO9DKCcbWk1KymRljuhbN/SL583rxaUQGRWMO2sbOlBAr1bvXyxHH0jazc4LWQgCGKh&#10;GX1Lhxh9UxTAB2kYzJyXFg87FwyL6Ia+EIGNiG50UZflTTG6IHxwXALg7vp4SE+I4RpA13WKy7Xj&#10;OyNtPKIGqVlESjAoD3SVq+06yeOnrgMZiW4pMo15xSRob9NarJas6QPzg+KnEtg1JTzjZJiymPQM&#10;tWaRkV1Qf0EZxYMD18UZd6Y4EsmKIIuqfKbNw8C8zFxQavBn0eH/wfKP+/tAlMBJQEksM9jxX1+/&#10;//zxjVTlTdZn9NBg2IO/D6hW8gDNRHbqgkl/pEGmrOnhrKmcIuG4WVX17S0CEY5ni9fzRZ1Bi8tt&#10;HyC+l86QZLQ0YM+ylGz/ASJmxNA/ISkZOK3ERmmdndBv3+pA9gz7u8lfaileeRKmLRlb+mZez7EO&#10;hkPb4bCgaTwSB9vnfE9uwGPgMn//Ak6FrRkMxwIywnGkjIoyycWaQTLxzgoSDx61tfimaCrGSEGJ&#10;lvgEk5UjI1P6mkhkpy2SvLQiWXHaTgiTzK0TB+zqzgfVDyhplUtPJzhFWZ3TxKcxfexn0MsrX/0G&#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Fv3bVdgAAAAKAQAADwAAAAAAAAABACAAAAAiAAAAZHJz&#10;L2Rvd25yZXYueG1sUEsBAhQAFAAAAAgAh07iQPPiCyUEAgAALQQAAA4AAAAAAAAAAQAgAAAAJwEA&#10;AGRycy9lMm9Eb2MueG1sUEsFBgAAAAAGAAYAWQEAAJ0FAAAAAA==&#10;">
                <v:fill on="t" focussize="0,0"/>
                <v:stroke color="#000000" joinstyle="miter"/>
                <v:imagedata o:title=""/>
                <o:lock v:ext="edit" aspectratio="f"/>
                <v:textbox>
                  <w:txbxContent>
                    <w:p>
                      <w:pPr>
                        <w:spacing w:line="240" w:lineRule="auto"/>
                        <w:ind w:firstLine="0" w:firstLineChars="0"/>
                        <w:rPr>
                          <w:sz w:val="24"/>
                          <w:szCs w:val="24"/>
                        </w:rPr>
                      </w:pPr>
                    </w:p>
                    <w:p>
                      <w:pPr>
                        <w:spacing w:line="240" w:lineRule="auto"/>
                        <w:ind w:firstLine="0" w:firstLineChars="0"/>
                        <w:rPr>
                          <w:sz w:val="24"/>
                          <w:szCs w:val="24"/>
                        </w:rPr>
                      </w:pPr>
                      <w:r>
                        <w:rPr>
                          <w:rFonts w:hint="eastAsia"/>
                          <w:sz w:val="24"/>
                          <w:szCs w:val="24"/>
                        </w:rPr>
                        <w:t>批准后办理相关业务</w:t>
                      </w:r>
                    </w:p>
                  </w:txbxContent>
                </v:textbox>
              </v:rect>
            </w:pict>
          </mc:Fallback>
        </mc:AlternateContent>
      </w:r>
    </w:p>
    <w:p>
      <w:pPr>
        <w:pStyle w:val="7"/>
        <w:ind w:firstLine="640"/>
        <w:rPr>
          <w:rFonts w:ascii="华文仿宋" w:hAnsi="华文仿宋" w:eastAsia="华文仿宋"/>
          <w:sz w:val="32"/>
          <w:szCs w:val="32"/>
        </w:rPr>
      </w:pPr>
      <w:r>
        <w:rPr>
          <w:rFonts w:ascii="华文仿宋" w:hAnsi="华文仿宋" w:eastAsia="华文仿宋"/>
          <w:sz w:val="32"/>
          <w:szCs w:val="32"/>
        </w:rPr>
        <mc:AlternateContent>
          <mc:Choice Requires="wps">
            <w:drawing>
              <wp:anchor distT="0" distB="0" distL="114300" distR="114300" simplePos="0" relativeHeight="251659264" behindDoc="0" locked="0" layoutInCell="1" allowOverlap="1">
                <wp:simplePos x="0" y="0"/>
                <wp:positionH relativeFrom="column">
                  <wp:posOffset>4000500</wp:posOffset>
                </wp:positionH>
                <wp:positionV relativeFrom="paragraph">
                  <wp:posOffset>220345</wp:posOffset>
                </wp:positionV>
                <wp:extent cx="556260" cy="1905"/>
                <wp:effectExtent l="0" t="36195" r="15240" b="38100"/>
                <wp:wrapNone/>
                <wp:docPr id="11" name="自选图形 1061"/>
                <wp:cNvGraphicFramePr/>
                <a:graphic xmlns:a="http://schemas.openxmlformats.org/drawingml/2006/main">
                  <a:graphicData uri="http://schemas.microsoft.com/office/word/2010/wordprocessingShape">
                    <wps:wsp>
                      <wps:cNvCnPr/>
                      <wps:spPr>
                        <a:xfrm>
                          <a:off x="0" y="0"/>
                          <a:ext cx="556260" cy="1905"/>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自选图形 1061" o:spid="_x0000_s1026" o:spt="32" type="#_x0000_t32" style="position:absolute;left:0pt;margin-left:315pt;margin-top:17.35pt;height:0.15pt;width:43.8pt;z-index:251659264;mso-width-relative:page;mso-height-relative:page;" filled="f" stroked="t" coordsize="21600,21600" o:gfxdata="UEsDBAoAAAAAAIdO4kAAAAAAAAAAAAAAAAAEAAAAZHJzL1BLAwQUAAAACACHTuJAdCoQk9kAAAAJ&#10;AQAADwAAAGRycy9kb3ducmV2LnhtbE2PzU7DMBCE70i8g7VI3KgdCg6EOJWgQuQCEi1CHN14iS1i&#10;O4rdP56e5QTH2RnNflMvDn5gO5ySi0FBMRPAMHTRuNAreFs/XtwAS1kHo4cYUMEREyya05NaVybu&#10;wyvuVrlnVBJSpRXYnMeK89RZ9DrN4oiBvM84eZ1JTj03k95TuR/4pRCSe+0CfbB6xAeL3ddq6xXk&#10;5cfRyvfu/ta9rJ+epftu23ap1PlZIe6AZTzkvzD84hM6NMS0idtgEhsUyLmgLVnB/KoERoGyKCWw&#10;DR2uBfCm5v8XND9QSwMEFAAAAAgAh07iQLLy/mf/AQAA7QMAAA4AAABkcnMvZTJvRG9jLnhtbK1T&#10;zY7TMBC+I/EOlu80SaVWbNV0Dy3LBUEl4AGmjpNY8p883qa9cUM8AzeOvAO8zUrsWzB2SguLkPZA&#10;Ds7YM/PNfJ/Hy+uD0WwvAypna15NSs6kFa5Rtqv5+3c3z55zhhFsA9pZWfOjRH69evpkOfiFnLre&#10;6UYGRiAWF4OveR+jXxQFil4awInz0pKzdcFApG3oiibAQOhGF9OynBeDC40PTkhEOt2MTn5CDI8B&#10;dG2rhNw4cWukjSNqkBoiUcJeeeSr3G3bShHftC3KyHTNiWnMKxUhe5fWYrWERRfA90qcWoDHtPCA&#10;kwFlqegZagMR2G1Qf0EZJYJD18aJcKYYiWRFiEVVPtDmbQ9eZi4kNfqz6Pj/YMXr/TYw1dAkVJxZ&#10;MHTjPz5+vf/w6e7z97tvX1hVzquk0uBxQcFruw2nHfptSJQPbTDpT2TYISt7PCsrD5EJOpzN5tM5&#10;aS7IVV2Vs4RYXFJ9wPhSOsOSUXOMAVTXx7Wzlm7QhSprC/tXGMfEXwmprrZsqPnVbDojfKCJbGkS&#10;yDSeWKHtci46rZobpXXKwNDt1jqwPaSpyN+poT/CUpENYD/GZVcKg0UvoXlhGxaPnuSy9Ex4asHI&#10;hjMt6VUlK0dGUPoSGYMC2+l/RJMe2pIsSelR22TtXHPMkudzmoIs3Gli05j9vs/Zl1e6+gl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B0KhCT2QAAAAkBAAAPAAAAAAAAAAEAIAAAACIAAABkcnMvZG93&#10;bnJldi54bWxQSwECFAAUAAAACACHTuJAsvL+Z/8BAADtAwAADgAAAAAAAAABACAAAAAoAQAAZHJz&#10;L2Uyb0RvYy54bWxQSwUGAAAAAAYABgBZAQAAmQUAAAAA&#10;">
                <v:fill on="f" focussize="0,0"/>
                <v:stroke color="#000000" joinstyle="round" endarrow="block"/>
                <v:imagedata o:title=""/>
                <o:lock v:ext="edit" aspectratio="f"/>
              </v:shape>
            </w:pict>
          </mc:Fallback>
        </mc:AlternateContent>
      </w:r>
      <w:r>
        <w:rPr>
          <w:rFonts w:ascii="华文仿宋" w:hAnsi="华文仿宋" w:eastAsia="华文仿宋"/>
          <w:sz w:val="32"/>
          <w:szCs w:val="32"/>
        </w:rPr>
        <mc:AlternateContent>
          <mc:Choice Requires="wps">
            <w:drawing>
              <wp:anchor distT="0" distB="0" distL="114300" distR="114300" simplePos="0" relativeHeight="251659264" behindDoc="0" locked="0" layoutInCell="1" allowOverlap="1">
                <wp:simplePos x="0" y="0"/>
                <wp:positionH relativeFrom="column">
                  <wp:posOffset>2423160</wp:posOffset>
                </wp:positionH>
                <wp:positionV relativeFrom="paragraph">
                  <wp:posOffset>220345</wp:posOffset>
                </wp:positionV>
                <wp:extent cx="510540" cy="1270"/>
                <wp:effectExtent l="0" t="36830" r="3810" b="38100"/>
                <wp:wrapNone/>
                <wp:docPr id="12" name="自选图形 1062"/>
                <wp:cNvGraphicFramePr/>
                <a:graphic xmlns:a="http://schemas.openxmlformats.org/drawingml/2006/main">
                  <a:graphicData uri="http://schemas.microsoft.com/office/word/2010/wordprocessingShape">
                    <wps:wsp>
                      <wps:cNvCnPr/>
                      <wps:spPr>
                        <a:xfrm>
                          <a:off x="0" y="0"/>
                          <a:ext cx="510540" cy="127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自选图形 1062" o:spid="_x0000_s1026" o:spt="32" type="#_x0000_t32" style="position:absolute;left:0pt;margin-left:190.8pt;margin-top:17.35pt;height:0.1pt;width:40.2pt;z-index:251659264;mso-width-relative:page;mso-height-relative:page;" filled="f" stroked="t" coordsize="21600,21600" o:gfxdata="UEsDBAoAAAAAAIdO4kAAAAAAAAAAAAAAAAAEAAAAZHJzL1BLAwQUAAAACACHTuJA+xG2pdkAAAAJ&#10;AQAADwAAAGRycy9kb3ducmV2LnhtbE2PzU7DMBCE70i8g7VI3KiTUpk2xKkEFSIXkGgR4ujGSxwR&#10;r6PY/ePp2Z7gtrszmv2mXB59L/Y4xi6QhnySgUBqgu2o1fC+ebqZg4jJkDV9INRwwgjL6vKiNIUN&#10;B3rD/Tq1gkMoFkaDS2kopIyNQ2/iJAxIrH2F0ZvE69hKO5oDh/teTrNMSW864g/ODPjosPle77yG&#10;tPo8OfXRPCy6183zi+p+6rpeaX19lWf3IBIe058ZzviMDhUzbcOObBS9htt5rtjKw+wOBBtmasrl&#10;tufDAmRVyv8Nql9QSwMEFAAAAAgAh07iQJrre+sBAgAA7QMAAA4AAABkcnMvZTJvRG9jLnhtbK1T&#10;zY7TMBC+I/EOlu80SUUXiJruoWW5IFgJeICp4ySW/CePt2lv3BDPwI0j7wBvsxK8BWOntLAIaQ/k&#10;4Iw9M9/M93m8vNwbzXYyoHK24dWs5Exa4Vpl+4a/e3v16ClnGMG2oJ2VDT9I5Jerhw+Wo6/l3A1O&#10;tzIwArFYj77hQ4y+LgoUgzSAM+elJWfngoFI29AXbYCR0I0u5mV5UYwutD44IRHpdDM5+REx3AfQ&#10;dZ0ScuPEjZE2TqhBaohECQflka9yt10nRXzddSgj0w0npjGvVITsbVqL1RLqPoAflDi2APdp4Q4n&#10;A8pS0RPUBiKwm6D+gjJKBIeuizPhTDERyYoQi6q8o82bAbzMXEhq9CfR8f/Bile768BUS5Mw58yC&#10;oRv//uHLj/cfbz99u/36mVXlxTypNHqsKXhtr8Nxh/46JMr7Lpj0JzJsn5U9nJSV+8gEHS6qcvGY&#10;NBfkquZPsu7FOdUHjC+kMywZDccYQPVDXDtr6QZdqLK2sHuJkYpT4q+EVFdbNjb82WK+IHygiexo&#10;Esg0nlih7XMuOq3aK6V1ysDQb9c6sB2kqchfoki4f4SlIhvAYYrLrmleBgntc9uyePAkl6VnwlML&#10;RracaUmvKlkECHUEpc+RMSiwvf5HNJXXlrpISk/aJmvr2kOWPJ/TFOQ+jxObxuz3fc4+v9LVT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PsRtqXZAAAACQEAAA8AAAAAAAAAAQAgAAAAIgAAAGRycy9k&#10;b3ducmV2LnhtbFBLAQIUABQAAAAIAIdO4kCa63vrAQIAAO0DAAAOAAAAAAAAAAEAIAAAACgBAABk&#10;cnMvZTJvRG9jLnhtbFBLBQYAAAAABgAGAFkBAACbBQAAAAA=&#10;">
                <v:fill on="f" focussize="0,0"/>
                <v:stroke color="#000000" joinstyle="round" endarrow="block"/>
                <v:imagedata o:title=""/>
                <o:lock v:ext="edit" aspectratio="f"/>
              </v:shape>
            </w:pict>
          </mc:Fallback>
        </mc:AlternateContent>
      </w:r>
      <w:r>
        <w:rPr>
          <w:rFonts w:ascii="华文仿宋" w:hAnsi="华文仿宋" w:eastAsia="华文仿宋"/>
          <w:sz w:val="32"/>
          <w:szCs w:val="32"/>
        </w:rPr>
        <mc:AlternateContent>
          <mc:Choice Requires="wps">
            <w:drawing>
              <wp:anchor distT="0" distB="0" distL="114300" distR="114300" simplePos="0" relativeHeight="251659264" behindDoc="0" locked="0" layoutInCell="1" allowOverlap="1">
                <wp:simplePos x="0" y="0"/>
                <wp:positionH relativeFrom="column">
                  <wp:posOffset>762000</wp:posOffset>
                </wp:positionH>
                <wp:positionV relativeFrom="paragraph">
                  <wp:posOffset>220980</wp:posOffset>
                </wp:positionV>
                <wp:extent cx="449580" cy="635"/>
                <wp:effectExtent l="0" t="37465" r="7620" b="38100"/>
                <wp:wrapNone/>
                <wp:docPr id="13" name="自选图形 1063"/>
                <wp:cNvGraphicFramePr/>
                <a:graphic xmlns:a="http://schemas.openxmlformats.org/drawingml/2006/main">
                  <a:graphicData uri="http://schemas.microsoft.com/office/word/2010/wordprocessingShape">
                    <wps:wsp>
                      <wps:cNvCnPr/>
                      <wps:spPr>
                        <a:xfrm>
                          <a:off x="0" y="0"/>
                          <a:ext cx="449580" cy="635"/>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自选图形 1063" o:spid="_x0000_s1026" o:spt="32" type="#_x0000_t32" style="position:absolute;left:0pt;margin-left:60pt;margin-top:17.4pt;height:0.05pt;width:35.4pt;z-index:251659264;mso-width-relative:page;mso-height-relative:page;" filled="f" stroked="t" coordsize="21600,21600" o:gfxdata="UEsDBAoAAAAAAIdO4kAAAAAAAAAAAAAAAAAEAAAAZHJzL1BLAwQUAAAACACHTuJAzUS/49cAAAAJ&#10;AQAADwAAAGRycy9kb3ducmV2LnhtbE2PzU7DMBCE70i8g7VI3KhdQBEJcSpBhcgFJFpU9ejGS2IR&#10;r6PY/ePp2ZzgtrM7mv2mXJx8Lw44RhdIw3ymQCA1wTpqNXyuX24eQMRkyJo+EGo4Y4RFdXlRmsKG&#10;I33gYZVawSEUC6OhS2kopIxNh97EWRiQ+PYVRm8Sy7GVdjRHDve9vFUqk9444g+dGfC5w+Z7tfca&#10;0nJ77rJN85S79/XrW+Z+6rpean19NVePIBKe0p8ZJnxGh4qZdmFPNoqeNcezVcPdPVeYDLniYTct&#10;cpBVKf83qH4BUEsDBBQAAAAIAIdO4kBun7p9AAIAAOwDAAAOAAAAZHJzL2Uyb0RvYy54bWytU82O&#10;0zAQviPxDpbvNO12W+1GTffQslwQVAIeYOo4iSX/yeNt2hs3xDNw48g7wNusBG/B2CktLELaAzk4&#10;Y8/MN/N9Hi9u9kaznQyonK34ZDTmTFrhamXbir97e/vsijOMYGvQzsqKHyTym+XTJ4vel/LCdU7X&#10;MjACsVj2vuJdjL4sChSdNIAj56UlZ+OCgUjb0BZ1gJ7QjS4uxuN50btQ++CERKTT9eDkR8TwGEDX&#10;NErItRN3Rto4oAapIRIl7JRHvszdNo0U8XXToIxMV5yYxrxSEbK3aS2WCyjbAL5T4tgCPKaFB5wM&#10;KEtFT1BriMDugvoLyigRHLomjoQzxUAkK0IsJuMH2rzpwMvMhaRGfxId/x+seLXbBKZqmoQpZxYM&#10;3fj3D19+vP94/+nb/dfPbDKeT5NKvceSgld2E4479JuQKO+bYNKfyLB9VvZwUlbuIxN0eHl5Pbsi&#10;zQW55tNZAizOmT5gfCGdYcmoOMYAqu3iyllLF+jCJEsLu5cYh8RfCamstqyv+PXsYkbwQAPZ0CCQ&#10;aTyRQtvmXHRa1bdK65SBod2udGA7SEORv2NDf4SlImvAbojLrhQGZSehfm5rFg+e1LL0Snhqwcia&#10;My3pUSUrR0ZQ+hwZgwLb6n9Ekx7akixJ6EHaZG1dfciK53MagizccWDTlP2+z9nnR7r8C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M1Ev+PXAAAACQEAAA8AAAAAAAAAAQAgAAAAIgAAAGRycy9kb3du&#10;cmV2LnhtbFBLAQIUABQAAAAIAIdO4kBun7p9AAIAAOwDAAAOAAAAAAAAAAEAIAAAACYBAABkcnMv&#10;ZTJvRG9jLnhtbFBLBQYAAAAABgAGAFkBAACYBQAAAAA=&#10;">
                <v:fill on="f" focussize="0,0"/>
                <v:stroke color="#000000" joinstyle="round" endarrow="block"/>
                <v:imagedata o:title=""/>
                <o:lock v:ext="edit" aspectratio="f"/>
              </v:shape>
            </w:pict>
          </mc:Fallback>
        </mc:AlternateContent>
      </w:r>
    </w:p>
    <w:p>
      <w:pPr>
        <w:pStyle w:val="7"/>
        <w:ind w:firstLine="640"/>
        <w:rPr>
          <w:rFonts w:ascii="华文仿宋" w:hAnsi="华文仿宋" w:eastAsia="华文仿宋"/>
          <w:sz w:val="32"/>
          <w:szCs w:val="32"/>
        </w:rPr>
      </w:pPr>
    </w:p>
    <w:p>
      <w:pPr>
        <w:pStyle w:val="7"/>
        <w:ind w:firstLine="640"/>
        <w:rPr>
          <w:rFonts w:ascii="华文仿宋" w:hAnsi="华文仿宋" w:eastAsia="华文仿宋"/>
          <w:sz w:val="32"/>
          <w:szCs w:val="32"/>
        </w:rPr>
      </w:pPr>
      <w:r>
        <w:rPr>
          <w:rFonts w:ascii="华文仿宋" w:hAnsi="华文仿宋" w:eastAsia="华文仿宋"/>
          <w:sz w:val="32"/>
          <w:szCs w:val="32"/>
        </w:rPr>
        <mc:AlternateContent>
          <mc:Choice Requires="wps">
            <w:drawing>
              <wp:anchor distT="0" distB="0" distL="114300" distR="114300" simplePos="0" relativeHeight="251659264" behindDoc="0" locked="0" layoutInCell="1" allowOverlap="1">
                <wp:simplePos x="0" y="0"/>
                <wp:positionH relativeFrom="column">
                  <wp:posOffset>3457575</wp:posOffset>
                </wp:positionH>
                <wp:positionV relativeFrom="paragraph">
                  <wp:posOffset>190500</wp:posOffset>
                </wp:positionV>
                <wp:extent cx="0" cy="270510"/>
                <wp:effectExtent l="4445" t="0" r="14605" b="15240"/>
                <wp:wrapNone/>
                <wp:docPr id="14" name="自选图形 1064"/>
                <wp:cNvGraphicFramePr/>
                <a:graphic xmlns:a="http://schemas.openxmlformats.org/drawingml/2006/main">
                  <a:graphicData uri="http://schemas.microsoft.com/office/word/2010/wordprocessingShape">
                    <wps:wsp>
                      <wps:cNvCnPr/>
                      <wps:spPr>
                        <a:xfrm>
                          <a:off x="0" y="0"/>
                          <a:ext cx="0" cy="27051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1064" o:spid="_x0000_s1026" o:spt="32" type="#_x0000_t32" style="position:absolute;left:0pt;margin-left:272.25pt;margin-top:15pt;height:21.3pt;width:0pt;z-index:251659264;mso-width-relative:page;mso-height-relative:page;" filled="f" stroked="t" coordsize="21600,21600" o:gfxdata="UEsDBAoAAAAAAIdO4kAAAAAAAAAAAAAAAAAEAAAAZHJzL1BLAwQUAAAACACHTuJASaG8k9YAAAAJ&#10;AQAADwAAAGRycy9kb3ducmV2LnhtbE2PwU7DMAyG70i8Q2QkLoglLeuAUndCSBw4sk3imrWmLTRO&#10;1aTr2NNjxAGOtj/9/v5ifXS9OtAYOs8IycKAIq583XGDsNs+X9+BCtFybXvPhPBFAdbl+Vlh89rP&#10;/EqHTWyUhHDILUIb45BrHaqWnA0LPxDL7d2PzkYZx0bXo50l3PU6NWalne1YPrR2oKeWqs/N5BAo&#10;TFliHu9ds3s5zVdv6eljHraIlxeJeQAV6Rj/YPjRF3UoxWnvJ66D6hGy5TITFOHGSCcBfhd7hNt0&#10;Bbos9P8G5TdQSwMEFAAAAAgAh07iQJLmS6b3AQAA5gMAAA4AAABkcnMvZTJvRG9jLnhtbK1TzY7T&#10;MBC+I/EOlu80abVd2KjpHlqWC4JKsA8wdZzEkv/k8TbtjRviGbhx5B3gbVaCt2DslC4slx7IwRmP&#10;Z76Z7/N4cb03mu1kQOVszaeTkjNphWuU7Wp++/7m2QvOMIJtQDsra36QyK+XT58sBl/JmeudbmRg&#10;BGKxGnzN+xh9VRQoemkAJ85LS4etCwYibUNXNAEGQje6mJXlZTG40PjghEQk73o85EfEcA6ga1sl&#10;5NqJOyNtHFGD1BCJEvbKI1/mbttWivi2bVFGpmtOTGNeqQjZ27QWywVUXQDfK3FsAc5p4REnA8pS&#10;0RPUGiKwu6D+gTJKBIeujRPhTDESyYoQi2n5SJt3PXiZuZDU6E+i4/+DFW92m8BUQ5NwwZkFQzf+&#10;4+PXnx8+3X/+fv/tC5uWlxdJpcFjRcEruwnHHfpNSJT3bTDpT2TYPit7OCkr95GJ0SnIO3tezqdZ&#10;9OIhzweMr6QzLBk1xxhAdX1cOWvp+lyYZmFh9xojVabE3wmpqLZsqPnVfDbnTACNY0tjQKbxRAlt&#10;l3PRadXcKK1TBoZuu9KB7SCNRP4SP8L9KywVWQP2Y1w+Goell9C8tA2LB09aWXojPLVgZMOZlvSk&#10;kkWAUEVQ+pxIKq0tdZAkHkVN1tY1h6x19tP15x6Po5rm6899zn54nst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SaG8k9YAAAAJAQAADwAAAAAAAAABACAAAAAiAAAAZHJzL2Rvd25yZXYueG1sUEsB&#10;AhQAFAAAAAgAh07iQJLmS6b3AQAA5gMAAA4AAAAAAAAAAQAgAAAAJQEAAGRycy9lMm9Eb2MueG1s&#10;UEsFBgAAAAAGAAYAWQEAAI4FAAAAAA==&#10;">
                <v:fill on="f" focussize="0,0"/>
                <v:stroke color="#000000" joinstyle="round"/>
                <v:imagedata o:title=""/>
                <o:lock v:ext="edit" aspectratio="f"/>
              </v:shape>
            </w:pict>
          </mc:Fallback>
        </mc:AlternateContent>
      </w:r>
    </w:p>
    <w:p>
      <w:pPr>
        <w:pStyle w:val="7"/>
        <w:ind w:firstLine="640"/>
        <w:rPr>
          <w:rFonts w:ascii="华文仿宋" w:hAnsi="华文仿宋" w:eastAsia="华文仿宋"/>
          <w:sz w:val="32"/>
          <w:szCs w:val="32"/>
        </w:rPr>
      </w:pPr>
      <w:r>
        <w:rPr>
          <w:rFonts w:ascii="华文仿宋" w:hAnsi="华文仿宋" w:eastAsia="华文仿宋"/>
          <w:sz w:val="32"/>
          <w:szCs w:val="32"/>
        </w:rPr>
        <mc:AlternateContent>
          <mc:Choice Requires="wps">
            <w:drawing>
              <wp:anchor distT="0" distB="0" distL="114300" distR="114300" simplePos="0" relativeHeight="251659264" behindDoc="0" locked="0" layoutInCell="1" allowOverlap="1">
                <wp:simplePos x="0" y="0"/>
                <wp:positionH relativeFrom="column">
                  <wp:posOffset>2933700</wp:posOffset>
                </wp:positionH>
                <wp:positionV relativeFrom="paragraph">
                  <wp:posOffset>137160</wp:posOffset>
                </wp:positionV>
                <wp:extent cx="1070610" cy="1460500"/>
                <wp:effectExtent l="4445" t="5080" r="10795" b="20320"/>
                <wp:wrapNone/>
                <wp:docPr id="15" name="矩形 1065"/>
                <wp:cNvGraphicFramePr/>
                <a:graphic xmlns:a="http://schemas.openxmlformats.org/drawingml/2006/main">
                  <a:graphicData uri="http://schemas.microsoft.com/office/word/2010/wordprocessingShape">
                    <wps:wsp>
                      <wps:cNvSpPr/>
                      <wps:spPr>
                        <a:xfrm>
                          <a:off x="0" y="0"/>
                          <a:ext cx="1070610" cy="1460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240" w:lineRule="auto"/>
                              <w:ind w:firstLine="0" w:firstLineChars="0"/>
                              <w:rPr>
                                <w:sz w:val="24"/>
                                <w:szCs w:val="24"/>
                              </w:rPr>
                            </w:pPr>
                            <w:r>
                              <w:rPr>
                                <w:rFonts w:hint="eastAsia"/>
                                <w:sz w:val="24"/>
                                <w:szCs w:val="24"/>
                              </w:rPr>
                              <w:t>10万元-20万元（含）的由局长审批，超过20万元的应提交局长办公会议审定</w:t>
                            </w:r>
                          </w:p>
                        </w:txbxContent>
                      </wps:txbx>
                      <wps:bodyPr upright="1"/>
                    </wps:wsp>
                  </a:graphicData>
                </a:graphic>
              </wp:anchor>
            </w:drawing>
          </mc:Choice>
          <mc:Fallback>
            <w:pict>
              <v:rect id="矩形 1065" o:spid="_x0000_s1026" o:spt="1" style="position:absolute;left:0pt;margin-left:231pt;margin-top:10.8pt;height:115pt;width:84.3pt;z-index:251659264;mso-width-relative:page;mso-height-relative:page;" fillcolor="#FFFFFF" filled="t" stroked="t" coordsize="21600,21600" o:gfxdata="UEsDBAoAAAAAAIdO4kAAAAAAAAAAAAAAAAAEAAAAZHJzL1BLAwQUAAAACACHTuJAPvwdvdcAAAAK&#10;AQAADwAAAGRycy9kb3ducmV2LnhtbE2PMU/DMBCFdyT+g3VIbNROChGkcTqAisTYpgvbJXaTQHyO&#10;YqcN/HqOCba7d0/vvldsFzeIs51C70lDslIgLDXe9NRqOFa7u0cQISIZHDxZDV82wLa8viowN/5C&#10;e3s+xFZwCIUcNXQxjrmUoemsw7DyoyW+nfzkMPI6tdJMeOFwN8hUqUw67Ik/dDja5842n4fZaaj7&#10;9Ijf++pVuafdOr4t1cf8/qL17U2iNiCiXeKfGX7xGR1KZqr9TCaIQcN9lnKXqCFNMhBsyNaKh5qF&#10;B1ZkWcj/FcofUEsDBBQAAAAIAIdO4kCkz7GABQIAAC4EAAAOAAAAZHJzL2Uyb0RvYy54bWytU02u&#10;0zAQ3iNxB8t7mqSiBaKmb0EpGwRPenCAqeMklvwnj9ukp0FixyE4DuIajN3S9wOLLsjCmbHH38z3&#10;zXh1MxnNDjKgcrbh1azkTFrhWmX7hn/5vH3xmjOMYFvQzsqGHyXym/XzZ6vR13LuBqdbGRiBWKxH&#10;3/AhRl8XBYpBGsCZ89LSYeeCgUhu6Is2wEjoRhfzslwWowutD05IRNrdnA75GTFcA+i6Tgm5cWJv&#10;pI0n1CA1RKKEg/LI17narpMifuo6lJHphhPTmFdKQvYurcV6BXUfwA9KnEuAa0p4wsmAspT0ArWB&#10;CGwf1F9QRong0HVxJpwpTkSyIsSiKp9oczeAl5kLSY3+Ijr+P1jx8XAbmGppEhacWTDU8V9fv//8&#10;8Y1V5XKR9Bk91hR252/D2UMyE9mpCyb9iQabsqbHi6ZyikzQZlW+KpcVyS3orHq5LBdlVr24v+4D&#10;xvfSGZaMhgdqWtYSDh8wUkoK/ROSsqHTqt0qrbMT+t1bHdgBqMHb/KWa6cqjMG3Z2PA3izmRFEBT&#10;29G0kGk8MUfb53yPbuBD4DJ//wJOhW0Ah1MBGSGFQW1UlEkvqAcJ7Tvbsnj0JK6lR8VTMUa2nGlJ&#10;bzBZOTKC0tdEEjttiWTqzKkXyYrTbiKYZO5ce6S27n1Q/UCSVrn0dEJjlNU5j3ya04d+Br1/5uv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PvwdvdcAAAAKAQAADwAAAAAAAAABACAAAAAiAAAAZHJz&#10;L2Rvd25yZXYueG1sUEsBAhQAFAAAAAgAh07iQKTPsYAFAgAALgQAAA4AAAAAAAAAAQAgAAAAJgEA&#10;AGRycy9lMm9Eb2MueG1sUEsFBgAAAAAGAAYAWQEAAJ0FAAAAAA==&#10;">
                <v:fill on="t" focussize="0,0"/>
                <v:stroke color="#000000" joinstyle="miter"/>
                <v:imagedata o:title=""/>
                <o:lock v:ext="edit" aspectratio="f"/>
                <v:textbox>
                  <w:txbxContent>
                    <w:p>
                      <w:pPr>
                        <w:spacing w:line="240" w:lineRule="auto"/>
                        <w:ind w:firstLine="0" w:firstLineChars="0"/>
                        <w:rPr>
                          <w:sz w:val="24"/>
                          <w:szCs w:val="24"/>
                        </w:rPr>
                      </w:pPr>
                      <w:r>
                        <w:rPr>
                          <w:rFonts w:hint="eastAsia"/>
                          <w:sz w:val="24"/>
                          <w:szCs w:val="24"/>
                        </w:rPr>
                        <w:t>10万元-20万元（含）的由局长审批，超过20万元的应提交局长办公会议审定</w:t>
                      </w:r>
                    </w:p>
                  </w:txbxContent>
                </v:textbox>
              </v:rect>
            </w:pict>
          </mc:Fallback>
        </mc:AlternateContent>
      </w:r>
    </w:p>
    <w:p>
      <w:pPr>
        <w:pStyle w:val="7"/>
        <w:ind w:firstLine="640"/>
        <w:rPr>
          <w:rFonts w:ascii="华文仿宋" w:hAnsi="华文仿宋" w:eastAsia="华文仿宋"/>
          <w:sz w:val="32"/>
          <w:szCs w:val="32"/>
        </w:rPr>
      </w:pPr>
      <w:r>
        <w:rPr>
          <w:rFonts w:ascii="华文仿宋" w:hAnsi="华文仿宋" w:eastAsia="华文仿宋"/>
          <w:sz w:val="32"/>
          <w:szCs w:val="32"/>
        </w:rPr>
        <mc:AlternateContent>
          <mc:Choice Requires="wps">
            <w:drawing>
              <wp:anchor distT="0" distB="0" distL="114300" distR="114300" simplePos="0" relativeHeight="251659264" behindDoc="0" locked="0" layoutInCell="1" allowOverlap="1">
                <wp:simplePos x="0" y="0"/>
                <wp:positionH relativeFrom="column">
                  <wp:posOffset>4023360</wp:posOffset>
                </wp:positionH>
                <wp:positionV relativeFrom="paragraph">
                  <wp:posOffset>251460</wp:posOffset>
                </wp:positionV>
                <wp:extent cx="243840" cy="0"/>
                <wp:effectExtent l="0" t="0" r="0" b="0"/>
                <wp:wrapNone/>
                <wp:docPr id="16" name="自选图形 1066"/>
                <wp:cNvGraphicFramePr/>
                <a:graphic xmlns:a="http://schemas.openxmlformats.org/drawingml/2006/main">
                  <a:graphicData uri="http://schemas.microsoft.com/office/word/2010/wordprocessingShape">
                    <wps:wsp>
                      <wps:cNvCnPr/>
                      <wps:spPr>
                        <a:xfrm>
                          <a:off x="0" y="0"/>
                          <a:ext cx="243840"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1066" o:spid="_x0000_s1026" o:spt="32" type="#_x0000_t32" style="position:absolute;left:0pt;margin-left:316.8pt;margin-top:19.8pt;height:0pt;width:19.2pt;z-index:251659264;mso-width-relative:page;mso-height-relative:page;" filled="f" stroked="t" coordsize="21600,21600" o:gfxdata="UEsDBAoAAAAAAIdO4kAAAAAAAAAAAAAAAAAEAAAAZHJzL1BLAwQUAAAACACHTuJA/geHcNcAAAAJ&#10;AQAADwAAAGRycy9kb3ducmV2LnhtbE2PQU/DMAyF70j8h8hIXBBL2oqylaYTQuLAkW0S16zx2kLj&#10;VE26jv16jDiMk2W/p+fvleuT68URx9B50pAsFAik2tuOGg277ev9EkSIhqzpPaGGbwywrq6vSlNY&#10;P9M7HjexERxCoTAa2hiHQspQt+hMWPgBibWDH52JvI6NtKOZOdz1MlUql850xB9aM+BLi/XXZnIa&#10;MEwPiXpeuWb3dp7vPtLz5zxstb69SdQTiIineDHDLz6jQ8VMez+RDaLXkGdZzlYN2YonG/LHlMvt&#10;/w6yKuX/BtUPUEsDBBQAAAAIAIdO4kCzjo529wEAAOYDAAAOAAAAZHJzL2Uyb0RvYy54bWytU82O&#10;0zAQviPxDpbvNGnZrZao6R5alguCSsADTB0nseQ/ebxNe+OGeAZuHHkHeJuV4C0YO90uLJceyMEZ&#10;e2a+me/zeHG9N5rtZEDlbM2nk5IzaYVrlO1q/uH9zbMrzjCCbUA7K2t+kMivl0+fLAZfyZnrnW5k&#10;YARisRp8zfsYfVUUKHppACfOS0vO1gUDkbahK5oAA6EbXczKcl4MLjQ+OCER6XQ9OvkRMZwD6NpW&#10;Cbl24tZIG0fUIDVEooS98siXudu2lSK+bVuUkemaE9OYVypC9jatxXIBVRfA90ocW4BzWnjEyYCy&#10;VPQEtYYI7Daof6CMEsGha+NEOFOMRLIixGJaPtLmXQ9eZi4kNfqT6Pj/YMWb3SYw1dAkzDmzYOjG&#10;f3769uvj57svP+6+f2XTcj5PKg0eKwpe2U047tBvQqK8b4NJfyLD9lnZw0lZuY9M0OHs4vnVBWku&#10;7l3FQ54PGF9JZ1gyao4xgOr6uHLW0vW5MM3Cwu41RqpMifcJqai2bKj5i8vZJYEDjWNLY0Cm8UQJ&#10;bZdz0WnV3CitUwaGbrvSge0gjUT+Ej/C/SssFVkD9mNcdo3D0ktoXtqGxYMnrSy9EZ5aMLLhTEt6&#10;UskiQKgiKH1OJJXWljpIEo+iJmvrmkPWOp/T9ecej6Oa5uvPfc5+eJ7L3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P4Hh3DXAAAACQEAAA8AAAAAAAAAAQAgAAAAIgAAAGRycy9kb3ducmV2LnhtbFBL&#10;AQIUABQAAAAIAIdO4kCzjo529wEAAOYDAAAOAAAAAAAAAAEAIAAAACYBAABkcnMvZTJvRG9jLnht&#10;bFBLBQYAAAAABgAGAFkBAACPBQAAAAA=&#10;">
                <v:fill on="f" focussize="0,0"/>
                <v:stroke color="#000000" joinstyle="round"/>
                <v:imagedata o:title=""/>
                <o:lock v:ext="edit" aspectratio="f"/>
              </v:shape>
            </w:pict>
          </mc:Fallback>
        </mc:AlternateContent>
      </w:r>
    </w:p>
    <w:p>
      <w:pPr>
        <w:pStyle w:val="7"/>
        <w:ind w:firstLine="640"/>
        <w:rPr>
          <w:rFonts w:ascii="华文仿宋" w:hAnsi="华文仿宋" w:eastAsia="华文仿宋"/>
          <w:sz w:val="32"/>
          <w:szCs w:val="32"/>
        </w:rPr>
      </w:pPr>
      <w:r>
        <w:rPr>
          <w:rFonts w:ascii="华文仿宋" w:hAnsi="华文仿宋" w:eastAsia="华文仿宋"/>
          <w:sz w:val="32"/>
          <w:szCs w:val="32"/>
        </w:rPr>
        <mc:AlternateContent>
          <mc:Choice Requires="wps">
            <w:drawing>
              <wp:anchor distT="0" distB="0" distL="114300" distR="114300" simplePos="0" relativeHeight="251659264" behindDoc="0" locked="0" layoutInCell="1" allowOverlap="1">
                <wp:simplePos x="0" y="0"/>
                <wp:positionH relativeFrom="column">
                  <wp:posOffset>2651760</wp:posOffset>
                </wp:positionH>
                <wp:positionV relativeFrom="paragraph">
                  <wp:posOffset>7620</wp:posOffset>
                </wp:positionV>
                <wp:extent cx="281940" cy="635"/>
                <wp:effectExtent l="0" t="37465" r="3810" b="38100"/>
                <wp:wrapNone/>
                <wp:docPr id="17" name="自选图形 1067"/>
                <wp:cNvGraphicFramePr/>
                <a:graphic xmlns:a="http://schemas.openxmlformats.org/drawingml/2006/main">
                  <a:graphicData uri="http://schemas.microsoft.com/office/word/2010/wordprocessingShape">
                    <wps:wsp>
                      <wps:cNvCnPr/>
                      <wps:spPr>
                        <a:xfrm>
                          <a:off x="0" y="0"/>
                          <a:ext cx="281940" cy="635"/>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自选图形 1067" o:spid="_x0000_s1026" o:spt="32" type="#_x0000_t32" style="position:absolute;left:0pt;margin-left:208.8pt;margin-top:0.6pt;height:0.05pt;width:22.2pt;z-index:251659264;mso-width-relative:page;mso-height-relative:page;" filled="f" stroked="t" coordsize="21600,21600" o:gfxdata="UEsDBAoAAAAAAIdO4kAAAAAAAAAAAAAAAAAEAAAAZHJzL1BLAwQUAAAACACHTuJA26K0KNYAAAAH&#10;AQAADwAAAGRycy9kb3ducmV2LnhtbE2PTUvEMBCG74L/IYzgzU1bl6q16YIuYi8uuCviMduMTbCZ&#10;lCb75a93POnx5Xl555l6cfSD2OMUXSAF+SwDgdQF46hX8LZ5uroFEZMmo4dAqOCEERbN+VmtKxMO&#10;9Ir7deoFj1CstAKb0lhJGTuLXsdZGJGYfYbJ68Rx6qWZ9IHH/SCLLCul1474gtUjPlrsvtY7ryAt&#10;P062fO8e7txq8/xSuu+2bZdKXV7k2T2IhMf0V4ZffVaHhp22YUcmikHBPL8pucqgAMF8Xhb825bz&#10;Ncimlv/9mx9QSwMEFAAAAAgAh07iQC/Q5+EAAgAA7AMAAA4AAABkcnMvZTJvRG9jLnhtbK1TzY7T&#10;MBC+I/EOlu80baHd3ajpHlqWC4JKwANMHSex5D95vE1744Z4Bm4ceQd4m5XgLRg7pYVFSHsgB2fs&#10;mflmvs/jxfXeaLaTAZWzFZ+MxpxJK1ytbFvxd29vnlxyhhFsDdpZWfGDRH69fPxo0ftSTl3ndC0D&#10;IxCLZe8r3sXoy6JA0UkDOHJeWnI2LhiItA1tUQfoCd3oYjoez4vehdoHJyQina4HJz8ihocAuqZR&#10;Qq6duDXSxgE1SA2RKGGnPPJl7rZppIivmwZlZLrixDTmlYqQvU1rsVxA2QbwnRLHFuAhLdzjZEBZ&#10;KnqCWkMEdhvUX1BGieDQNXEknCkGIlkRYjEZ39PmTQdeZi4kNfqT6Pj/YMWr3SYwVdMkXHBmwdCN&#10;f//w5cf7j3efvt19/cwm4/lFUqn3WFLwym7CcYd+ExLlfRNM+hMZts/KHk7Kyn1kgg6nl5OrZ6S5&#10;INf86SwBFudMHzC+kM6wZFQcYwDVdnHlrKULdGGSpYXdS4xD4q+EVFZb1lf8ajadETzQQDY0CGQa&#10;T6TQtjkXnVb1jdI6ZWBotysd2A7SUOTv2NAfYanIGrAb4rIrhUHZSaif25rFgye1LL0SnlowsuZM&#10;S3pUycqREZQ+R8agwLb6H9Gkh7YkSxJ6kDZZW1cfsuL5nIYgC3cc2DRlv+9z9vmRLn8C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26K0KNYAAAAHAQAADwAAAAAAAAABACAAAAAiAAAAZHJzL2Rvd25y&#10;ZXYueG1sUEsBAhQAFAAAAAgAh07iQC/Q5+EAAgAA7AMAAA4AAAAAAAAAAQAgAAAAJQEAAGRycy9l&#10;Mm9Eb2MueG1sUEsFBgAAAAAGAAYAWQEAAJcFAAAAAA==&#10;">
                <v:fill on="f" focussize="0,0"/>
                <v:stroke color="#000000" joinstyle="round" endarrow="block"/>
                <v:imagedata o:title=""/>
                <o:lock v:ext="edit" aspectratio="f"/>
              </v:shape>
            </w:pict>
          </mc:Fallback>
        </mc:AlternateContent>
      </w:r>
    </w:p>
    <w:p>
      <w:pPr>
        <w:pStyle w:val="7"/>
        <w:ind w:firstLine="640"/>
        <w:rPr>
          <w:rFonts w:ascii="华文仿宋" w:hAnsi="华文仿宋" w:eastAsia="华文仿宋"/>
          <w:sz w:val="32"/>
          <w:szCs w:val="32"/>
        </w:rPr>
      </w:pPr>
    </w:p>
    <w:p>
      <w:pPr>
        <w:ind w:firstLine="0" w:firstLineChars="0"/>
        <w:rPr>
          <w:rFonts w:ascii="黑体" w:hAnsi="黑体" w:eastAsia="黑体" w:cs="黑体"/>
          <w:sz w:val="28"/>
          <w:szCs w:val="28"/>
        </w:rPr>
      </w:pPr>
    </w:p>
    <w:p>
      <w:pPr>
        <w:ind w:firstLine="560"/>
        <w:jc w:val="center"/>
        <w:rPr>
          <w:rFonts w:ascii="黑体" w:hAnsi="黑体" w:eastAsia="黑体" w:cs="黑体"/>
          <w:sz w:val="28"/>
          <w:szCs w:val="28"/>
        </w:rPr>
      </w:pPr>
      <w:r>
        <w:rPr>
          <w:rFonts w:hint="eastAsia" w:ascii="黑体" w:hAnsi="黑体" w:eastAsia="黑体" w:cs="黑体"/>
          <w:sz w:val="28"/>
          <w:szCs w:val="28"/>
        </w:rPr>
        <w:t>图1-1 项目支出事前申请流程</w:t>
      </w:r>
    </w:p>
    <w:p>
      <w:pPr>
        <w:ind w:firstLine="560"/>
        <w:jc w:val="center"/>
        <w:rPr>
          <w:rFonts w:ascii="黑体" w:hAnsi="黑体" w:eastAsia="黑体" w:cs="黑体"/>
          <w:sz w:val="28"/>
          <w:szCs w:val="28"/>
        </w:rPr>
      </w:pPr>
    </w:p>
    <w:p>
      <w:r>
        <w:rPr>
          <w:rFonts w:hint="eastAsia"/>
        </w:rPr>
        <w:t>2</w:t>
      </w:r>
      <w:r>
        <w:t>018</w:t>
      </w:r>
      <w:r>
        <w:rPr>
          <w:rFonts w:hint="eastAsia"/>
        </w:rPr>
        <w:t>年“普法宣传经费” 年度总指标为590.</w:t>
      </w:r>
      <w:r>
        <w:t>00</w:t>
      </w:r>
      <w:r>
        <w:rPr>
          <w:rFonts w:hint="eastAsia"/>
        </w:rPr>
        <w:t>万元。截止2018年12月底，实际支出580.38万元，执行率高达98.37%，项目资金具体使用情况见下表1-3所示：</w:t>
      </w:r>
    </w:p>
    <w:p/>
    <w:p>
      <w:pPr>
        <w:widowControl/>
        <w:ind w:firstLine="560"/>
        <w:jc w:val="center"/>
        <w:rPr>
          <w:b/>
          <w:bCs/>
          <w:kern w:val="0"/>
          <w:sz w:val="24"/>
          <w:shd w:val="clear" w:color="auto" w:fill="FFFFFF"/>
        </w:rPr>
      </w:pPr>
      <w:r>
        <w:rPr>
          <w:rFonts w:hint="eastAsia" w:ascii="黑体" w:hAnsi="黑体" w:eastAsia="黑体" w:cs="黑体"/>
          <w:kern w:val="0"/>
          <w:sz w:val="28"/>
          <w:szCs w:val="28"/>
          <w:shd w:val="clear" w:color="auto" w:fill="FFFFFF"/>
        </w:rPr>
        <w:t>表1-3 项目资金执行情况表</w:t>
      </w:r>
    </w:p>
    <w:p>
      <w:pPr>
        <w:widowControl/>
        <w:ind w:firstLine="480"/>
        <w:jc w:val="right"/>
        <w:rPr>
          <w:kern w:val="0"/>
          <w:sz w:val="24"/>
          <w:shd w:val="clear" w:color="auto" w:fill="FFFFFF"/>
        </w:rPr>
      </w:pPr>
      <w:r>
        <w:rPr>
          <w:kern w:val="0"/>
          <w:sz w:val="24"/>
          <w:shd w:val="clear" w:color="auto" w:fill="FFFFFF"/>
        </w:rPr>
        <w:t>单位：</w:t>
      </w:r>
      <w:r>
        <w:rPr>
          <w:rFonts w:hint="eastAsia"/>
          <w:kern w:val="0"/>
          <w:sz w:val="24"/>
          <w:shd w:val="clear" w:color="auto" w:fill="FFFFFF"/>
        </w:rPr>
        <w:t>万</w:t>
      </w:r>
      <w:r>
        <w:rPr>
          <w:kern w:val="0"/>
          <w:sz w:val="24"/>
          <w:shd w:val="clear" w:color="auto" w:fill="FFFFFF"/>
        </w:rPr>
        <w:t>元</w:t>
      </w:r>
    </w:p>
    <w:tbl>
      <w:tblPr>
        <w:tblStyle w:val="13"/>
        <w:tblW w:w="8494" w:type="dxa"/>
        <w:jc w:val="center"/>
        <w:tblLayout w:type="fixed"/>
        <w:tblCellMar>
          <w:top w:w="0" w:type="dxa"/>
          <w:left w:w="108" w:type="dxa"/>
          <w:bottom w:w="0" w:type="dxa"/>
          <w:right w:w="108" w:type="dxa"/>
        </w:tblCellMar>
      </w:tblPr>
      <w:tblGrid>
        <w:gridCol w:w="820"/>
        <w:gridCol w:w="1365"/>
        <w:gridCol w:w="1845"/>
        <w:gridCol w:w="2422"/>
        <w:gridCol w:w="2042"/>
      </w:tblGrid>
      <w:tr>
        <w:tblPrEx>
          <w:tblCellMar>
            <w:top w:w="0" w:type="dxa"/>
            <w:left w:w="108" w:type="dxa"/>
            <w:bottom w:w="0" w:type="dxa"/>
            <w:right w:w="108" w:type="dxa"/>
          </w:tblCellMar>
        </w:tblPrEx>
        <w:trPr>
          <w:trHeight w:val="638" w:hRule="atLeast"/>
          <w:tblHeader/>
          <w:jc w:val="center"/>
        </w:trPr>
        <w:tc>
          <w:tcPr>
            <w:tcW w:w="820" w:type="dxa"/>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rPr>
                <w:b/>
                <w:bCs/>
                <w:kern w:val="0"/>
                <w:sz w:val="24"/>
              </w:rPr>
            </w:pPr>
            <w:r>
              <w:rPr>
                <w:b/>
                <w:bCs/>
                <w:kern w:val="0"/>
                <w:sz w:val="24"/>
              </w:rPr>
              <w:t>序号</w:t>
            </w:r>
          </w:p>
        </w:tc>
        <w:tc>
          <w:tcPr>
            <w:tcW w:w="1365" w:type="dxa"/>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rPr>
                <w:b/>
                <w:bCs/>
                <w:kern w:val="0"/>
                <w:sz w:val="24"/>
              </w:rPr>
            </w:pPr>
            <w:r>
              <w:rPr>
                <w:b/>
                <w:bCs/>
                <w:kern w:val="0"/>
                <w:sz w:val="24"/>
              </w:rPr>
              <w:t>时间</w:t>
            </w:r>
          </w:p>
        </w:tc>
        <w:tc>
          <w:tcPr>
            <w:tcW w:w="1845" w:type="dxa"/>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rPr>
                <w:b/>
                <w:bCs/>
                <w:kern w:val="0"/>
                <w:sz w:val="24"/>
              </w:rPr>
            </w:pPr>
            <w:r>
              <w:rPr>
                <w:rFonts w:hint="eastAsia"/>
                <w:b/>
                <w:bCs/>
                <w:kern w:val="0"/>
                <w:sz w:val="24"/>
              </w:rPr>
              <w:t>年度总</w:t>
            </w:r>
            <w:r>
              <w:rPr>
                <w:b/>
                <w:bCs/>
                <w:kern w:val="0"/>
                <w:sz w:val="24"/>
              </w:rPr>
              <w:t>指标</w:t>
            </w:r>
          </w:p>
        </w:tc>
        <w:tc>
          <w:tcPr>
            <w:tcW w:w="2422" w:type="dxa"/>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rPr>
                <w:b/>
                <w:bCs/>
                <w:kern w:val="0"/>
                <w:sz w:val="24"/>
              </w:rPr>
            </w:pPr>
            <w:r>
              <w:rPr>
                <w:rFonts w:hint="eastAsia"/>
                <w:b/>
                <w:bCs/>
                <w:kern w:val="0"/>
                <w:sz w:val="24"/>
              </w:rPr>
              <w:t>累计</w:t>
            </w:r>
            <w:r>
              <w:rPr>
                <w:b/>
                <w:bCs/>
                <w:kern w:val="0"/>
                <w:sz w:val="24"/>
              </w:rPr>
              <w:t>支出数</w:t>
            </w:r>
          </w:p>
        </w:tc>
        <w:tc>
          <w:tcPr>
            <w:tcW w:w="2042" w:type="dxa"/>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rPr>
                <w:b/>
                <w:bCs/>
                <w:kern w:val="0"/>
                <w:sz w:val="24"/>
              </w:rPr>
            </w:pPr>
            <w:r>
              <w:rPr>
                <w:b/>
                <w:bCs/>
                <w:kern w:val="0"/>
                <w:sz w:val="24"/>
              </w:rPr>
              <w:t>执行率</w:t>
            </w:r>
          </w:p>
        </w:tc>
      </w:tr>
      <w:tr>
        <w:tblPrEx>
          <w:tblCellMar>
            <w:top w:w="0" w:type="dxa"/>
            <w:left w:w="108" w:type="dxa"/>
            <w:bottom w:w="0" w:type="dxa"/>
            <w:right w:w="108" w:type="dxa"/>
          </w:tblCellMar>
        </w:tblPrEx>
        <w:trPr>
          <w:trHeight w:val="638" w:hRule="atLeast"/>
          <w:jc w:val="center"/>
        </w:trPr>
        <w:tc>
          <w:tcPr>
            <w:tcW w:w="820" w:type="dxa"/>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rPr>
                <w:kern w:val="0"/>
                <w:sz w:val="28"/>
                <w:szCs w:val="28"/>
              </w:rPr>
            </w:pPr>
            <w:r>
              <w:rPr>
                <w:kern w:val="0"/>
                <w:sz w:val="28"/>
                <w:szCs w:val="28"/>
              </w:rPr>
              <w:t>1</w:t>
            </w:r>
          </w:p>
        </w:tc>
        <w:tc>
          <w:tcPr>
            <w:tcW w:w="1365" w:type="dxa"/>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rPr>
                <w:kern w:val="0"/>
                <w:sz w:val="24"/>
              </w:rPr>
            </w:pPr>
            <w:r>
              <w:rPr>
                <w:kern w:val="0"/>
                <w:sz w:val="24"/>
              </w:rPr>
              <w:t>第一季度</w:t>
            </w:r>
          </w:p>
        </w:tc>
        <w:tc>
          <w:tcPr>
            <w:tcW w:w="1845" w:type="dxa"/>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rPr>
                <w:kern w:val="0"/>
                <w:sz w:val="24"/>
                <w:szCs w:val="24"/>
              </w:rPr>
            </w:pPr>
            <w:r>
              <w:rPr>
                <w:rFonts w:hint="eastAsia"/>
                <w:kern w:val="0"/>
                <w:sz w:val="24"/>
                <w:szCs w:val="24"/>
              </w:rPr>
              <w:t>590</w:t>
            </w:r>
            <w:r>
              <w:rPr>
                <w:kern w:val="0"/>
                <w:sz w:val="24"/>
                <w:szCs w:val="24"/>
              </w:rPr>
              <w:t>.00</w:t>
            </w:r>
          </w:p>
        </w:tc>
        <w:tc>
          <w:tcPr>
            <w:tcW w:w="2422" w:type="dxa"/>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rPr>
                <w:kern w:val="0"/>
                <w:sz w:val="24"/>
                <w:szCs w:val="24"/>
              </w:rPr>
            </w:pPr>
            <w:r>
              <w:rPr>
                <w:rFonts w:hint="eastAsia"/>
                <w:kern w:val="0"/>
                <w:sz w:val="24"/>
                <w:szCs w:val="24"/>
              </w:rPr>
              <w:t>24.15</w:t>
            </w:r>
          </w:p>
        </w:tc>
        <w:tc>
          <w:tcPr>
            <w:tcW w:w="2042" w:type="dxa"/>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rPr>
                <w:kern w:val="0"/>
                <w:sz w:val="24"/>
                <w:szCs w:val="24"/>
              </w:rPr>
            </w:pPr>
            <w:r>
              <w:rPr>
                <w:rFonts w:hint="eastAsia"/>
                <w:kern w:val="0"/>
                <w:sz w:val="24"/>
                <w:szCs w:val="24"/>
              </w:rPr>
              <w:t>4.09</w:t>
            </w:r>
            <w:r>
              <w:rPr>
                <w:kern w:val="0"/>
                <w:sz w:val="24"/>
                <w:szCs w:val="24"/>
              </w:rPr>
              <w:t>%</w:t>
            </w:r>
          </w:p>
        </w:tc>
      </w:tr>
      <w:tr>
        <w:tblPrEx>
          <w:tblCellMar>
            <w:top w:w="0" w:type="dxa"/>
            <w:left w:w="108" w:type="dxa"/>
            <w:bottom w:w="0" w:type="dxa"/>
            <w:right w:w="108" w:type="dxa"/>
          </w:tblCellMar>
        </w:tblPrEx>
        <w:trPr>
          <w:trHeight w:val="638" w:hRule="atLeast"/>
          <w:jc w:val="center"/>
        </w:trPr>
        <w:tc>
          <w:tcPr>
            <w:tcW w:w="820" w:type="dxa"/>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rPr>
                <w:kern w:val="0"/>
                <w:sz w:val="28"/>
                <w:szCs w:val="28"/>
              </w:rPr>
            </w:pPr>
            <w:r>
              <w:rPr>
                <w:kern w:val="0"/>
                <w:sz w:val="28"/>
                <w:szCs w:val="28"/>
              </w:rPr>
              <w:t>2</w:t>
            </w:r>
          </w:p>
        </w:tc>
        <w:tc>
          <w:tcPr>
            <w:tcW w:w="1365" w:type="dxa"/>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rPr>
                <w:kern w:val="0"/>
                <w:sz w:val="24"/>
              </w:rPr>
            </w:pPr>
            <w:r>
              <w:rPr>
                <w:kern w:val="0"/>
                <w:sz w:val="24"/>
              </w:rPr>
              <w:t>第二季度</w:t>
            </w:r>
          </w:p>
        </w:tc>
        <w:tc>
          <w:tcPr>
            <w:tcW w:w="1845" w:type="dxa"/>
            <w:tcBorders>
              <w:top w:val="single" w:color="auto" w:sz="4" w:space="0"/>
              <w:left w:val="single" w:color="auto" w:sz="4" w:space="0"/>
              <w:bottom w:val="single" w:color="auto" w:sz="4" w:space="0"/>
              <w:right w:val="single" w:color="auto" w:sz="4" w:space="0"/>
            </w:tcBorders>
            <w:vAlign w:val="center"/>
          </w:tcPr>
          <w:p>
            <w:pPr>
              <w:ind w:firstLine="0" w:firstLineChars="0"/>
              <w:jc w:val="center"/>
              <w:rPr>
                <w:sz w:val="24"/>
                <w:szCs w:val="24"/>
              </w:rPr>
            </w:pPr>
            <w:r>
              <w:rPr>
                <w:rFonts w:hint="eastAsia"/>
                <w:kern w:val="0"/>
                <w:sz w:val="24"/>
                <w:szCs w:val="24"/>
              </w:rPr>
              <w:t>590</w:t>
            </w:r>
            <w:r>
              <w:rPr>
                <w:kern w:val="0"/>
                <w:sz w:val="24"/>
                <w:szCs w:val="24"/>
              </w:rPr>
              <w:t>.00</w:t>
            </w:r>
          </w:p>
        </w:tc>
        <w:tc>
          <w:tcPr>
            <w:tcW w:w="2422" w:type="dxa"/>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rPr>
                <w:kern w:val="0"/>
                <w:sz w:val="24"/>
                <w:szCs w:val="24"/>
              </w:rPr>
            </w:pPr>
            <w:r>
              <w:rPr>
                <w:rFonts w:hint="eastAsia"/>
                <w:kern w:val="0"/>
                <w:sz w:val="24"/>
                <w:szCs w:val="24"/>
              </w:rPr>
              <w:t>163</w:t>
            </w:r>
            <w:r>
              <w:rPr>
                <w:kern w:val="0"/>
                <w:sz w:val="24"/>
                <w:szCs w:val="24"/>
              </w:rPr>
              <w:t>.</w:t>
            </w:r>
            <w:r>
              <w:rPr>
                <w:rFonts w:hint="eastAsia"/>
                <w:kern w:val="0"/>
                <w:sz w:val="24"/>
                <w:szCs w:val="24"/>
              </w:rPr>
              <w:t>5</w:t>
            </w:r>
            <w:r>
              <w:rPr>
                <w:kern w:val="0"/>
                <w:sz w:val="24"/>
                <w:szCs w:val="24"/>
              </w:rPr>
              <w:t>0</w:t>
            </w:r>
          </w:p>
        </w:tc>
        <w:tc>
          <w:tcPr>
            <w:tcW w:w="2042" w:type="dxa"/>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rPr>
                <w:kern w:val="0"/>
                <w:sz w:val="24"/>
                <w:szCs w:val="24"/>
              </w:rPr>
            </w:pPr>
            <w:r>
              <w:rPr>
                <w:rFonts w:hint="eastAsia"/>
                <w:kern w:val="0"/>
                <w:sz w:val="24"/>
                <w:szCs w:val="24"/>
              </w:rPr>
              <w:t>27.71</w:t>
            </w:r>
            <w:r>
              <w:rPr>
                <w:kern w:val="0"/>
                <w:sz w:val="24"/>
                <w:szCs w:val="24"/>
              </w:rPr>
              <w:t>%</w:t>
            </w:r>
          </w:p>
        </w:tc>
      </w:tr>
      <w:tr>
        <w:tblPrEx>
          <w:tblCellMar>
            <w:top w:w="0" w:type="dxa"/>
            <w:left w:w="108" w:type="dxa"/>
            <w:bottom w:w="0" w:type="dxa"/>
            <w:right w:w="108" w:type="dxa"/>
          </w:tblCellMar>
        </w:tblPrEx>
        <w:trPr>
          <w:trHeight w:val="638" w:hRule="atLeast"/>
          <w:jc w:val="center"/>
        </w:trPr>
        <w:tc>
          <w:tcPr>
            <w:tcW w:w="820" w:type="dxa"/>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rPr>
                <w:kern w:val="0"/>
                <w:sz w:val="28"/>
                <w:szCs w:val="28"/>
              </w:rPr>
            </w:pPr>
            <w:r>
              <w:rPr>
                <w:kern w:val="0"/>
                <w:sz w:val="28"/>
                <w:szCs w:val="28"/>
              </w:rPr>
              <w:t>3</w:t>
            </w:r>
          </w:p>
        </w:tc>
        <w:tc>
          <w:tcPr>
            <w:tcW w:w="1365" w:type="dxa"/>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rPr>
                <w:kern w:val="0"/>
                <w:sz w:val="24"/>
              </w:rPr>
            </w:pPr>
            <w:r>
              <w:rPr>
                <w:kern w:val="0"/>
                <w:sz w:val="24"/>
              </w:rPr>
              <w:t>第三季度</w:t>
            </w:r>
          </w:p>
        </w:tc>
        <w:tc>
          <w:tcPr>
            <w:tcW w:w="1845" w:type="dxa"/>
            <w:tcBorders>
              <w:top w:val="single" w:color="auto" w:sz="4" w:space="0"/>
              <w:left w:val="single" w:color="auto" w:sz="4" w:space="0"/>
              <w:bottom w:val="single" w:color="auto" w:sz="4" w:space="0"/>
              <w:right w:val="single" w:color="auto" w:sz="4" w:space="0"/>
            </w:tcBorders>
            <w:vAlign w:val="center"/>
          </w:tcPr>
          <w:p>
            <w:pPr>
              <w:ind w:firstLine="0" w:firstLineChars="0"/>
              <w:jc w:val="center"/>
              <w:rPr>
                <w:sz w:val="24"/>
                <w:szCs w:val="24"/>
              </w:rPr>
            </w:pPr>
            <w:r>
              <w:rPr>
                <w:rFonts w:hint="eastAsia"/>
                <w:kern w:val="0"/>
                <w:sz w:val="24"/>
                <w:szCs w:val="24"/>
              </w:rPr>
              <w:t>590</w:t>
            </w:r>
            <w:r>
              <w:rPr>
                <w:kern w:val="0"/>
                <w:sz w:val="24"/>
                <w:szCs w:val="24"/>
              </w:rPr>
              <w:t>.00</w:t>
            </w:r>
          </w:p>
        </w:tc>
        <w:tc>
          <w:tcPr>
            <w:tcW w:w="2422" w:type="dxa"/>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rPr>
                <w:kern w:val="0"/>
                <w:sz w:val="24"/>
                <w:szCs w:val="24"/>
              </w:rPr>
            </w:pPr>
            <w:r>
              <w:rPr>
                <w:rFonts w:hint="eastAsia"/>
                <w:kern w:val="0"/>
                <w:sz w:val="24"/>
                <w:szCs w:val="24"/>
              </w:rPr>
              <w:t>173.43</w:t>
            </w:r>
          </w:p>
        </w:tc>
        <w:tc>
          <w:tcPr>
            <w:tcW w:w="2042" w:type="dxa"/>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rPr>
                <w:kern w:val="0"/>
                <w:sz w:val="24"/>
                <w:szCs w:val="24"/>
              </w:rPr>
            </w:pPr>
            <w:r>
              <w:rPr>
                <w:rFonts w:hint="eastAsia"/>
                <w:kern w:val="0"/>
                <w:sz w:val="24"/>
                <w:szCs w:val="24"/>
              </w:rPr>
              <w:t>29.39</w:t>
            </w:r>
            <w:r>
              <w:rPr>
                <w:kern w:val="0"/>
                <w:sz w:val="24"/>
                <w:szCs w:val="24"/>
              </w:rPr>
              <w:t>%</w:t>
            </w:r>
          </w:p>
        </w:tc>
      </w:tr>
      <w:tr>
        <w:tblPrEx>
          <w:tblCellMar>
            <w:top w:w="0" w:type="dxa"/>
            <w:left w:w="108" w:type="dxa"/>
            <w:bottom w:w="0" w:type="dxa"/>
            <w:right w:w="108" w:type="dxa"/>
          </w:tblCellMar>
        </w:tblPrEx>
        <w:trPr>
          <w:trHeight w:val="638" w:hRule="atLeast"/>
          <w:jc w:val="center"/>
        </w:trPr>
        <w:tc>
          <w:tcPr>
            <w:tcW w:w="820" w:type="dxa"/>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rPr>
                <w:kern w:val="0"/>
                <w:sz w:val="28"/>
                <w:szCs w:val="28"/>
              </w:rPr>
            </w:pPr>
            <w:r>
              <w:rPr>
                <w:kern w:val="0"/>
                <w:sz w:val="28"/>
                <w:szCs w:val="28"/>
              </w:rPr>
              <w:t>4</w:t>
            </w:r>
          </w:p>
        </w:tc>
        <w:tc>
          <w:tcPr>
            <w:tcW w:w="1365" w:type="dxa"/>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rPr>
                <w:kern w:val="0"/>
                <w:sz w:val="24"/>
              </w:rPr>
            </w:pPr>
            <w:r>
              <w:rPr>
                <w:kern w:val="0"/>
                <w:sz w:val="24"/>
              </w:rPr>
              <w:t>第四季度</w:t>
            </w:r>
          </w:p>
        </w:tc>
        <w:tc>
          <w:tcPr>
            <w:tcW w:w="1845" w:type="dxa"/>
            <w:tcBorders>
              <w:top w:val="single" w:color="auto" w:sz="4" w:space="0"/>
              <w:left w:val="single" w:color="auto" w:sz="4" w:space="0"/>
              <w:bottom w:val="single" w:color="auto" w:sz="4" w:space="0"/>
              <w:right w:val="single" w:color="auto" w:sz="4" w:space="0"/>
            </w:tcBorders>
            <w:vAlign w:val="center"/>
          </w:tcPr>
          <w:p>
            <w:pPr>
              <w:ind w:firstLine="0" w:firstLineChars="0"/>
              <w:jc w:val="center"/>
              <w:rPr>
                <w:sz w:val="24"/>
                <w:szCs w:val="24"/>
              </w:rPr>
            </w:pPr>
            <w:r>
              <w:rPr>
                <w:rFonts w:hint="eastAsia"/>
                <w:kern w:val="0"/>
                <w:sz w:val="24"/>
                <w:szCs w:val="24"/>
              </w:rPr>
              <w:t>590</w:t>
            </w:r>
            <w:r>
              <w:rPr>
                <w:kern w:val="0"/>
                <w:sz w:val="24"/>
                <w:szCs w:val="24"/>
              </w:rPr>
              <w:t>.00</w:t>
            </w:r>
          </w:p>
        </w:tc>
        <w:tc>
          <w:tcPr>
            <w:tcW w:w="2422" w:type="dxa"/>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rPr>
                <w:kern w:val="0"/>
                <w:sz w:val="24"/>
                <w:szCs w:val="24"/>
              </w:rPr>
            </w:pPr>
            <w:r>
              <w:rPr>
                <w:rFonts w:hint="eastAsia"/>
                <w:kern w:val="0"/>
                <w:sz w:val="24"/>
                <w:szCs w:val="24"/>
              </w:rPr>
              <w:t>580.38</w:t>
            </w:r>
          </w:p>
        </w:tc>
        <w:tc>
          <w:tcPr>
            <w:tcW w:w="2042" w:type="dxa"/>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rPr>
                <w:kern w:val="0"/>
                <w:sz w:val="24"/>
                <w:szCs w:val="24"/>
              </w:rPr>
            </w:pPr>
            <w:r>
              <w:rPr>
                <w:rFonts w:hint="eastAsia"/>
                <w:kern w:val="0"/>
                <w:sz w:val="24"/>
                <w:szCs w:val="24"/>
              </w:rPr>
              <w:t>98.37</w:t>
            </w:r>
            <w:r>
              <w:rPr>
                <w:kern w:val="0"/>
                <w:sz w:val="24"/>
                <w:szCs w:val="24"/>
              </w:rPr>
              <w:t>%</w:t>
            </w:r>
          </w:p>
        </w:tc>
      </w:tr>
    </w:tbl>
    <w:p>
      <w:pPr>
        <w:ind w:firstLine="480"/>
        <w:jc w:val="left"/>
        <w:rPr>
          <w:kern w:val="0"/>
          <w:sz w:val="24"/>
          <w:szCs w:val="24"/>
        </w:rPr>
      </w:pPr>
      <w:r>
        <w:rPr>
          <w:kern w:val="0"/>
          <w:sz w:val="24"/>
          <w:szCs w:val="24"/>
        </w:rPr>
        <w:t>数据来源：</w:t>
      </w:r>
      <w:r>
        <w:rPr>
          <w:rFonts w:hint="eastAsia"/>
          <w:kern w:val="0"/>
          <w:sz w:val="24"/>
          <w:szCs w:val="24"/>
        </w:rPr>
        <w:t>预算指标执行情况表</w:t>
      </w:r>
    </w:p>
    <w:p>
      <w:pPr>
        <w:ind w:firstLine="480"/>
        <w:jc w:val="left"/>
        <w:rPr>
          <w:kern w:val="0"/>
          <w:sz w:val="24"/>
          <w:szCs w:val="24"/>
        </w:rPr>
      </w:pPr>
    </w:p>
    <w:p>
      <w:pPr>
        <w:pStyle w:val="3"/>
        <w:rPr>
          <w:rStyle w:val="21"/>
          <w:b/>
          <w:color w:val="FF0000"/>
        </w:rPr>
      </w:pPr>
      <w:r>
        <w:rPr>
          <w:rFonts w:hint="eastAsia"/>
        </w:rPr>
        <w:t>（四）项目绩效目标及实现情况。</w:t>
      </w:r>
    </w:p>
    <w:p>
      <w:r>
        <w:rPr>
          <w:rFonts w:hint="eastAsia"/>
        </w:rPr>
        <w:t>根据2</w:t>
      </w:r>
      <w:r>
        <w:t>018年</w:t>
      </w:r>
      <w:r>
        <w:rPr>
          <w:rFonts w:hint="eastAsia"/>
        </w:rPr>
        <w:t>我局编制的</w:t>
      </w:r>
      <w:r>
        <w:t>预算绩效目标申报表</w:t>
      </w:r>
      <w:r>
        <w:rPr>
          <w:rFonts w:hint="eastAsia"/>
        </w:rPr>
        <w:t>，本项目可分为总体目标和年度目标。</w:t>
      </w:r>
    </w:p>
    <w:p>
      <w:pPr>
        <w:pStyle w:val="4"/>
      </w:pPr>
      <w:r>
        <w:rPr>
          <w:rFonts w:hint="eastAsia"/>
        </w:rPr>
        <w:t>1.总体目标。</w:t>
      </w:r>
    </w:p>
    <w:p>
      <w:r>
        <w:rPr>
          <w:rFonts w:hint="eastAsia"/>
        </w:rPr>
        <w:t>本项目总体目标是以深入开展宪法宣传教育为重点工作，以落实“谁执法谁普法”普法责任制为抓手，完善组建普法讲师团、普法志愿者、普法形象大使三支队伍，开展“法治现场”、党内法规、公司法务三大工程，以提高全体公民法律修养与法律意识，构建“和谐社会”</w:t>
      </w:r>
      <w:r>
        <w:t>。</w:t>
      </w:r>
    </w:p>
    <w:p>
      <w:pPr>
        <w:pStyle w:val="4"/>
      </w:pPr>
      <w:r>
        <w:rPr>
          <w:rFonts w:hint="eastAsia"/>
        </w:rPr>
        <w:t>2.年度目标。</w:t>
      </w:r>
    </w:p>
    <w:p>
      <w:bookmarkStart w:id="1" w:name="_Toc28106"/>
      <w:r>
        <w:t>结合</w:t>
      </w:r>
      <w:r>
        <w:rPr>
          <w:rFonts w:hint="eastAsia"/>
        </w:rPr>
        <w:t>《</w:t>
      </w:r>
      <w:r>
        <w:t>深圳市财政局关于印发</w:t>
      </w:r>
      <w:r>
        <w:rPr>
          <w:rFonts w:hint="eastAsia"/>
        </w:rPr>
        <w:t>&lt;</w:t>
      </w:r>
      <w:r>
        <w:t>深圳市市级财政项目支出绩效评价工作规程（试行）&gt;的通知</w:t>
      </w:r>
      <w:r>
        <w:rPr>
          <w:rFonts w:hint="eastAsia"/>
        </w:rPr>
        <w:t>》</w:t>
      </w:r>
      <w:r>
        <w:t>（深财绩〔2017〕5号）文件要求，并参考相关文件内容，</w:t>
      </w:r>
      <w:r>
        <w:rPr>
          <w:rFonts w:hint="eastAsia"/>
        </w:rPr>
        <w:t>本</w:t>
      </w:r>
      <w:r>
        <w:t>项目</w:t>
      </w:r>
      <w:r>
        <w:rPr>
          <w:rFonts w:hint="eastAsia"/>
        </w:rPr>
        <w:t>年度</w:t>
      </w:r>
      <w:r>
        <w:t>绩效目标细化如下：</w:t>
      </w:r>
    </w:p>
    <w:p>
      <w:r>
        <w:rPr>
          <w:rFonts w:hint="eastAsia"/>
        </w:rPr>
        <w:t>一是</w:t>
      </w:r>
      <w:r>
        <w:t>投入目标</w:t>
      </w:r>
      <w:r>
        <w:rPr>
          <w:rFonts w:hint="eastAsia"/>
        </w:rPr>
        <w:t>。</w:t>
      </w:r>
      <w:r>
        <w:t>预算资金</w:t>
      </w:r>
      <w:r>
        <w:rPr>
          <w:rFonts w:hint="eastAsia"/>
        </w:rPr>
        <w:t>应</w:t>
      </w:r>
      <w:r>
        <w:t>全部用于支付</w:t>
      </w:r>
      <w:r>
        <w:rPr>
          <w:rFonts w:hint="eastAsia"/>
        </w:rPr>
        <w:t>普法宣传</w:t>
      </w:r>
      <w:r>
        <w:t>工作，</w:t>
      </w:r>
      <w:r>
        <w:rPr>
          <w:rFonts w:hint="eastAsia"/>
        </w:rPr>
        <w:t>且保证我局</w:t>
      </w:r>
      <w:r>
        <w:t>财务管理制度规范</w:t>
      </w:r>
      <w:r>
        <w:rPr>
          <w:rFonts w:hint="eastAsia"/>
        </w:rPr>
        <w:t>、</w:t>
      </w:r>
      <w:r>
        <w:t>资金及时到位</w:t>
      </w:r>
      <w:r>
        <w:rPr>
          <w:rFonts w:hint="eastAsia"/>
        </w:rPr>
        <w:t>、资金</w:t>
      </w:r>
      <w:r>
        <w:t>使用合规</w:t>
      </w:r>
      <w:bookmarkEnd w:id="1"/>
      <w:r>
        <w:rPr>
          <w:rFonts w:hint="eastAsia"/>
        </w:rPr>
        <w:t>。</w:t>
      </w:r>
    </w:p>
    <w:p>
      <w:r>
        <w:rPr>
          <w:rFonts w:hint="eastAsia"/>
        </w:rPr>
        <w:t>二是</w:t>
      </w:r>
      <w:r>
        <w:t>产出目标</w:t>
      </w:r>
      <w:r>
        <w:rPr>
          <w:rFonts w:hint="eastAsia"/>
        </w:rPr>
        <w:t>。普法宣传工作完成率、媒体宣传完成率以及普法宣传覆盖率应达到1</w:t>
      </w:r>
      <w:r>
        <w:t>00</w:t>
      </w:r>
      <w:r>
        <w:rPr>
          <w:rFonts w:hint="eastAsia"/>
        </w:rPr>
        <w:t>%，法制宣传片制作数量应达到5个，同时保证本项目各项工作及时完成</w:t>
      </w:r>
      <w:r>
        <w:t>。</w:t>
      </w:r>
    </w:p>
    <w:p>
      <w:r>
        <w:rPr>
          <w:rFonts w:hint="eastAsia"/>
        </w:rPr>
        <w:t>三是效果</w:t>
      </w:r>
      <w:r>
        <w:t>目标</w:t>
      </w:r>
      <w:r>
        <w:rPr>
          <w:rFonts w:hint="eastAsia"/>
        </w:rPr>
        <w:t>。通过项目的开展，以实现公众知晓率达到8</w:t>
      </w:r>
      <w:r>
        <w:t>0</w:t>
      </w:r>
      <w:r>
        <w:rPr>
          <w:rFonts w:hint="eastAsia"/>
        </w:rPr>
        <w:t>%以及有效提升市民法制素养的目标</w:t>
      </w:r>
      <w:r>
        <w:t>。</w:t>
      </w:r>
    </w:p>
    <w:p>
      <w:pPr>
        <w:pStyle w:val="2"/>
      </w:pPr>
      <w:r>
        <w:rPr>
          <w:rFonts w:hint="eastAsia"/>
        </w:rPr>
        <w:t>二、项目绩效评价结论和分析</w:t>
      </w:r>
    </w:p>
    <w:p>
      <w:pPr>
        <w:pStyle w:val="3"/>
      </w:pPr>
      <w:r>
        <w:rPr>
          <w:rFonts w:hint="eastAsia"/>
        </w:rPr>
        <w:t>（一）项目绩效评价结论。</w:t>
      </w:r>
    </w:p>
    <w:p>
      <w:r>
        <w:rPr>
          <w:rFonts w:hint="eastAsia"/>
        </w:rPr>
        <w:t>根据《深圳市财政局关于开展2018年度绩效自评工作的通知》（深财绩〔2019〕2号）文件要求，我局选择对纳入2018年预算绩效管理的项目进行重点项目绩效自评，即“普法宣传经费”项目。</w:t>
      </w:r>
    </w:p>
    <w:p>
      <w:pPr>
        <w:pStyle w:val="4"/>
      </w:pPr>
      <w:r>
        <w:rPr>
          <w:rFonts w:hint="eastAsia"/>
        </w:rPr>
        <w:t>1.评价目的。</w:t>
      </w:r>
    </w:p>
    <w:p>
      <w:pPr>
        <w:rPr>
          <w:szCs w:val="32"/>
        </w:rPr>
      </w:pPr>
      <w:r>
        <w:rPr>
          <w:rFonts w:hint="eastAsia"/>
          <w:szCs w:val="32"/>
        </w:rPr>
        <w:t>通过对该项目2018年实施情况进行绩效自评，总结本项目取得的成效和经验，并从中发现问题。目的是加强我局预算绩效管理，强化预算支出有效性和提高财政资金使用效率，为我局进一步的决策提供更好的科学依据。</w:t>
      </w:r>
    </w:p>
    <w:p>
      <w:pPr>
        <w:pStyle w:val="4"/>
      </w:pPr>
      <w:r>
        <w:rPr>
          <w:rFonts w:hint="eastAsia"/>
        </w:rPr>
        <w:t>2.评价依据。</w:t>
      </w:r>
    </w:p>
    <w:p>
      <w:r>
        <w:rPr>
          <w:rFonts w:hint="eastAsia"/>
        </w:rPr>
        <w:t>以财政部关于印发《财政支出绩效评价管理暂行办法》的通知（财预〔2011〕285号）、《深圳市人民政府关于印发深圳市政府全面试行绩效管理工作实施方案的通知》（深府〔2010〕30号）、《深圳市人民政府关于加强财政预算绩效管理工作的意见》（深府〔2013〕23号）、《关于印发〈深圳市预算绩效管理暂行办法〉的通知》（深财规﹝2014﹞8号）等文件作为本次绩效评价工作的核心评价依据。</w:t>
      </w:r>
    </w:p>
    <w:p>
      <w:pPr>
        <w:pStyle w:val="4"/>
      </w:pPr>
      <w:r>
        <w:rPr>
          <w:rFonts w:hint="eastAsia"/>
        </w:rPr>
        <w:t>3.评价方法。</w:t>
      </w:r>
    </w:p>
    <w:p>
      <w:r>
        <w:rPr>
          <w:rFonts w:hint="eastAsia"/>
        </w:rPr>
        <w:t>（1）比较法。</w:t>
      </w:r>
    </w:p>
    <w:p>
      <w:r>
        <w:rPr>
          <w:rFonts w:hint="eastAsia"/>
        </w:rPr>
        <w:t>对于该项目绩效评价指标体系中大部分指标采用比较法，通过对绩效目标与实施效果、历史与当期情况、不同指标业绩值与评价标准的比较，综合分析绩效目标实现程度。</w:t>
      </w:r>
    </w:p>
    <w:p>
      <w:r>
        <w:rPr>
          <w:rFonts w:hint="eastAsia"/>
        </w:rPr>
        <w:t>（2）因素分析法。</w:t>
      </w:r>
    </w:p>
    <w:p>
      <w:r>
        <w:rPr>
          <w:rFonts w:hint="eastAsia"/>
        </w:rPr>
        <w:t>因素分析法是指通过综合分析影响绩效目标实现、实施效果的内外因素，评价绩效目标实现程度。本次绩效评价，管理制度健全性、项目过程管理的有效性等指标采用因素分析法。</w:t>
      </w:r>
    </w:p>
    <w:p>
      <w:pPr>
        <w:pStyle w:val="4"/>
      </w:pPr>
      <w:r>
        <w:rPr>
          <w:rFonts w:hint="eastAsia"/>
        </w:rPr>
        <w:t>4.评价总结。</w:t>
      </w:r>
    </w:p>
    <w:p>
      <w:r>
        <w:rPr>
          <w:rFonts w:hint="eastAsia"/>
        </w:rPr>
        <w:t>2018年度，</w:t>
      </w:r>
      <w:r>
        <w:t>“</w:t>
      </w:r>
      <w:r>
        <w:rPr>
          <w:rFonts w:hint="eastAsia"/>
        </w:rPr>
        <w:t>普法宣传经费</w:t>
      </w:r>
      <w:r>
        <w:t>”</w:t>
      </w:r>
      <w:r>
        <w:rPr>
          <w:rFonts w:hint="eastAsia"/>
        </w:rPr>
        <w:t>项目支出整体情况较好，基本完成了年度工作目标，充分发挥了该项目的有效作用。总体来看，项目实施进度正常，财政资金及时足额到位，项目目标任务按时按质完成，项目在资金管理方面取得了良好的成绩。从评价情况来看，项目支出绩效情况较为理想，达到了项目申请时设定的绩效目标。</w:t>
      </w:r>
    </w:p>
    <w:p>
      <w:pPr>
        <w:pStyle w:val="3"/>
      </w:pPr>
      <w:r>
        <w:rPr>
          <w:rFonts w:hint="eastAsia"/>
        </w:rPr>
        <w:t>（二）项目绩效分析。</w:t>
      </w:r>
    </w:p>
    <w:p>
      <w:pPr>
        <w:pStyle w:val="4"/>
      </w:pPr>
      <w:r>
        <w:rPr>
          <w:rFonts w:hint="eastAsia"/>
        </w:rPr>
        <w:t>1.项目决策。</w:t>
      </w:r>
    </w:p>
    <w:p>
      <w:r>
        <w:rPr>
          <w:rFonts w:hint="eastAsia"/>
        </w:rPr>
        <w:t>该部分主要从论证决策、目标设置等方面考察“普法宣传经费”项目资金投向的合理性和可行性，以及项目绩效目标设置的完整性和科学性。</w:t>
      </w:r>
    </w:p>
    <w:p>
      <w:pPr>
        <w:pStyle w:val="5"/>
        <w:numPr>
          <w:ilvl w:val="0"/>
          <w:numId w:val="3"/>
        </w:numPr>
        <w:ind w:firstLineChars="0"/>
      </w:pPr>
      <w:r>
        <w:rPr>
          <w:rFonts w:hint="eastAsia"/>
        </w:rPr>
        <w:t>论证决策。</w:t>
      </w:r>
    </w:p>
    <w:p>
      <w:r>
        <w:rPr>
          <w:rFonts w:hint="eastAsia"/>
        </w:rPr>
        <w:t>通过普法宣传工作的逐步开展，我市人民群众的法制观念普遍提高，遵纪守法的自觉性和运用法律维护自身合法权益的能力不断增强。这一现状表明本项目的设立有利于我局战略目标的实现，符合经济社会发展规划和部门年度工作计划。且我局根据项目建设的可行性和必要性，按照规定程序申请设立该项目，并在设立过程中，提交符合相关要求的文件和材料，有效保障了本项目立项规范性。</w:t>
      </w:r>
    </w:p>
    <w:p>
      <w:r>
        <w:rPr>
          <w:rFonts w:hint="eastAsia"/>
        </w:rPr>
        <w:t>同时，我局宣传教育处（市普法办公室）确定本项目资金安排计划并上交相关负责人批准，且能按照</w:t>
      </w:r>
      <w:r>
        <w:rPr>
          <w:rFonts w:hint="eastAsia" w:cs="仿宋_GB2312"/>
          <w:szCs w:val="32"/>
        </w:rPr>
        <w:t>《深圳特区政府采购条例》、《司法行政机关财务管理暂行办法》和《深圳市司法局机关行政财务管理制度》</w:t>
      </w:r>
      <w:r>
        <w:rPr>
          <w:rFonts w:hint="eastAsia"/>
        </w:rPr>
        <w:t>等文件规定，进行支出审批。同时，本项目资金分配、申请、审批和拨付的程序皆科学合理，符合规范。</w:t>
      </w:r>
    </w:p>
    <w:p>
      <w:pPr>
        <w:pStyle w:val="5"/>
        <w:numPr>
          <w:ilvl w:val="0"/>
          <w:numId w:val="3"/>
        </w:numPr>
        <w:ind w:firstLineChars="0"/>
      </w:pPr>
      <w:r>
        <w:rPr>
          <w:rFonts w:hint="eastAsia"/>
        </w:rPr>
        <w:t>绩效目标设置情况。</w:t>
      </w:r>
    </w:p>
    <w:p>
      <w:r>
        <w:rPr>
          <w:rFonts w:hint="eastAsia"/>
        </w:rPr>
        <w:t>我局编制预算时，为该项目在本年度所计划达到的产出和效果设定了合理的目标。该绩效目标按照数量、质量、时效与效果等不同方面，将项目年度任务分解为绩效指标，每条指标基于2018年预算资金用途设置，与预算资金量相匹配。但设置指标时，我局忽略了受益群体对项目实施效果满意程度的考察，导致服务对象满意度指标缺失。</w:t>
      </w:r>
    </w:p>
    <w:p>
      <w:pPr>
        <w:pStyle w:val="4"/>
      </w:pPr>
      <w:r>
        <w:rPr>
          <w:rFonts w:hint="eastAsia"/>
        </w:rPr>
        <w:t>2.项目管理。</w:t>
      </w:r>
    </w:p>
    <w:p>
      <w:pPr>
        <w:bidi w:val="0"/>
      </w:pPr>
      <w:r>
        <w:rPr>
          <w:rFonts w:hint="eastAsia"/>
        </w:rPr>
        <w:t>项目管理主要考察项目实施程序的规范性、项目单位内部管理情况以及业务主管部门对项目实施的监管情况。</w:t>
      </w:r>
    </w:p>
    <w:p>
      <w:pPr>
        <w:pStyle w:val="5"/>
      </w:pPr>
      <w:r>
        <w:rPr>
          <w:rFonts w:hint="eastAsia"/>
        </w:rPr>
        <w:t>(1)</w:t>
      </w:r>
      <w:r>
        <w:t>财务管理制度健全性</w:t>
      </w:r>
      <w:r>
        <w:rPr>
          <w:rFonts w:hint="eastAsia"/>
        </w:rPr>
        <w:t>。</w:t>
      </w:r>
    </w:p>
    <w:p>
      <w:pPr>
        <w:rPr>
          <w:rFonts w:ascii="Times New Roman" w:hAnsi="Times New Roman"/>
        </w:rPr>
      </w:pPr>
      <w:r>
        <w:rPr>
          <w:rFonts w:hint="eastAsia"/>
        </w:rPr>
        <w:t>我局根据《中华人民共和国会计法》、《中华人民共和国预算法》、《行政单位财务规则》、《行政事业单位内部控制规范》、《深圳特区政府采购条例》、《司法行政机关财务管理暂行办法》和省、市财政部门的有关规定，制定了《深圳市司法局机关行政财务管理制度》，有效保障</w:t>
      </w:r>
      <w:r>
        <w:rPr>
          <w:rFonts w:ascii="Times New Roman" w:hAnsi="Times New Roman"/>
        </w:rPr>
        <w:t>项目资金规范</w:t>
      </w:r>
      <w:r>
        <w:rPr>
          <w:rFonts w:hint="eastAsia" w:ascii="Times New Roman" w:hAnsi="Times New Roman"/>
        </w:rPr>
        <w:t>使用</w:t>
      </w:r>
      <w:r>
        <w:rPr>
          <w:rFonts w:ascii="Times New Roman" w:hAnsi="Times New Roman"/>
        </w:rPr>
        <w:t>、安全运行以及对资金运行的</w:t>
      </w:r>
      <w:r>
        <w:rPr>
          <w:rFonts w:hint="eastAsia" w:ascii="Times New Roman" w:hAnsi="Times New Roman"/>
        </w:rPr>
        <w:t>良好</w:t>
      </w:r>
      <w:r>
        <w:rPr>
          <w:rFonts w:ascii="Times New Roman" w:hAnsi="Times New Roman"/>
        </w:rPr>
        <w:t>控制。</w:t>
      </w:r>
    </w:p>
    <w:p>
      <w:pPr>
        <w:pStyle w:val="5"/>
      </w:pPr>
      <w:r>
        <w:rPr>
          <w:rFonts w:hint="eastAsia"/>
        </w:rPr>
        <w:t>(2)</w:t>
      </w:r>
      <w:r>
        <w:t>资金使用情况</w:t>
      </w:r>
      <w:r>
        <w:rPr>
          <w:rFonts w:hint="eastAsia"/>
        </w:rPr>
        <w:t>。</w:t>
      </w:r>
    </w:p>
    <w:p>
      <w:r>
        <w:t>本项目在实施期间严格执行相应项目资金管理办法，</w:t>
      </w:r>
      <w:r>
        <w:rPr>
          <w:rFonts w:hint="eastAsia"/>
        </w:rPr>
        <w:t>项目支出严格实行预算控制与支出范围、支出标准规定相结合。各项费用支出服从部门预算，严禁无预算、无计划的开支，</w:t>
      </w:r>
      <w:r>
        <w:t>严禁各项开支相互挤占挪用。</w:t>
      </w:r>
      <w:r>
        <w:rPr>
          <w:rFonts w:hint="eastAsia"/>
        </w:rPr>
        <w:t>有效保障本</w:t>
      </w:r>
      <w:r>
        <w:t>项目资金使用的规范性和安全性</w:t>
      </w:r>
      <w:r>
        <w:rPr>
          <w:rFonts w:hint="eastAsia"/>
        </w:rPr>
        <w:t>。</w:t>
      </w:r>
    </w:p>
    <w:p>
      <w:pPr>
        <w:pStyle w:val="5"/>
      </w:pPr>
      <w:r>
        <w:rPr>
          <w:rFonts w:hint="eastAsia"/>
        </w:rPr>
        <w:t>(3)</w:t>
      </w:r>
      <w:r>
        <w:t>财务监控有效性</w:t>
      </w:r>
      <w:r>
        <w:rPr>
          <w:rFonts w:hint="eastAsia"/>
        </w:rPr>
        <w:t>。</w:t>
      </w:r>
    </w:p>
    <w:p>
      <w:r>
        <w:rPr>
          <w:rFonts w:hint="eastAsia"/>
        </w:rPr>
        <w:t>本项目责任科室、实施人员在项目实施过程中，严格遵循财经制度，做到事前规范申请，事后如实报销。且计财处领导、分管工作的局领导以及局长按照审批权限对项目资金的使用情况进行不同程度的监督</w:t>
      </w:r>
      <w:r>
        <w:t>，起到一定财务监控作用</w:t>
      </w:r>
      <w:r>
        <w:rPr>
          <w:rFonts w:hint="eastAsia"/>
        </w:rPr>
        <w:t>，有效确保财务安全性。</w:t>
      </w:r>
    </w:p>
    <w:p>
      <w:pPr>
        <w:pStyle w:val="5"/>
      </w:pPr>
      <w:r>
        <w:rPr>
          <w:rFonts w:hint="eastAsia"/>
        </w:rPr>
        <w:t>(4)</w:t>
      </w:r>
      <w:r>
        <w:t>项目过程管理的有效性</w:t>
      </w:r>
      <w:r>
        <w:rPr>
          <w:rFonts w:hint="eastAsia"/>
        </w:rPr>
        <w:t>以及操作规范性。</w:t>
      </w:r>
    </w:p>
    <w:p>
      <w:r>
        <w:rPr>
          <w:rFonts w:ascii="Times New Roman" w:hAnsi="Times New Roman"/>
        </w:rPr>
        <w:t>依据</w:t>
      </w:r>
      <w:r>
        <w:rPr>
          <w:rFonts w:hint="eastAsia" w:ascii="Times New Roman" w:hAnsi="Times New Roman"/>
        </w:rPr>
        <w:t>相关</w:t>
      </w:r>
      <w:r>
        <w:rPr>
          <w:rFonts w:ascii="Times New Roman" w:hAnsi="Times New Roman"/>
        </w:rPr>
        <w:t>管理制度，</w:t>
      </w:r>
      <w:r>
        <w:rPr>
          <w:rFonts w:hint="eastAsia" w:ascii="Times New Roman" w:hAnsi="Times New Roman"/>
        </w:rPr>
        <w:t>我局</w:t>
      </w:r>
      <w:r>
        <w:rPr>
          <w:rFonts w:ascii="Times New Roman" w:hAnsi="Times New Roman"/>
        </w:rPr>
        <w:t>对本项目进行严格管理。不仅具有完备的项目调整及支出调整手续，而且</w:t>
      </w:r>
      <w:r>
        <w:rPr>
          <w:rFonts w:hint="eastAsia" w:ascii="Times New Roman" w:hAnsi="Times New Roman"/>
        </w:rPr>
        <w:t>委托第三方机构对本项目进行绩效跟踪监控，</w:t>
      </w:r>
      <w:r>
        <w:rPr>
          <w:rFonts w:ascii="Times New Roman" w:hAnsi="Times New Roman"/>
        </w:rPr>
        <w:t>以确保项目实施成果达到规定标准。</w:t>
      </w:r>
      <w:r>
        <w:rPr>
          <w:rFonts w:hint="eastAsia" w:ascii="Times New Roman" w:hAnsi="Times New Roman"/>
        </w:rPr>
        <w:t>同时，我局</w:t>
      </w:r>
      <w:r>
        <w:rPr>
          <w:rFonts w:ascii="Times New Roman" w:hAnsi="Times New Roman"/>
        </w:rPr>
        <w:t>严格按照相关文件要求实施本项目，确保项目申请、评审、立项和验收等流程合法合规。</w:t>
      </w:r>
    </w:p>
    <w:p>
      <w:pPr>
        <w:pStyle w:val="4"/>
      </w:pPr>
      <w:r>
        <w:rPr>
          <w:rFonts w:hint="eastAsia"/>
        </w:rPr>
        <w:t>3.项目绩效。</w:t>
      </w:r>
    </w:p>
    <w:p>
      <w:pPr>
        <w:bidi w:val="0"/>
      </w:pPr>
      <w:r>
        <w:rPr>
          <w:rFonts w:hint="eastAsia"/>
        </w:rPr>
        <w:t>项目绩效主要考察项目产出与项目效益的实现情况。其中，项目产出包括数量、质量、时效以及成本指标；项目效益包括经济效益、社会效益、生态效益、可持续影响和社会公众或服务对象满意度等指标。根据“普法宣传经费”项目的特征，本项目具体绩效分析如下：</w:t>
      </w:r>
    </w:p>
    <w:p>
      <w:pPr>
        <w:pStyle w:val="5"/>
      </w:pPr>
      <w:r>
        <w:rPr>
          <w:rFonts w:hint="eastAsia"/>
        </w:rPr>
        <w:t>(1)数量指标完成情况。</w:t>
      </w:r>
    </w:p>
    <w:p>
      <w:pPr>
        <w:bidi w:val="0"/>
      </w:pPr>
      <w:r>
        <w:rPr>
          <w:rFonts w:hint="eastAsia"/>
        </w:rPr>
        <w:t>本项目预计完成媒体宣传工作；法制宣传片制作工作、常规化法治论坛、沙龙、案例说法等活动主题组织工作等。截止2018年末，我局已顺利开展相关工作，完成年初数量目标。</w:t>
      </w:r>
    </w:p>
    <w:p>
      <w:pPr>
        <w:bidi w:val="0"/>
      </w:pPr>
      <w:r>
        <w:rPr>
          <w:rFonts w:hint="eastAsia"/>
        </w:rPr>
        <w:t>一是深入推动宪法学习宣传。我局宣传教育处（市普法办公室）研究制定并实施《深圳市“宪法进万家”系列活动方案》；</w:t>
      </w:r>
      <w:r>
        <w:t>5月7日，举办“宪法进万家”活动暨《法治现场》节目开播启动仪式</w:t>
      </w:r>
      <w:r>
        <w:rPr>
          <w:rFonts w:hint="eastAsia"/>
        </w:rPr>
        <w:t>；</w:t>
      </w:r>
      <w:r>
        <w:t>5月10日，开展“《宪法》进酒店”活动，在全国率先将新修订的宪法送进酒店房间床头柜</w:t>
      </w:r>
      <w:r>
        <w:rPr>
          <w:rFonts w:hint="eastAsia"/>
        </w:rPr>
        <w:t>；</w:t>
      </w:r>
      <w:r>
        <w:t>9月6日，联合市文体旅游局开展“《宪法》进五星级酒店”活动，活动覆盖全市24家五星级酒店的8,717个客房</w:t>
      </w:r>
      <w:r>
        <w:rPr>
          <w:rFonts w:hint="eastAsia"/>
        </w:rPr>
        <w:t>；</w:t>
      </w:r>
      <w:r>
        <w:t>9月21日，联合深圳广电集团在人才公园潮</w:t>
      </w:r>
      <w:r>
        <w:rPr>
          <w:rFonts w:hint="eastAsia"/>
        </w:rPr>
        <w:t>汐广场举办</w:t>
      </w:r>
      <w:r>
        <w:t>2018年“新深圳人”向《中华人民共和国宪法》宣誓仪式，市民向宪法宣誓，在全国尚属首次</w:t>
      </w:r>
      <w:r>
        <w:rPr>
          <w:rFonts w:hint="eastAsia"/>
        </w:rPr>
        <w:t>；国家宪法日期间，积极协调地铁集团、机场集团等国企，使法治宣传教育做到“海陆空地”出行载体四维全覆盖。</w:t>
      </w:r>
    </w:p>
    <w:p>
      <w:pPr>
        <w:bidi w:val="0"/>
      </w:pPr>
      <w:r>
        <w:rPr>
          <w:rFonts w:hint="eastAsia"/>
        </w:rPr>
        <w:t>二是在都市频道《第一现场》开播《法治现场》栏目。联合深圳广电集团，共同打造法治宣传栏目《法治现场》。该栏目</w:t>
      </w:r>
      <w:r>
        <w:t>在</w:t>
      </w:r>
      <w:r>
        <w:rPr>
          <w:rFonts w:hint="eastAsia"/>
        </w:rPr>
        <w:t>深圳广电集团</w:t>
      </w:r>
      <w:r>
        <w:t>都市频道《第一现场》节目中</w:t>
      </w:r>
      <w:r>
        <w:rPr>
          <w:rFonts w:hint="eastAsia"/>
        </w:rPr>
        <w:t>播出</w:t>
      </w:r>
      <w:r>
        <w:t>，每周</w:t>
      </w:r>
      <w:r>
        <w:rPr>
          <w:rFonts w:hint="eastAsia"/>
        </w:rPr>
        <w:t>一期，</w:t>
      </w:r>
      <w:r>
        <w:t>以树立宪法法律至上、法律面前人人平等的法治理念为出发点和落脚点，讲述当下故事，评议社会热点，辩释法律难题，传播法治理念。</w:t>
      </w:r>
      <w:r>
        <w:rPr>
          <w:rFonts w:hint="eastAsia"/>
        </w:rPr>
        <w:t>目前已播出30多期。前30期的平均收视率3.09，平均市场份额18.31。此外，打造读特APP“法治”频道、读创APP“法环境”频道、“深圳法宣号”微信公众号、“深商法环境”微信公众号等新媒体平台。</w:t>
      </w:r>
    </w:p>
    <w:p>
      <w:pPr>
        <w:bidi w:val="0"/>
      </w:pPr>
      <w:r>
        <w:rPr>
          <w:rFonts w:hint="eastAsia"/>
        </w:rPr>
        <w:t>三是制作投放法治宣传公益广告。制作发布关于平安建设和法治广东建设的平面广告五幅，投放260个公交站台；制作发布迎接中国法治论坛（2018）的平面广告两幅，投放200个公交站台。利用公交候车亭、户外电子屏、地铁灯箱加大宪法公益广告宣传力度，协调户外媒体发布3款普法公益广告，投放公交候车亭200个、户外LED大屏150余个。国家宪法日期间，制作两部宪法视频广告和五幅平面广告，投放在深圳地铁宪法专列、100个地铁灯箱广告、108个深圳公交候车亭、深圳工商银行和深圳机场的营业大厅、公交和的士尾部、深圳十个区的“12.4”活动现场进行宣传。</w:t>
      </w:r>
    </w:p>
    <w:p>
      <w:pPr>
        <w:bidi w:val="0"/>
      </w:pPr>
      <w:r>
        <w:rPr>
          <w:rFonts w:hint="eastAsia"/>
        </w:rPr>
        <w:t>四是完成常规化法治论坛、沙龙、案例说法等活动主题组织工作。歌月山大讲堂与前海法治讲堂按照季度开展，各完成四场；蓝海沙龙与“生活与法”主题活动按照月度开展，各完成1</w:t>
      </w:r>
      <w:r>
        <w:t>2</w:t>
      </w:r>
      <w:r>
        <w:rPr>
          <w:rFonts w:hint="eastAsia"/>
        </w:rPr>
        <w:t>场。</w:t>
      </w:r>
    </w:p>
    <w:p>
      <w:pPr>
        <w:bidi w:val="0"/>
      </w:pPr>
      <w:r>
        <w:rPr>
          <w:rFonts w:hint="eastAsia"/>
        </w:rPr>
        <w:t>综上所述，本项目普法宣传工作完成率、媒体宣传完成率以及法治宣传片制作完成率已达到1</w:t>
      </w:r>
      <w:r>
        <w:t>00</w:t>
      </w:r>
      <w:r>
        <w:rPr>
          <w:rFonts w:hint="eastAsia"/>
        </w:rPr>
        <w:t>%。</w:t>
      </w:r>
    </w:p>
    <w:p>
      <w:pPr>
        <w:pStyle w:val="5"/>
        <w:bidi w:val="0"/>
      </w:pPr>
      <w:r>
        <w:rPr>
          <w:rFonts w:hint="eastAsia"/>
          <w:lang w:eastAsia="zh-CN"/>
        </w:rPr>
        <w:t>（</w:t>
      </w:r>
      <w:r>
        <w:rPr>
          <w:rFonts w:hint="eastAsia"/>
          <w:lang w:val="en-US" w:eastAsia="zh-CN"/>
        </w:rPr>
        <w:t>2</w:t>
      </w:r>
      <w:r>
        <w:rPr>
          <w:rFonts w:hint="eastAsia"/>
          <w:lang w:eastAsia="zh-CN"/>
        </w:rPr>
        <w:t>）</w:t>
      </w:r>
      <w:r>
        <w:rPr>
          <w:rFonts w:hint="eastAsia"/>
        </w:rPr>
        <w:t>质量指标完成情况。</w:t>
      </w:r>
    </w:p>
    <w:p>
      <w:r>
        <w:rPr>
          <w:rFonts w:hint="eastAsia"/>
        </w:rPr>
        <w:t>本项目利用微信公众号、公交候车亭、户外电子屏、地铁灯箱等平台开展系列普法宣传活动，扩大法律知识传播范围，有效保障普法宣传覆盖率达到100%。</w:t>
      </w:r>
    </w:p>
    <w:p>
      <w:pPr>
        <w:pStyle w:val="5"/>
        <w:bidi w:val="0"/>
      </w:pPr>
      <w:r>
        <w:rPr>
          <w:rFonts w:hint="eastAsia"/>
          <w:lang w:eastAsia="zh-CN"/>
        </w:rPr>
        <w:t>（</w:t>
      </w:r>
      <w:r>
        <w:rPr>
          <w:rFonts w:hint="eastAsia"/>
          <w:lang w:val="en-US" w:eastAsia="zh-CN"/>
        </w:rPr>
        <w:t>3</w:t>
      </w:r>
      <w:r>
        <w:rPr>
          <w:rFonts w:hint="eastAsia"/>
          <w:lang w:eastAsia="zh-CN"/>
        </w:rPr>
        <w:t>）</w:t>
      </w:r>
      <w:r>
        <w:rPr>
          <w:rFonts w:hint="eastAsia"/>
        </w:rPr>
        <w:t>时效指标完成情况。</w:t>
      </w:r>
    </w:p>
    <w:p>
      <w:r>
        <w:rPr>
          <w:rFonts w:hint="eastAsia"/>
        </w:rPr>
        <w:t>此部分主要考察本项目涵盖的全部工作的完成及时情况。普法宣传工作、媒体宣传工作、法制宣传片制作工作等均按时开展与完成。</w:t>
      </w:r>
    </w:p>
    <w:p>
      <w:pPr>
        <w:pStyle w:val="5"/>
      </w:pPr>
      <w:r>
        <w:rPr>
          <w:rFonts w:hint="eastAsia"/>
        </w:rPr>
        <w:t>(</w:t>
      </w:r>
      <w:r>
        <w:t>4</w:t>
      </w:r>
      <w:r>
        <w:rPr>
          <w:rFonts w:hint="eastAsia"/>
        </w:rPr>
        <w:t>)社会效益完成情况。</w:t>
      </w:r>
    </w:p>
    <w:p>
      <w:pPr>
        <w:bidi w:val="0"/>
      </w:pPr>
      <w:r>
        <w:rPr>
          <w:rFonts w:hint="eastAsia"/>
        </w:rPr>
        <w:t>由深圳市“七五”普法中期汇报可知，我市在推动宪法学习宣传实施、创新普法工作模式、打造普法特色品牌、推进法治文化建设等方面投入大、亮点多、创意足，全市“七五”普法规划和决议推进有力，普法依法治理工作富有成效。此现状有效保障公众知晓率达到8</w:t>
      </w:r>
      <w:r>
        <w:t>0</w:t>
      </w:r>
      <w:r>
        <w:rPr>
          <w:rFonts w:hint="eastAsia"/>
        </w:rPr>
        <w:t>%。同时，随着普法工作的不断开展，市民的法律意识和法治观念也在逐步加强，市民法制素养得到有效提升。</w:t>
      </w:r>
    </w:p>
    <w:p>
      <w:pPr>
        <w:pStyle w:val="2"/>
      </w:pPr>
      <w:r>
        <w:rPr>
          <w:rFonts w:hint="eastAsia"/>
        </w:rPr>
        <w:t>三、取得的成效</w:t>
      </w:r>
    </w:p>
    <w:p>
      <w:r>
        <w:rPr>
          <w:rFonts w:hint="eastAsia"/>
        </w:rPr>
        <w:t>结合本项目的绩效目标，总结所取得的各项效果以及经验做法如下：</w:t>
      </w:r>
    </w:p>
    <w:p>
      <w:pPr>
        <w:pStyle w:val="3"/>
        <w:numPr>
          <w:ilvl w:val="0"/>
          <w:numId w:val="4"/>
        </w:numPr>
      </w:pPr>
      <w:r>
        <w:rPr>
          <w:rFonts w:hint="eastAsia"/>
        </w:rPr>
        <w:t>项目资金管理规范，预算执行力度高。</w:t>
      </w:r>
    </w:p>
    <w:p>
      <w:pPr>
        <w:bidi w:val="0"/>
      </w:pPr>
      <w:r>
        <w:rPr>
          <w:rFonts w:hint="eastAsia"/>
        </w:rPr>
        <w:t>我局严格按照《中华人民共和国会计法》、《中华人民共和国预算法》、《行政单位财务规则》、《行政事业单位内部控制规范》、《深圳特区政府采购条例》、《司法行政机关财务管理暂行办法》和《深圳市司法局机关行政财务管理制度》等文件对项目资金进行管理，确保项目资金安全性，提高资金使用效率。截止2018年12月底，本项目资金支出率高达</w:t>
      </w:r>
      <w:r>
        <w:t>98.37</w:t>
      </w:r>
      <w:r>
        <w:rPr>
          <w:rFonts w:hint="eastAsia"/>
        </w:rPr>
        <w:t>%，预算执行力度高。</w:t>
      </w:r>
    </w:p>
    <w:p>
      <w:pPr>
        <w:pStyle w:val="3"/>
      </w:pPr>
      <w:r>
        <w:rPr>
          <w:rFonts w:hint="eastAsia"/>
        </w:rPr>
        <w:t>（二）细化年度工作任务，保障项目顺利进行。</w:t>
      </w:r>
    </w:p>
    <w:p>
      <w:pPr>
        <w:bidi w:val="0"/>
      </w:pPr>
      <w:r>
        <w:rPr>
          <w:rFonts w:hint="eastAsia"/>
        </w:rPr>
        <w:t>2</w:t>
      </w:r>
      <w:r>
        <w:t>018</w:t>
      </w:r>
      <w:r>
        <w:rPr>
          <w:rFonts w:hint="eastAsia"/>
        </w:rPr>
        <w:t>年4月，我局宣传教育处（市普法办公室）制订并印发《2018年深圳市法治宣传教育工作计划》，将法治宣传教育工作分类为八大项，细化成二十八个，并逐个落实到各单位中去。如此一来，我局宣传教育处（市普法办公室）更加明确本项目年度工作目标，有效保障项目顺利进行。</w:t>
      </w:r>
    </w:p>
    <w:p>
      <w:pPr>
        <w:pStyle w:val="2"/>
        <w:bidi w:val="0"/>
      </w:pPr>
      <w:r>
        <w:rPr>
          <w:rFonts w:hint="eastAsia"/>
        </w:rPr>
        <w:t>四、存在的问题</w:t>
      </w:r>
    </w:p>
    <w:p>
      <w:r>
        <w:rPr>
          <w:rFonts w:hint="eastAsia"/>
        </w:rPr>
        <w:t>通过此次重点项目支出绩效评价工作的开展，我局发现该项目在实施过程中还存在着以下不足之处。</w:t>
      </w:r>
    </w:p>
    <w:p>
      <w:pPr>
        <w:pStyle w:val="3"/>
      </w:pPr>
      <w:r>
        <w:rPr>
          <w:rFonts w:hint="eastAsia"/>
        </w:rPr>
        <w:t>（一）满意度指标缺失，绩效指标有待优化。</w:t>
      </w:r>
    </w:p>
    <w:p>
      <w:pPr>
        <w:bidi w:val="0"/>
      </w:pPr>
      <w:r>
        <w:rPr>
          <w:rFonts w:hint="eastAsia"/>
        </w:rPr>
        <w:t>应深圳市财政部门要求，每个预算单位都需填报项目支出绩效目标申报表。2018年，我局正处于预算绩效管理工作的探索阶段。编制预算时，虽为“普法宣传经费”项目填报了项目支出绩效目标申报表，但是该项目的效果目标却尚未设置服务对象满意度指标，所以该项目的绩效指标有待进一步的细化和完善。</w:t>
      </w:r>
    </w:p>
    <w:p>
      <w:pPr>
        <w:pStyle w:val="3"/>
      </w:pPr>
      <w:r>
        <w:rPr>
          <w:rFonts w:hint="eastAsia"/>
        </w:rPr>
        <w:t>（二）档案管理力量薄弱，管理水平尚待加强。</w:t>
      </w:r>
    </w:p>
    <w:p>
      <w:pPr>
        <w:bidi w:val="0"/>
      </w:pPr>
      <w:r>
        <w:rPr>
          <w:rFonts w:hint="eastAsia"/>
        </w:rPr>
        <w:t>项目资料的有效整理和存档，有利于我局日后查找、翻阅与监督。由于本项目的相关负责人较多，且存在中途因特殊原因更换项目负责人的现象，导致本项目资料无专人收集整理。并且，大多数资料未实现无纸化阅读，影响了工作效率与项目资料的完整性。</w:t>
      </w:r>
    </w:p>
    <w:p>
      <w:pPr>
        <w:pStyle w:val="2"/>
      </w:pPr>
      <w:r>
        <w:rPr>
          <w:rFonts w:hint="eastAsia"/>
        </w:rPr>
        <w:t>五、相关建议和整改措施</w:t>
      </w:r>
    </w:p>
    <w:p>
      <w:r>
        <w:rPr>
          <w:rFonts w:hint="eastAsia"/>
        </w:rPr>
        <w:t>针对绩效目标完成情况和存在的问题，提出以下工作建议和整改措施。</w:t>
      </w:r>
    </w:p>
    <w:p>
      <w:pPr>
        <w:pStyle w:val="3"/>
      </w:pPr>
      <w:r>
        <w:rPr>
          <w:rFonts w:hint="eastAsia"/>
        </w:rPr>
        <w:t>（一）强化绩效学习</w:t>
      </w:r>
      <w:r>
        <w:t>，</w:t>
      </w:r>
      <w:r>
        <w:rPr>
          <w:rFonts w:hint="eastAsia"/>
        </w:rPr>
        <w:t>完善绩效指标。</w:t>
      </w:r>
    </w:p>
    <w:p>
      <w:pPr>
        <w:bidi w:val="0"/>
      </w:pPr>
      <w:r>
        <w:rPr>
          <w:rFonts w:hint="eastAsia"/>
        </w:rPr>
        <w:t>我局</w:t>
      </w:r>
      <w:r>
        <w:t>在今后</w:t>
      </w:r>
      <w:r>
        <w:rPr>
          <w:rFonts w:hint="eastAsia"/>
        </w:rPr>
        <w:t>会积极组织预算绩效管理专题培训，强调预算绩效管理学习的重要性，不断提升我局相关项目负责人和财务人员对预算绩效管理全流程的认识，并提高相关人员的绩效水平，从而保障本项目绩效指标的完整性。</w:t>
      </w:r>
    </w:p>
    <w:p>
      <w:pPr>
        <w:pStyle w:val="3"/>
      </w:pPr>
      <w:r>
        <w:rPr>
          <w:rFonts w:hint="eastAsia"/>
        </w:rPr>
        <w:t>（二）提高重视程度，加强项目档案管理。</w:t>
      </w:r>
    </w:p>
    <w:p>
      <w:pPr>
        <w:bidi w:val="0"/>
      </w:pPr>
      <w:r>
        <w:rPr>
          <w:rFonts w:hint="eastAsia"/>
        </w:rPr>
        <w:t>我局会逐步建立档案管理机制，加强对档案管理重要性的宣传教育工作，使项目负责人重视项目资料的整理、收集与存档。并且我局会指派专人定期对项目档案管理工作进行督导检查，保障本项目资料的利用率，使其最大限度的发挥作用。</w:t>
      </w:r>
    </w:p>
    <w:p>
      <w:pPr>
        <w:bidi w:val="0"/>
      </w:pPr>
    </w:p>
    <w:sectPr>
      <w:footerReference r:id="rId6" w:type="default"/>
      <w:pgSz w:w="11906" w:h="16838"/>
      <w:pgMar w:top="2041" w:right="1417" w:bottom="1417" w:left="1531" w:header="851" w:footer="992" w:gutter="0"/>
      <w:pgNumType w:fmt="numberInDash"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C603796B-E3A4-4B0D-8427-7923C75666F3}"/>
  </w:font>
  <w:font w:name="黑体">
    <w:panose1 w:val="02010609060101010101"/>
    <w:charset w:val="86"/>
    <w:family w:val="auto"/>
    <w:pitch w:val="default"/>
    <w:sig w:usb0="800002BF" w:usb1="38CF7CFA" w:usb2="00000016" w:usb3="00000000" w:csb0="00040001" w:csb1="00000000"/>
    <w:embedRegular r:id="rId2" w:fontKey="{6DD98985-9D25-4F2F-A817-CBEE6033558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3" w:fontKey="{EFB938C8-841C-44E9-9019-AA9A32AC96D9}"/>
  </w:font>
  <w:font w:name="仿宋_GB2312">
    <w:panose1 w:val="02010609030101010101"/>
    <w:charset w:val="86"/>
    <w:family w:val="modern"/>
    <w:pitch w:val="default"/>
    <w:sig w:usb0="00000001" w:usb1="080E0000" w:usb2="00000000" w:usb3="00000000" w:csb0="00040000" w:csb1="00000000"/>
    <w:embedRegular r:id="rId4" w:fontKey="{74E9FE6A-EB2F-493B-BC3C-89C84F3CA770}"/>
  </w:font>
  <w:font w:name="楷体_GB2312">
    <w:altName w:val="楷体"/>
    <w:panose1 w:val="02010609030101010101"/>
    <w:charset w:val="86"/>
    <w:family w:val="modern"/>
    <w:pitch w:val="default"/>
    <w:sig w:usb0="00000000" w:usb1="00000000" w:usb2="00000000" w:usb3="00000000" w:csb0="00040000" w:csb1="00000000"/>
    <w:embedRegular r:id="rId5" w:fontKey="{5AB459A6-9091-440A-834A-4D1A2B30FF7B}"/>
  </w:font>
  <w:font w:name="Cambria">
    <w:panose1 w:val="02040503050406030204"/>
    <w:charset w:val="00"/>
    <w:family w:val="roman"/>
    <w:pitch w:val="default"/>
    <w:sig w:usb0="E00006FF" w:usb1="420024FF" w:usb2="02000000" w:usb3="00000000" w:csb0="2000019F" w:csb1="00000000"/>
  </w:font>
  <w:font w:name="方正小标宋简体">
    <w:panose1 w:val="02000000000000000000"/>
    <w:charset w:val="86"/>
    <w:family w:val="script"/>
    <w:pitch w:val="default"/>
    <w:sig w:usb0="00000001" w:usb1="08000000" w:usb2="00000000" w:usb3="00000000" w:csb0="00040000" w:csb1="00000000"/>
    <w:embedRegular r:id="rId6" w:fontKey="{0040A8FF-B12D-49F2-80ED-60EC60F59BD7}"/>
  </w:font>
  <w:font w:name="华文仿宋">
    <w:panose1 w:val="02010600040101010101"/>
    <w:charset w:val="86"/>
    <w:family w:val="auto"/>
    <w:pitch w:val="default"/>
    <w:sig w:usb0="00000287" w:usb1="080F0000" w:usb2="00000000" w:usb3="00000000" w:csb0="0004009F" w:csb1="DFD70000"/>
    <w:embedRegular r:id="rId7" w:fontKey="{2BEF36E4-EFC2-4A5E-B5C6-C2DC688AC239}"/>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right="360" w:firstLine="420"/>
    </w:pPr>
    <w:r>
      <w:rPr>
        <w:sz w:val="21"/>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8"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9"/>
                            <w:ind w:firstLine="560"/>
                            <w:rPr>
                              <w:rStyle w:val="16"/>
                              <w:rFonts w:cs="Times New Roman"/>
                              <w:sz w:val="28"/>
                              <w:szCs w:val="28"/>
                            </w:rPr>
                          </w:pPr>
                          <w:r>
                            <w:rPr>
                              <w:rStyle w:val="16"/>
                              <w:rFonts w:hint="eastAsia" w:ascii="仿宋_GB2312" w:hAnsi="仿宋_GB2312" w:cs="仿宋_GB2312"/>
                              <w:sz w:val="28"/>
                              <w:szCs w:val="28"/>
                            </w:rPr>
                            <w:fldChar w:fldCharType="begin"/>
                          </w:r>
                          <w:r>
                            <w:rPr>
                              <w:rStyle w:val="16"/>
                              <w:rFonts w:hint="eastAsia" w:ascii="仿宋_GB2312" w:hAnsi="仿宋_GB2312" w:cs="仿宋_GB2312"/>
                              <w:sz w:val="28"/>
                              <w:szCs w:val="28"/>
                            </w:rPr>
                            <w:instrText xml:space="preserve">PAGE  </w:instrText>
                          </w:r>
                          <w:r>
                            <w:rPr>
                              <w:rStyle w:val="16"/>
                              <w:rFonts w:hint="eastAsia" w:ascii="仿宋_GB2312" w:hAnsi="仿宋_GB2312" w:cs="仿宋_GB2312"/>
                              <w:sz w:val="28"/>
                              <w:szCs w:val="28"/>
                            </w:rPr>
                            <w:fldChar w:fldCharType="separate"/>
                          </w:r>
                          <w:r>
                            <w:rPr>
                              <w:rStyle w:val="16"/>
                              <w:rFonts w:ascii="仿宋_GB2312" w:hAnsi="仿宋_GB2312" w:cs="仿宋_GB2312"/>
                              <w:sz w:val="28"/>
                              <w:szCs w:val="28"/>
                            </w:rPr>
                            <w:t>- 16 -</w:t>
                          </w:r>
                          <w:r>
                            <w:rPr>
                              <w:rStyle w:val="16"/>
                              <w:rFonts w:hint="eastAsia" w:ascii="仿宋_GB2312" w:hAnsi="仿宋_GB2312" w:cs="仿宋_GB2312"/>
                              <w:sz w:val="28"/>
                              <w:szCs w:val="28"/>
                            </w:rPr>
                            <w:fldChar w:fldCharType="end"/>
                          </w:r>
                        </w:p>
                      </w:txbxContent>
                    </wps:txbx>
                    <wps:bodyPr wrap="none" lIns="0" tIns="0" rIns="0" bIns="0" upright="1">
                      <a:spAutoFit/>
                    </wps:bodyPr>
                  </wps:wsp>
                </a:graphicData>
              </a:graphic>
            </wp:anchor>
          </w:drawing>
        </mc:Choice>
        <mc:Fallback>
          <w:pict>
            <v:shape id="文本框 2"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UUP+t8gBAACaAwAADgAAAGRycy9lMm9Eb2MueG1srVPNjtMwEL4j8Q6W&#10;79RpD6iKmq4WVYuQECAtPIDr2I0l/8njNukLwBtw4sKd5+pzMHaS7rJc9rAXZzwz/ub7Ziabm8Ea&#10;cpIRtHcNXS4qSqQTvtXu0NBvX+/erCmBxF3LjXeyoWcJ9Gb7+tWmD7Vc+c6bVkaCIA7qPjS0SynU&#10;jIHopOWw8EE6DCofLU94jQfWRt4jujVsVVVvWe9jG6IXEgC9uzFIJ8T4HECvlBZy58XRSpdG1CgN&#10;TygJOh2AbgtbpaRIn5UCmYhpKCpN5cQiaO/zybYbXh8iD50WEwX+HApPNFmuHRa9Qu144uQY9X9Q&#10;Vovowau0EN6yUUjpCKpYVk96c9/xIIsWbDWEa9Ph5WDFp9OXSHSLm4Bzd9zixC8/f1x+/bn8/k5W&#10;uT99gBrT7gMmpuGdHzB39gM6s+xBRZu/KIhgHLt7vnZXDomI/Gi9Wq8rDAmMzRfEZw/PQ4T0XnpL&#10;stHQiOMrXeWnj5DG1DklV3P+ThtTRmjcPw7EzB6WuY8cs5WG/TAJ2vv2jHp6nHxDHS46JeaDw8bm&#10;JZmNOBv72TiGqA8dUlsWXhBujwlJFG65wgg7FcaRFXXTeuWdeHwvWQ+/1PY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FFD/rfIAQAAmgMAAA4AAAAAAAAAAQAgAAAAHgEAAGRycy9lMm9Eb2Mu&#10;eG1sUEsFBgAAAAAGAAYAWQEAAFgFAAAAAA==&#10;">
              <v:fill on="f" focussize="0,0"/>
              <v:stroke on="f"/>
              <v:imagedata o:title=""/>
              <o:lock v:ext="edit" aspectratio="f"/>
              <v:textbox inset="0mm,0mm,0mm,0mm" style="mso-fit-shape-to-text:t;">
                <w:txbxContent>
                  <w:p>
                    <w:pPr>
                      <w:pStyle w:val="9"/>
                      <w:ind w:firstLine="560"/>
                      <w:rPr>
                        <w:rStyle w:val="16"/>
                        <w:rFonts w:cs="Times New Roman"/>
                        <w:sz w:val="28"/>
                        <w:szCs w:val="28"/>
                      </w:rPr>
                    </w:pPr>
                    <w:r>
                      <w:rPr>
                        <w:rStyle w:val="16"/>
                        <w:rFonts w:hint="eastAsia" w:ascii="仿宋_GB2312" w:hAnsi="仿宋_GB2312" w:cs="仿宋_GB2312"/>
                        <w:sz w:val="28"/>
                        <w:szCs w:val="28"/>
                      </w:rPr>
                      <w:fldChar w:fldCharType="begin"/>
                    </w:r>
                    <w:r>
                      <w:rPr>
                        <w:rStyle w:val="16"/>
                        <w:rFonts w:hint="eastAsia" w:ascii="仿宋_GB2312" w:hAnsi="仿宋_GB2312" w:cs="仿宋_GB2312"/>
                        <w:sz w:val="28"/>
                        <w:szCs w:val="28"/>
                      </w:rPr>
                      <w:instrText xml:space="preserve">PAGE  </w:instrText>
                    </w:r>
                    <w:r>
                      <w:rPr>
                        <w:rStyle w:val="16"/>
                        <w:rFonts w:hint="eastAsia" w:ascii="仿宋_GB2312" w:hAnsi="仿宋_GB2312" w:cs="仿宋_GB2312"/>
                        <w:sz w:val="28"/>
                        <w:szCs w:val="28"/>
                      </w:rPr>
                      <w:fldChar w:fldCharType="separate"/>
                    </w:r>
                    <w:r>
                      <w:rPr>
                        <w:rStyle w:val="16"/>
                        <w:rFonts w:ascii="仿宋_GB2312" w:hAnsi="仿宋_GB2312" w:cs="仿宋_GB2312"/>
                        <w:sz w:val="28"/>
                        <w:szCs w:val="28"/>
                      </w:rPr>
                      <w:t>- 16 -</w:t>
                    </w:r>
                    <w:r>
                      <w:rPr>
                        <w:rStyle w:val="16"/>
                        <w:rFonts w:hint="eastAsia" w:ascii="仿宋_GB2312" w:hAnsi="仿宋_GB2312" w:cs="仿宋_GB2312"/>
                        <w:sz w:val="28"/>
                        <w:szCs w:val="28"/>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640"/>
      </w:pPr>
      <w:r>
        <w:separator/>
      </w:r>
    </w:p>
  </w:footnote>
  <w:footnote w:type="continuationSeparator" w:id="1">
    <w:p>
      <w:pPr>
        <w:spacing w:line="360" w:lineRule="auto"/>
        <w:ind w:firstLine="64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958EBFE"/>
    <w:multiLevelType w:val="singleLevel"/>
    <w:tmpl w:val="1958EBFE"/>
    <w:lvl w:ilvl="0" w:tentative="0">
      <w:start w:val="2"/>
      <w:numFmt w:val="chineseCounting"/>
      <w:suff w:val="nothing"/>
      <w:lvlText w:val="（%1）"/>
      <w:lvlJc w:val="left"/>
      <w:rPr>
        <w:rFonts w:hint="eastAsia"/>
      </w:rPr>
    </w:lvl>
  </w:abstractNum>
  <w:abstractNum w:abstractNumId="1">
    <w:nsid w:val="28020E75"/>
    <w:multiLevelType w:val="multilevel"/>
    <w:tmpl w:val="28020E75"/>
    <w:lvl w:ilvl="0" w:tentative="0">
      <w:start w:val="1"/>
      <w:numFmt w:val="decimalEnclosedParen"/>
      <w:lvlText w:val="%1"/>
      <w:lvlJc w:val="left"/>
      <w:pPr>
        <w:ind w:left="1000" w:hanging="36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2">
    <w:nsid w:val="2C42D18F"/>
    <w:multiLevelType w:val="singleLevel"/>
    <w:tmpl w:val="2C42D18F"/>
    <w:lvl w:ilvl="0" w:tentative="0">
      <w:start w:val="1"/>
      <w:numFmt w:val="chineseCounting"/>
      <w:suff w:val="nothing"/>
      <w:lvlText w:val="（%1）"/>
      <w:lvlJc w:val="left"/>
      <w:rPr>
        <w:rFonts w:hint="eastAsia"/>
      </w:rPr>
    </w:lvl>
  </w:abstractNum>
  <w:abstractNum w:abstractNumId="3">
    <w:nsid w:val="485250F6"/>
    <w:multiLevelType w:val="singleLevel"/>
    <w:tmpl w:val="485250F6"/>
    <w:lvl w:ilvl="0" w:tentative="0">
      <w:start w:val="3"/>
      <w:numFmt w:val="decimal"/>
      <w:suff w:val="nothing"/>
      <w:lvlText w:val="（%1）"/>
      <w:lvlJc w:val="left"/>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noPunctuationKerning w:val="1"/>
  <w:characterSpacingControl w:val="compressPunctuation"/>
  <w:noLineBreaksAfter w:lang="zh-CN" w:val="$([{£¥·‘“〈《「『【〔〖〝﹙﹛﹝＄（．［｛￡￥"/>
  <w:noLineBreaksBefore w:lang="zh-CN" w:val="!%),.:;&gt;?]}¢¨°·ˇˉ―‖’”…‰′″›℃∶、。〃〉》」』】〕〗〞︶︺︾﹀﹄﹚﹜﹞！＂％＇），．：；？］｀｜｝～￠"/>
  <w:doNotValidateAgainstSchema/>
  <w:doNotDemarcateInvalidXml/>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E5MGUyN2E3NzM2MGExODZlOWY3N2U1NWY5MzA5MTcifQ=="/>
  </w:docVars>
  <w:rsids>
    <w:rsidRoot w:val="00CA01A3"/>
    <w:rsid w:val="00000FF2"/>
    <w:rsid w:val="000024A9"/>
    <w:rsid w:val="0000792C"/>
    <w:rsid w:val="00010A3E"/>
    <w:rsid w:val="00013D68"/>
    <w:rsid w:val="00023D11"/>
    <w:rsid w:val="000246A5"/>
    <w:rsid w:val="000264CC"/>
    <w:rsid w:val="00027499"/>
    <w:rsid w:val="000278AD"/>
    <w:rsid w:val="00033E3E"/>
    <w:rsid w:val="0003510B"/>
    <w:rsid w:val="000432AD"/>
    <w:rsid w:val="0004416B"/>
    <w:rsid w:val="00051F36"/>
    <w:rsid w:val="0007429A"/>
    <w:rsid w:val="00080766"/>
    <w:rsid w:val="000836D1"/>
    <w:rsid w:val="0009317C"/>
    <w:rsid w:val="00096CC1"/>
    <w:rsid w:val="000B14A6"/>
    <w:rsid w:val="000B381C"/>
    <w:rsid w:val="000E767E"/>
    <w:rsid w:val="000F204C"/>
    <w:rsid w:val="00102D37"/>
    <w:rsid w:val="00104604"/>
    <w:rsid w:val="00124F38"/>
    <w:rsid w:val="00125C12"/>
    <w:rsid w:val="001263FA"/>
    <w:rsid w:val="001314D9"/>
    <w:rsid w:val="001340AA"/>
    <w:rsid w:val="00137A74"/>
    <w:rsid w:val="00156092"/>
    <w:rsid w:val="00161382"/>
    <w:rsid w:val="00162826"/>
    <w:rsid w:val="0016696C"/>
    <w:rsid w:val="001729D8"/>
    <w:rsid w:val="00175C2D"/>
    <w:rsid w:val="0017787B"/>
    <w:rsid w:val="00181B7B"/>
    <w:rsid w:val="00196F96"/>
    <w:rsid w:val="00196FB5"/>
    <w:rsid w:val="001A5F91"/>
    <w:rsid w:val="001B35D1"/>
    <w:rsid w:val="001B6D30"/>
    <w:rsid w:val="001C4703"/>
    <w:rsid w:val="001C58FF"/>
    <w:rsid w:val="001C7311"/>
    <w:rsid w:val="001C7892"/>
    <w:rsid w:val="001D3BF4"/>
    <w:rsid w:val="001D60BB"/>
    <w:rsid w:val="001D697A"/>
    <w:rsid w:val="001F22C8"/>
    <w:rsid w:val="001F2409"/>
    <w:rsid w:val="00201A16"/>
    <w:rsid w:val="00216BAE"/>
    <w:rsid w:val="00227F8F"/>
    <w:rsid w:val="00237E7C"/>
    <w:rsid w:val="0024015F"/>
    <w:rsid w:val="00242FAA"/>
    <w:rsid w:val="0024310B"/>
    <w:rsid w:val="00255F9C"/>
    <w:rsid w:val="002563D9"/>
    <w:rsid w:val="00256DDB"/>
    <w:rsid w:val="00273F4F"/>
    <w:rsid w:val="00274DBF"/>
    <w:rsid w:val="00282ACC"/>
    <w:rsid w:val="00285450"/>
    <w:rsid w:val="00290F7B"/>
    <w:rsid w:val="00294318"/>
    <w:rsid w:val="002A0B00"/>
    <w:rsid w:val="002A3496"/>
    <w:rsid w:val="002A53D7"/>
    <w:rsid w:val="002A77CB"/>
    <w:rsid w:val="002B31AF"/>
    <w:rsid w:val="002B32EE"/>
    <w:rsid w:val="002B5AA3"/>
    <w:rsid w:val="002B63F7"/>
    <w:rsid w:val="002B7D68"/>
    <w:rsid w:val="002C00F9"/>
    <w:rsid w:val="002C0684"/>
    <w:rsid w:val="002D14B6"/>
    <w:rsid w:val="002D2241"/>
    <w:rsid w:val="002E18C2"/>
    <w:rsid w:val="002E2786"/>
    <w:rsid w:val="002F36DD"/>
    <w:rsid w:val="003173BF"/>
    <w:rsid w:val="00324D55"/>
    <w:rsid w:val="0033286C"/>
    <w:rsid w:val="0033345A"/>
    <w:rsid w:val="00341C1B"/>
    <w:rsid w:val="00343321"/>
    <w:rsid w:val="00345A0F"/>
    <w:rsid w:val="00346F7A"/>
    <w:rsid w:val="00353F49"/>
    <w:rsid w:val="00354743"/>
    <w:rsid w:val="003732E2"/>
    <w:rsid w:val="00374069"/>
    <w:rsid w:val="003748D3"/>
    <w:rsid w:val="00386582"/>
    <w:rsid w:val="00386D38"/>
    <w:rsid w:val="00391764"/>
    <w:rsid w:val="003959D5"/>
    <w:rsid w:val="003A37FD"/>
    <w:rsid w:val="003B158D"/>
    <w:rsid w:val="003B1663"/>
    <w:rsid w:val="003B2474"/>
    <w:rsid w:val="003B417B"/>
    <w:rsid w:val="003B7931"/>
    <w:rsid w:val="003C5B0D"/>
    <w:rsid w:val="003D0123"/>
    <w:rsid w:val="003D02D5"/>
    <w:rsid w:val="003D5A79"/>
    <w:rsid w:val="003F1189"/>
    <w:rsid w:val="003F21D4"/>
    <w:rsid w:val="003F58DE"/>
    <w:rsid w:val="004036E4"/>
    <w:rsid w:val="00436034"/>
    <w:rsid w:val="00436142"/>
    <w:rsid w:val="00440BE5"/>
    <w:rsid w:val="004655DC"/>
    <w:rsid w:val="00466056"/>
    <w:rsid w:val="00476146"/>
    <w:rsid w:val="00480FAF"/>
    <w:rsid w:val="00493345"/>
    <w:rsid w:val="004A46B0"/>
    <w:rsid w:val="004B2317"/>
    <w:rsid w:val="004B6563"/>
    <w:rsid w:val="004B78F8"/>
    <w:rsid w:val="004E1B8E"/>
    <w:rsid w:val="004E6115"/>
    <w:rsid w:val="004E675A"/>
    <w:rsid w:val="004E7BFE"/>
    <w:rsid w:val="00504CFB"/>
    <w:rsid w:val="00504FA5"/>
    <w:rsid w:val="00522414"/>
    <w:rsid w:val="00523004"/>
    <w:rsid w:val="00527963"/>
    <w:rsid w:val="00527CB5"/>
    <w:rsid w:val="00527E07"/>
    <w:rsid w:val="00531E4D"/>
    <w:rsid w:val="00533E8E"/>
    <w:rsid w:val="0054411F"/>
    <w:rsid w:val="005511E7"/>
    <w:rsid w:val="0055585D"/>
    <w:rsid w:val="005612B3"/>
    <w:rsid w:val="0056160B"/>
    <w:rsid w:val="0056230B"/>
    <w:rsid w:val="00567F74"/>
    <w:rsid w:val="005741D9"/>
    <w:rsid w:val="00575A2F"/>
    <w:rsid w:val="0058017F"/>
    <w:rsid w:val="00586040"/>
    <w:rsid w:val="0058618D"/>
    <w:rsid w:val="005923BA"/>
    <w:rsid w:val="005A40CD"/>
    <w:rsid w:val="005A61E0"/>
    <w:rsid w:val="005A7025"/>
    <w:rsid w:val="005B1196"/>
    <w:rsid w:val="005B3C34"/>
    <w:rsid w:val="005C0399"/>
    <w:rsid w:val="005C27A6"/>
    <w:rsid w:val="005D3A75"/>
    <w:rsid w:val="005D6123"/>
    <w:rsid w:val="005D77E4"/>
    <w:rsid w:val="005E4598"/>
    <w:rsid w:val="005E735F"/>
    <w:rsid w:val="005F2BDD"/>
    <w:rsid w:val="005F324C"/>
    <w:rsid w:val="005F412F"/>
    <w:rsid w:val="005F4B25"/>
    <w:rsid w:val="005F51E0"/>
    <w:rsid w:val="006139AA"/>
    <w:rsid w:val="00635BAD"/>
    <w:rsid w:val="006365E7"/>
    <w:rsid w:val="00640A6D"/>
    <w:rsid w:val="00645304"/>
    <w:rsid w:val="0065082F"/>
    <w:rsid w:val="00652B87"/>
    <w:rsid w:val="00652B9C"/>
    <w:rsid w:val="006652D2"/>
    <w:rsid w:val="006659D2"/>
    <w:rsid w:val="006672A9"/>
    <w:rsid w:val="0067312F"/>
    <w:rsid w:val="006761BE"/>
    <w:rsid w:val="006829E2"/>
    <w:rsid w:val="00685D2B"/>
    <w:rsid w:val="006B0583"/>
    <w:rsid w:val="006B374A"/>
    <w:rsid w:val="006C08C0"/>
    <w:rsid w:val="006E2016"/>
    <w:rsid w:val="006E447F"/>
    <w:rsid w:val="006F3ED8"/>
    <w:rsid w:val="00702A86"/>
    <w:rsid w:val="00706580"/>
    <w:rsid w:val="0071776E"/>
    <w:rsid w:val="007331DA"/>
    <w:rsid w:val="00740314"/>
    <w:rsid w:val="0074126B"/>
    <w:rsid w:val="00741931"/>
    <w:rsid w:val="007450E1"/>
    <w:rsid w:val="00751AA1"/>
    <w:rsid w:val="00754F30"/>
    <w:rsid w:val="00765E67"/>
    <w:rsid w:val="00771234"/>
    <w:rsid w:val="00781CD1"/>
    <w:rsid w:val="007A0442"/>
    <w:rsid w:val="007B3CA7"/>
    <w:rsid w:val="007C3A7D"/>
    <w:rsid w:val="007C4628"/>
    <w:rsid w:val="007D1E94"/>
    <w:rsid w:val="007D253B"/>
    <w:rsid w:val="007D4963"/>
    <w:rsid w:val="007D6DAC"/>
    <w:rsid w:val="007D7135"/>
    <w:rsid w:val="007E2748"/>
    <w:rsid w:val="007E3A2D"/>
    <w:rsid w:val="007E4AB1"/>
    <w:rsid w:val="007F77E4"/>
    <w:rsid w:val="00822D69"/>
    <w:rsid w:val="00824045"/>
    <w:rsid w:val="00831D6F"/>
    <w:rsid w:val="0083403B"/>
    <w:rsid w:val="00842343"/>
    <w:rsid w:val="008457BB"/>
    <w:rsid w:val="008469A8"/>
    <w:rsid w:val="00860AB3"/>
    <w:rsid w:val="00867D30"/>
    <w:rsid w:val="00867F87"/>
    <w:rsid w:val="0087108E"/>
    <w:rsid w:val="0087138E"/>
    <w:rsid w:val="00873580"/>
    <w:rsid w:val="0088105C"/>
    <w:rsid w:val="00883926"/>
    <w:rsid w:val="00885063"/>
    <w:rsid w:val="00890F99"/>
    <w:rsid w:val="00895870"/>
    <w:rsid w:val="008A1C3F"/>
    <w:rsid w:val="008A4A1F"/>
    <w:rsid w:val="008C3401"/>
    <w:rsid w:val="008C4D95"/>
    <w:rsid w:val="008E31B9"/>
    <w:rsid w:val="008E58E5"/>
    <w:rsid w:val="008F0D04"/>
    <w:rsid w:val="008F24F3"/>
    <w:rsid w:val="008F3ABF"/>
    <w:rsid w:val="008F430D"/>
    <w:rsid w:val="008F49D2"/>
    <w:rsid w:val="00907D9F"/>
    <w:rsid w:val="009134CF"/>
    <w:rsid w:val="009164F2"/>
    <w:rsid w:val="00920009"/>
    <w:rsid w:val="009253F5"/>
    <w:rsid w:val="00935023"/>
    <w:rsid w:val="009400BF"/>
    <w:rsid w:val="0094093F"/>
    <w:rsid w:val="009533B5"/>
    <w:rsid w:val="009558FE"/>
    <w:rsid w:val="00960CD5"/>
    <w:rsid w:val="00960E88"/>
    <w:rsid w:val="009634B7"/>
    <w:rsid w:val="00965B79"/>
    <w:rsid w:val="00974605"/>
    <w:rsid w:val="00976E59"/>
    <w:rsid w:val="00985976"/>
    <w:rsid w:val="009927F4"/>
    <w:rsid w:val="009A143D"/>
    <w:rsid w:val="009D6751"/>
    <w:rsid w:val="009E2C4A"/>
    <w:rsid w:val="009E3D14"/>
    <w:rsid w:val="009E7743"/>
    <w:rsid w:val="009F1316"/>
    <w:rsid w:val="009F43DF"/>
    <w:rsid w:val="00A0394D"/>
    <w:rsid w:val="00A10015"/>
    <w:rsid w:val="00A12CC5"/>
    <w:rsid w:val="00A1692C"/>
    <w:rsid w:val="00A2252B"/>
    <w:rsid w:val="00A23224"/>
    <w:rsid w:val="00A36D7E"/>
    <w:rsid w:val="00A433AC"/>
    <w:rsid w:val="00A439C8"/>
    <w:rsid w:val="00A50788"/>
    <w:rsid w:val="00A54C06"/>
    <w:rsid w:val="00A6342C"/>
    <w:rsid w:val="00A63DA6"/>
    <w:rsid w:val="00A65E23"/>
    <w:rsid w:val="00A6794C"/>
    <w:rsid w:val="00A67AE0"/>
    <w:rsid w:val="00A713D4"/>
    <w:rsid w:val="00A82540"/>
    <w:rsid w:val="00AA199E"/>
    <w:rsid w:val="00AB083B"/>
    <w:rsid w:val="00AB1E7D"/>
    <w:rsid w:val="00AB761F"/>
    <w:rsid w:val="00AC3E91"/>
    <w:rsid w:val="00AC6CB2"/>
    <w:rsid w:val="00AD3EB6"/>
    <w:rsid w:val="00AE31E9"/>
    <w:rsid w:val="00AF170D"/>
    <w:rsid w:val="00B065BF"/>
    <w:rsid w:val="00B207E6"/>
    <w:rsid w:val="00B26192"/>
    <w:rsid w:val="00B31797"/>
    <w:rsid w:val="00B31895"/>
    <w:rsid w:val="00B35CE6"/>
    <w:rsid w:val="00B41205"/>
    <w:rsid w:val="00B4558A"/>
    <w:rsid w:val="00B564B9"/>
    <w:rsid w:val="00B63618"/>
    <w:rsid w:val="00B65A9F"/>
    <w:rsid w:val="00B71196"/>
    <w:rsid w:val="00B83A6D"/>
    <w:rsid w:val="00B92961"/>
    <w:rsid w:val="00BA1725"/>
    <w:rsid w:val="00BA257E"/>
    <w:rsid w:val="00BA71DC"/>
    <w:rsid w:val="00BB0D95"/>
    <w:rsid w:val="00BB77E7"/>
    <w:rsid w:val="00BC3E22"/>
    <w:rsid w:val="00BC782B"/>
    <w:rsid w:val="00BD2AE7"/>
    <w:rsid w:val="00BD2D1E"/>
    <w:rsid w:val="00BD4E6B"/>
    <w:rsid w:val="00BD5B00"/>
    <w:rsid w:val="00BE0E8E"/>
    <w:rsid w:val="00BE1196"/>
    <w:rsid w:val="00BE171B"/>
    <w:rsid w:val="00BE226F"/>
    <w:rsid w:val="00BF308C"/>
    <w:rsid w:val="00C21EDB"/>
    <w:rsid w:val="00C24251"/>
    <w:rsid w:val="00C24365"/>
    <w:rsid w:val="00C27323"/>
    <w:rsid w:val="00C30FDA"/>
    <w:rsid w:val="00C36063"/>
    <w:rsid w:val="00C4279C"/>
    <w:rsid w:val="00C46E0E"/>
    <w:rsid w:val="00C47CB3"/>
    <w:rsid w:val="00C55317"/>
    <w:rsid w:val="00C553BC"/>
    <w:rsid w:val="00C55EE5"/>
    <w:rsid w:val="00C63D90"/>
    <w:rsid w:val="00C64DC7"/>
    <w:rsid w:val="00C74437"/>
    <w:rsid w:val="00C90CF2"/>
    <w:rsid w:val="00CA01A3"/>
    <w:rsid w:val="00CA0DA9"/>
    <w:rsid w:val="00CA3ED0"/>
    <w:rsid w:val="00CB1FA9"/>
    <w:rsid w:val="00CB4B87"/>
    <w:rsid w:val="00CB506D"/>
    <w:rsid w:val="00CD06EC"/>
    <w:rsid w:val="00CE2E29"/>
    <w:rsid w:val="00CE7AD3"/>
    <w:rsid w:val="00CF2EE5"/>
    <w:rsid w:val="00D021D7"/>
    <w:rsid w:val="00D072AB"/>
    <w:rsid w:val="00D07C48"/>
    <w:rsid w:val="00D10A25"/>
    <w:rsid w:val="00D12A0B"/>
    <w:rsid w:val="00D171CB"/>
    <w:rsid w:val="00D23920"/>
    <w:rsid w:val="00D2632C"/>
    <w:rsid w:val="00D27643"/>
    <w:rsid w:val="00D32C9A"/>
    <w:rsid w:val="00D337CC"/>
    <w:rsid w:val="00D41B8F"/>
    <w:rsid w:val="00D45050"/>
    <w:rsid w:val="00D52846"/>
    <w:rsid w:val="00D556A2"/>
    <w:rsid w:val="00D57D55"/>
    <w:rsid w:val="00D65D87"/>
    <w:rsid w:val="00D67D84"/>
    <w:rsid w:val="00D820C8"/>
    <w:rsid w:val="00D908B5"/>
    <w:rsid w:val="00D913F9"/>
    <w:rsid w:val="00D91C7F"/>
    <w:rsid w:val="00DA3F1A"/>
    <w:rsid w:val="00DC37C9"/>
    <w:rsid w:val="00DC53EE"/>
    <w:rsid w:val="00DD22FC"/>
    <w:rsid w:val="00DE1831"/>
    <w:rsid w:val="00DE4279"/>
    <w:rsid w:val="00DF6B11"/>
    <w:rsid w:val="00E01043"/>
    <w:rsid w:val="00E0361C"/>
    <w:rsid w:val="00E04D96"/>
    <w:rsid w:val="00E059F3"/>
    <w:rsid w:val="00E13BC3"/>
    <w:rsid w:val="00E1434C"/>
    <w:rsid w:val="00E2350E"/>
    <w:rsid w:val="00E3744C"/>
    <w:rsid w:val="00E44ABA"/>
    <w:rsid w:val="00E51DAF"/>
    <w:rsid w:val="00E53757"/>
    <w:rsid w:val="00E55B79"/>
    <w:rsid w:val="00E62C5C"/>
    <w:rsid w:val="00E650A3"/>
    <w:rsid w:val="00E65B8C"/>
    <w:rsid w:val="00E7193E"/>
    <w:rsid w:val="00E772C1"/>
    <w:rsid w:val="00E77758"/>
    <w:rsid w:val="00E801FD"/>
    <w:rsid w:val="00E805A0"/>
    <w:rsid w:val="00E80D80"/>
    <w:rsid w:val="00E848FF"/>
    <w:rsid w:val="00E949AB"/>
    <w:rsid w:val="00E9749C"/>
    <w:rsid w:val="00EA16BE"/>
    <w:rsid w:val="00EA57B8"/>
    <w:rsid w:val="00EB00B8"/>
    <w:rsid w:val="00EB45A5"/>
    <w:rsid w:val="00EB4705"/>
    <w:rsid w:val="00EC467E"/>
    <w:rsid w:val="00ED21D3"/>
    <w:rsid w:val="00EE0909"/>
    <w:rsid w:val="00EE0E50"/>
    <w:rsid w:val="00EE2C36"/>
    <w:rsid w:val="00EE682B"/>
    <w:rsid w:val="00EF2AAB"/>
    <w:rsid w:val="00EF4A77"/>
    <w:rsid w:val="00F019F7"/>
    <w:rsid w:val="00F0748E"/>
    <w:rsid w:val="00F1261C"/>
    <w:rsid w:val="00F14401"/>
    <w:rsid w:val="00F15E28"/>
    <w:rsid w:val="00F2734E"/>
    <w:rsid w:val="00F30A59"/>
    <w:rsid w:val="00F314DA"/>
    <w:rsid w:val="00F3698F"/>
    <w:rsid w:val="00F4011C"/>
    <w:rsid w:val="00F411B1"/>
    <w:rsid w:val="00F47D64"/>
    <w:rsid w:val="00F53CDC"/>
    <w:rsid w:val="00F73310"/>
    <w:rsid w:val="00F8108F"/>
    <w:rsid w:val="00F90DC0"/>
    <w:rsid w:val="00FA591D"/>
    <w:rsid w:val="00FB455F"/>
    <w:rsid w:val="00FC2BB2"/>
    <w:rsid w:val="00FC3344"/>
    <w:rsid w:val="00FD6B3E"/>
    <w:rsid w:val="00FE08A2"/>
    <w:rsid w:val="00FE6914"/>
    <w:rsid w:val="00FF1475"/>
    <w:rsid w:val="012A2B9A"/>
    <w:rsid w:val="012B20CE"/>
    <w:rsid w:val="01400C8A"/>
    <w:rsid w:val="01451253"/>
    <w:rsid w:val="01495C5E"/>
    <w:rsid w:val="01595C09"/>
    <w:rsid w:val="016355DF"/>
    <w:rsid w:val="016A7599"/>
    <w:rsid w:val="017F5DEB"/>
    <w:rsid w:val="01AF3F92"/>
    <w:rsid w:val="01BF1E58"/>
    <w:rsid w:val="01E210B7"/>
    <w:rsid w:val="021B2B27"/>
    <w:rsid w:val="02282B2D"/>
    <w:rsid w:val="025469DB"/>
    <w:rsid w:val="025A0E65"/>
    <w:rsid w:val="025E174C"/>
    <w:rsid w:val="026917F3"/>
    <w:rsid w:val="02741343"/>
    <w:rsid w:val="027C29F3"/>
    <w:rsid w:val="028111FC"/>
    <w:rsid w:val="02E30D65"/>
    <w:rsid w:val="02F70703"/>
    <w:rsid w:val="0302518A"/>
    <w:rsid w:val="032013E1"/>
    <w:rsid w:val="03537299"/>
    <w:rsid w:val="03793282"/>
    <w:rsid w:val="037A3C41"/>
    <w:rsid w:val="037A3F6C"/>
    <w:rsid w:val="03855ED9"/>
    <w:rsid w:val="03921659"/>
    <w:rsid w:val="03A7658B"/>
    <w:rsid w:val="03DE7941"/>
    <w:rsid w:val="03F1614A"/>
    <w:rsid w:val="03F47546"/>
    <w:rsid w:val="040A7CCE"/>
    <w:rsid w:val="0437322B"/>
    <w:rsid w:val="0455223F"/>
    <w:rsid w:val="045626BF"/>
    <w:rsid w:val="04662E06"/>
    <w:rsid w:val="04E804C0"/>
    <w:rsid w:val="04E86D13"/>
    <w:rsid w:val="050E4127"/>
    <w:rsid w:val="051F75AA"/>
    <w:rsid w:val="0546091C"/>
    <w:rsid w:val="054E66B3"/>
    <w:rsid w:val="056167A4"/>
    <w:rsid w:val="05766304"/>
    <w:rsid w:val="05773BB9"/>
    <w:rsid w:val="057964A4"/>
    <w:rsid w:val="059E731F"/>
    <w:rsid w:val="05B01F83"/>
    <w:rsid w:val="05D4497F"/>
    <w:rsid w:val="060F323F"/>
    <w:rsid w:val="061E6857"/>
    <w:rsid w:val="06215069"/>
    <w:rsid w:val="06305266"/>
    <w:rsid w:val="06381372"/>
    <w:rsid w:val="065E4E46"/>
    <w:rsid w:val="06CC21C0"/>
    <w:rsid w:val="070F6CC6"/>
    <w:rsid w:val="07100595"/>
    <w:rsid w:val="0720691B"/>
    <w:rsid w:val="07242C2B"/>
    <w:rsid w:val="072A0ED1"/>
    <w:rsid w:val="075042C8"/>
    <w:rsid w:val="075D28BE"/>
    <w:rsid w:val="078104E8"/>
    <w:rsid w:val="07926CAC"/>
    <w:rsid w:val="07A75077"/>
    <w:rsid w:val="07B30442"/>
    <w:rsid w:val="07E1016A"/>
    <w:rsid w:val="07FE2999"/>
    <w:rsid w:val="08180660"/>
    <w:rsid w:val="082303FE"/>
    <w:rsid w:val="08A07F53"/>
    <w:rsid w:val="08B97286"/>
    <w:rsid w:val="08C97D8B"/>
    <w:rsid w:val="08E76E97"/>
    <w:rsid w:val="08FB6138"/>
    <w:rsid w:val="08FF1EB9"/>
    <w:rsid w:val="09370D8F"/>
    <w:rsid w:val="09602F0E"/>
    <w:rsid w:val="09847804"/>
    <w:rsid w:val="09A142B4"/>
    <w:rsid w:val="09B67571"/>
    <w:rsid w:val="09BD28F8"/>
    <w:rsid w:val="09CC4332"/>
    <w:rsid w:val="09CD2B06"/>
    <w:rsid w:val="09D925A2"/>
    <w:rsid w:val="09DC284A"/>
    <w:rsid w:val="09F056A6"/>
    <w:rsid w:val="0A064F70"/>
    <w:rsid w:val="0A2520FE"/>
    <w:rsid w:val="0A274DAC"/>
    <w:rsid w:val="0A3922AD"/>
    <w:rsid w:val="0A665436"/>
    <w:rsid w:val="0A8A56ED"/>
    <w:rsid w:val="0AA77484"/>
    <w:rsid w:val="0B0400D0"/>
    <w:rsid w:val="0B1E1975"/>
    <w:rsid w:val="0B2D3693"/>
    <w:rsid w:val="0BFD7AB5"/>
    <w:rsid w:val="0C3E35A6"/>
    <w:rsid w:val="0C5C505C"/>
    <w:rsid w:val="0C690789"/>
    <w:rsid w:val="0CE04C69"/>
    <w:rsid w:val="0CFA4E64"/>
    <w:rsid w:val="0CFF55E2"/>
    <w:rsid w:val="0D1820CC"/>
    <w:rsid w:val="0D402B09"/>
    <w:rsid w:val="0D791C72"/>
    <w:rsid w:val="0D8B2E7D"/>
    <w:rsid w:val="0D9F698B"/>
    <w:rsid w:val="0DA43E5F"/>
    <w:rsid w:val="0DB06331"/>
    <w:rsid w:val="0DEC12D5"/>
    <w:rsid w:val="0E1A7DA5"/>
    <w:rsid w:val="0E1E1187"/>
    <w:rsid w:val="0E4558D8"/>
    <w:rsid w:val="0EAB0B7C"/>
    <w:rsid w:val="0EBC074F"/>
    <w:rsid w:val="0EC03533"/>
    <w:rsid w:val="0ED31398"/>
    <w:rsid w:val="0EDB6629"/>
    <w:rsid w:val="0EEC62B5"/>
    <w:rsid w:val="0EF8518F"/>
    <w:rsid w:val="0EFB6207"/>
    <w:rsid w:val="0EFE691C"/>
    <w:rsid w:val="0F036798"/>
    <w:rsid w:val="0F0D2336"/>
    <w:rsid w:val="0F467188"/>
    <w:rsid w:val="0F5E47D7"/>
    <w:rsid w:val="0F613CB8"/>
    <w:rsid w:val="0F7A04F1"/>
    <w:rsid w:val="0F7E4168"/>
    <w:rsid w:val="0FA746E8"/>
    <w:rsid w:val="0FE3524F"/>
    <w:rsid w:val="100468EB"/>
    <w:rsid w:val="100D3D58"/>
    <w:rsid w:val="101A1AA0"/>
    <w:rsid w:val="107E508C"/>
    <w:rsid w:val="108C4B2C"/>
    <w:rsid w:val="10931000"/>
    <w:rsid w:val="10AB25D4"/>
    <w:rsid w:val="10C024A9"/>
    <w:rsid w:val="114250FE"/>
    <w:rsid w:val="11432B9A"/>
    <w:rsid w:val="1146474C"/>
    <w:rsid w:val="11A865D5"/>
    <w:rsid w:val="11EC496E"/>
    <w:rsid w:val="11F239F6"/>
    <w:rsid w:val="11F35EB1"/>
    <w:rsid w:val="12256763"/>
    <w:rsid w:val="12335370"/>
    <w:rsid w:val="12353337"/>
    <w:rsid w:val="125669D8"/>
    <w:rsid w:val="12630E92"/>
    <w:rsid w:val="12707C48"/>
    <w:rsid w:val="12AE7A12"/>
    <w:rsid w:val="12BA3E7B"/>
    <w:rsid w:val="131B7A6D"/>
    <w:rsid w:val="132344C9"/>
    <w:rsid w:val="13381705"/>
    <w:rsid w:val="133D7B94"/>
    <w:rsid w:val="133F232D"/>
    <w:rsid w:val="13CF0903"/>
    <w:rsid w:val="13FB65A0"/>
    <w:rsid w:val="140529A7"/>
    <w:rsid w:val="14226A8C"/>
    <w:rsid w:val="142405FC"/>
    <w:rsid w:val="142F3EBC"/>
    <w:rsid w:val="143117B9"/>
    <w:rsid w:val="143758D6"/>
    <w:rsid w:val="143D2130"/>
    <w:rsid w:val="143D24CA"/>
    <w:rsid w:val="144900F3"/>
    <w:rsid w:val="1471540F"/>
    <w:rsid w:val="1486653B"/>
    <w:rsid w:val="14B416F2"/>
    <w:rsid w:val="14BA674F"/>
    <w:rsid w:val="15115116"/>
    <w:rsid w:val="15463223"/>
    <w:rsid w:val="15506976"/>
    <w:rsid w:val="15667A16"/>
    <w:rsid w:val="156B2761"/>
    <w:rsid w:val="157C138D"/>
    <w:rsid w:val="15AA17F1"/>
    <w:rsid w:val="15B2613E"/>
    <w:rsid w:val="15C469B1"/>
    <w:rsid w:val="15C61CCB"/>
    <w:rsid w:val="15CA5330"/>
    <w:rsid w:val="15D24B7C"/>
    <w:rsid w:val="15F341F5"/>
    <w:rsid w:val="15F71E35"/>
    <w:rsid w:val="16005187"/>
    <w:rsid w:val="161F2DB1"/>
    <w:rsid w:val="16704A3C"/>
    <w:rsid w:val="16955F2E"/>
    <w:rsid w:val="16C027EA"/>
    <w:rsid w:val="16C62886"/>
    <w:rsid w:val="16DA2FDC"/>
    <w:rsid w:val="16F96173"/>
    <w:rsid w:val="170D49D7"/>
    <w:rsid w:val="17BF7FE7"/>
    <w:rsid w:val="17D447D9"/>
    <w:rsid w:val="17EA1EE8"/>
    <w:rsid w:val="182622C8"/>
    <w:rsid w:val="183D4BEA"/>
    <w:rsid w:val="185D45E9"/>
    <w:rsid w:val="186A74CA"/>
    <w:rsid w:val="186C6FB2"/>
    <w:rsid w:val="18A05381"/>
    <w:rsid w:val="18B51FDE"/>
    <w:rsid w:val="18E21C10"/>
    <w:rsid w:val="19092884"/>
    <w:rsid w:val="190A544F"/>
    <w:rsid w:val="190C293F"/>
    <w:rsid w:val="19494D7A"/>
    <w:rsid w:val="194D70BE"/>
    <w:rsid w:val="194F4EE4"/>
    <w:rsid w:val="19596189"/>
    <w:rsid w:val="196911BA"/>
    <w:rsid w:val="197E14F5"/>
    <w:rsid w:val="19853868"/>
    <w:rsid w:val="19970E4E"/>
    <w:rsid w:val="19DB4D9A"/>
    <w:rsid w:val="1A1C2AC6"/>
    <w:rsid w:val="1A277662"/>
    <w:rsid w:val="1A3D7695"/>
    <w:rsid w:val="1A4F440C"/>
    <w:rsid w:val="1A55328F"/>
    <w:rsid w:val="1A6A544D"/>
    <w:rsid w:val="1A7E30B8"/>
    <w:rsid w:val="1A82504F"/>
    <w:rsid w:val="1AAF51B6"/>
    <w:rsid w:val="1AB918D2"/>
    <w:rsid w:val="1AC049A9"/>
    <w:rsid w:val="1ACF62F7"/>
    <w:rsid w:val="1AD70DE5"/>
    <w:rsid w:val="1B4B61CF"/>
    <w:rsid w:val="1B4D7D6C"/>
    <w:rsid w:val="1B580770"/>
    <w:rsid w:val="1B873D2A"/>
    <w:rsid w:val="1B8B00D6"/>
    <w:rsid w:val="1BA220EF"/>
    <w:rsid w:val="1BB30CA3"/>
    <w:rsid w:val="1BBA1F7A"/>
    <w:rsid w:val="1BFA37A5"/>
    <w:rsid w:val="1C013522"/>
    <w:rsid w:val="1C120495"/>
    <w:rsid w:val="1C4D3B17"/>
    <w:rsid w:val="1C57340E"/>
    <w:rsid w:val="1C6671B5"/>
    <w:rsid w:val="1CB52C96"/>
    <w:rsid w:val="1CC820C2"/>
    <w:rsid w:val="1CE609B0"/>
    <w:rsid w:val="1CEE2DB2"/>
    <w:rsid w:val="1CFA6808"/>
    <w:rsid w:val="1D20682A"/>
    <w:rsid w:val="1D4234CB"/>
    <w:rsid w:val="1D71424A"/>
    <w:rsid w:val="1D984DC4"/>
    <w:rsid w:val="1D9C78AB"/>
    <w:rsid w:val="1DB07612"/>
    <w:rsid w:val="1DC13F2F"/>
    <w:rsid w:val="1DCB7D36"/>
    <w:rsid w:val="1E003C90"/>
    <w:rsid w:val="1E162962"/>
    <w:rsid w:val="1E8714F7"/>
    <w:rsid w:val="1E8B0C1E"/>
    <w:rsid w:val="1EA06EC4"/>
    <w:rsid w:val="1ED70C31"/>
    <w:rsid w:val="1F234BA7"/>
    <w:rsid w:val="1F5E7EEB"/>
    <w:rsid w:val="1F6463AA"/>
    <w:rsid w:val="1F6A192D"/>
    <w:rsid w:val="1F6F1446"/>
    <w:rsid w:val="1F7D3413"/>
    <w:rsid w:val="1FBA0F90"/>
    <w:rsid w:val="1FC76F18"/>
    <w:rsid w:val="1FD07C0E"/>
    <w:rsid w:val="1FE06DB2"/>
    <w:rsid w:val="200F4A73"/>
    <w:rsid w:val="20165C44"/>
    <w:rsid w:val="202575A2"/>
    <w:rsid w:val="202F3644"/>
    <w:rsid w:val="20316502"/>
    <w:rsid w:val="20364AF5"/>
    <w:rsid w:val="205D16AD"/>
    <w:rsid w:val="20692475"/>
    <w:rsid w:val="209D2EA3"/>
    <w:rsid w:val="20B378D7"/>
    <w:rsid w:val="20B577A3"/>
    <w:rsid w:val="20C81A5B"/>
    <w:rsid w:val="20F07EE6"/>
    <w:rsid w:val="20FA7656"/>
    <w:rsid w:val="21061C90"/>
    <w:rsid w:val="211B6FE8"/>
    <w:rsid w:val="211E7353"/>
    <w:rsid w:val="216A454C"/>
    <w:rsid w:val="217D24FB"/>
    <w:rsid w:val="21887990"/>
    <w:rsid w:val="21FD0B00"/>
    <w:rsid w:val="22051C8C"/>
    <w:rsid w:val="220A7EC7"/>
    <w:rsid w:val="22170493"/>
    <w:rsid w:val="227E2320"/>
    <w:rsid w:val="22821B29"/>
    <w:rsid w:val="22CA4449"/>
    <w:rsid w:val="22F30E75"/>
    <w:rsid w:val="230330F1"/>
    <w:rsid w:val="231D2F5C"/>
    <w:rsid w:val="23443416"/>
    <w:rsid w:val="2373246C"/>
    <w:rsid w:val="23754BFB"/>
    <w:rsid w:val="238A1307"/>
    <w:rsid w:val="23B06E6B"/>
    <w:rsid w:val="23B52611"/>
    <w:rsid w:val="23C84D91"/>
    <w:rsid w:val="23F553D2"/>
    <w:rsid w:val="24130C03"/>
    <w:rsid w:val="24280128"/>
    <w:rsid w:val="2458594F"/>
    <w:rsid w:val="248B7D19"/>
    <w:rsid w:val="24A8194B"/>
    <w:rsid w:val="24EC762D"/>
    <w:rsid w:val="24FA22DE"/>
    <w:rsid w:val="25024822"/>
    <w:rsid w:val="25033079"/>
    <w:rsid w:val="251973EB"/>
    <w:rsid w:val="252F616E"/>
    <w:rsid w:val="2587285B"/>
    <w:rsid w:val="259D3FBF"/>
    <w:rsid w:val="25A02D15"/>
    <w:rsid w:val="25A777F3"/>
    <w:rsid w:val="25BC009D"/>
    <w:rsid w:val="25C15958"/>
    <w:rsid w:val="25CE229C"/>
    <w:rsid w:val="25E63DE1"/>
    <w:rsid w:val="25FF445C"/>
    <w:rsid w:val="260E5C0D"/>
    <w:rsid w:val="263C07E7"/>
    <w:rsid w:val="26765458"/>
    <w:rsid w:val="26826597"/>
    <w:rsid w:val="26942077"/>
    <w:rsid w:val="26971A5E"/>
    <w:rsid w:val="26CA6DD9"/>
    <w:rsid w:val="26CB3899"/>
    <w:rsid w:val="26D252C9"/>
    <w:rsid w:val="26EA3FD3"/>
    <w:rsid w:val="26F615A6"/>
    <w:rsid w:val="27125636"/>
    <w:rsid w:val="271C3D25"/>
    <w:rsid w:val="275E6FCF"/>
    <w:rsid w:val="27742160"/>
    <w:rsid w:val="2785060A"/>
    <w:rsid w:val="27BA2012"/>
    <w:rsid w:val="27C6285A"/>
    <w:rsid w:val="27DB2526"/>
    <w:rsid w:val="27E82D66"/>
    <w:rsid w:val="27F12220"/>
    <w:rsid w:val="27F16D61"/>
    <w:rsid w:val="28065E15"/>
    <w:rsid w:val="28122A8D"/>
    <w:rsid w:val="28513DC6"/>
    <w:rsid w:val="28523C1D"/>
    <w:rsid w:val="285A0ABD"/>
    <w:rsid w:val="28794419"/>
    <w:rsid w:val="28796413"/>
    <w:rsid w:val="288441BA"/>
    <w:rsid w:val="28B760F3"/>
    <w:rsid w:val="28D656E2"/>
    <w:rsid w:val="28DD4E1C"/>
    <w:rsid w:val="29463E4B"/>
    <w:rsid w:val="29487D1D"/>
    <w:rsid w:val="294D68B7"/>
    <w:rsid w:val="295428EE"/>
    <w:rsid w:val="295B3FFF"/>
    <w:rsid w:val="298C3042"/>
    <w:rsid w:val="299747C4"/>
    <w:rsid w:val="29A959AF"/>
    <w:rsid w:val="29E67129"/>
    <w:rsid w:val="2A082D74"/>
    <w:rsid w:val="2A196CD9"/>
    <w:rsid w:val="2A263ABD"/>
    <w:rsid w:val="2AD4742B"/>
    <w:rsid w:val="2AE346D8"/>
    <w:rsid w:val="2AEF5182"/>
    <w:rsid w:val="2AF6572A"/>
    <w:rsid w:val="2B603393"/>
    <w:rsid w:val="2B73083B"/>
    <w:rsid w:val="2B93348A"/>
    <w:rsid w:val="2BB6671A"/>
    <w:rsid w:val="2BBD5DE9"/>
    <w:rsid w:val="2BD8749B"/>
    <w:rsid w:val="2BD97516"/>
    <w:rsid w:val="2BF16C7A"/>
    <w:rsid w:val="2C0B33AF"/>
    <w:rsid w:val="2C1368CA"/>
    <w:rsid w:val="2C19608E"/>
    <w:rsid w:val="2C211B9C"/>
    <w:rsid w:val="2C3A44CA"/>
    <w:rsid w:val="2C5E45CF"/>
    <w:rsid w:val="2C6529BA"/>
    <w:rsid w:val="2C8A11A1"/>
    <w:rsid w:val="2C8B5DF7"/>
    <w:rsid w:val="2C9E1753"/>
    <w:rsid w:val="2CBA3B5A"/>
    <w:rsid w:val="2CE0491F"/>
    <w:rsid w:val="2CE33348"/>
    <w:rsid w:val="2CF40B7E"/>
    <w:rsid w:val="2CFC42B8"/>
    <w:rsid w:val="2D036327"/>
    <w:rsid w:val="2D052F85"/>
    <w:rsid w:val="2D2004BC"/>
    <w:rsid w:val="2D283ACC"/>
    <w:rsid w:val="2D676CCE"/>
    <w:rsid w:val="2D6B70B9"/>
    <w:rsid w:val="2D890863"/>
    <w:rsid w:val="2DA149ED"/>
    <w:rsid w:val="2DA41449"/>
    <w:rsid w:val="2DBA5B53"/>
    <w:rsid w:val="2DC247A1"/>
    <w:rsid w:val="2DC91A21"/>
    <w:rsid w:val="2DD666D6"/>
    <w:rsid w:val="2E0D54DF"/>
    <w:rsid w:val="2E183848"/>
    <w:rsid w:val="2E2910DF"/>
    <w:rsid w:val="2E2C68AA"/>
    <w:rsid w:val="2E4A3B02"/>
    <w:rsid w:val="2E4B706F"/>
    <w:rsid w:val="2E7C1536"/>
    <w:rsid w:val="2E85006B"/>
    <w:rsid w:val="2E9D0857"/>
    <w:rsid w:val="2ED62F64"/>
    <w:rsid w:val="2EE942D0"/>
    <w:rsid w:val="2EEF5B93"/>
    <w:rsid w:val="2EFA20E6"/>
    <w:rsid w:val="2F0D5115"/>
    <w:rsid w:val="2F20357F"/>
    <w:rsid w:val="2F4E2268"/>
    <w:rsid w:val="2F6E4854"/>
    <w:rsid w:val="2F7F0EE3"/>
    <w:rsid w:val="2F9402D7"/>
    <w:rsid w:val="2FB15223"/>
    <w:rsid w:val="2FB3650E"/>
    <w:rsid w:val="2FB440F1"/>
    <w:rsid w:val="2FDA5D66"/>
    <w:rsid w:val="2FFB2BB8"/>
    <w:rsid w:val="300C2393"/>
    <w:rsid w:val="30101452"/>
    <w:rsid w:val="301514A9"/>
    <w:rsid w:val="30243F9E"/>
    <w:rsid w:val="30374B88"/>
    <w:rsid w:val="3069282B"/>
    <w:rsid w:val="30932F7B"/>
    <w:rsid w:val="30AC20A6"/>
    <w:rsid w:val="30B90C35"/>
    <w:rsid w:val="312505FE"/>
    <w:rsid w:val="31527D7A"/>
    <w:rsid w:val="315C7C9B"/>
    <w:rsid w:val="31701E06"/>
    <w:rsid w:val="318001A6"/>
    <w:rsid w:val="31B97E85"/>
    <w:rsid w:val="31CD1B0B"/>
    <w:rsid w:val="31F4038A"/>
    <w:rsid w:val="31FE23F8"/>
    <w:rsid w:val="320C2ACC"/>
    <w:rsid w:val="322043D8"/>
    <w:rsid w:val="324E5B81"/>
    <w:rsid w:val="32733DFA"/>
    <w:rsid w:val="32890E1C"/>
    <w:rsid w:val="32920970"/>
    <w:rsid w:val="32DD0787"/>
    <w:rsid w:val="3318728A"/>
    <w:rsid w:val="332C3FE9"/>
    <w:rsid w:val="33364362"/>
    <w:rsid w:val="3336497B"/>
    <w:rsid w:val="33415411"/>
    <w:rsid w:val="33632063"/>
    <w:rsid w:val="336B4419"/>
    <w:rsid w:val="33BC3362"/>
    <w:rsid w:val="33E45E9F"/>
    <w:rsid w:val="34251594"/>
    <w:rsid w:val="34426482"/>
    <w:rsid w:val="34427B28"/>
    <w:rsid w:val="344B2AE4"/>
    <w:rsid w:val="346A7380"/>
    <w:rsid w:val="3476341E"/>
    <w:rsid w:val="348764FB"/>
    <w:rsid w:val="34B83ED8"/>
    <w:rsid w:val="34C704E1"/>
    <w:rsid w:val="34F00F5A"/>
    <w:rsid w:val="34FA794B"/>
    <w:rsid w:val="357A10FC"/>
    <w:rsid w:val="3599712B"/>
    <w:rsid w:val="359F49F2"/>
    <w:rsid w:val="35C3776F"/>
    <w:rsid w:val="35E139A0"/>
    <w:rsid w:val="36236503"/>
    <w:rsid w:val="364C3D9C"/>
    <w:rsid w:val="367E547F"/>
    <w:rsid w:val="36A27FFE"/>
    <w:rsid w:val="36C97DA3"/>
    <w:rsid w:val="36CC16EC"/>
    <w:rsid w:val="36DD650C"/>
    <w:rsid w:val="36EA1673"/>
    <w:rsid w:val="36EB7C59"/>
    <w:rsid w:val="36F5239F"/>
    <w:rsid w:val="372C0153"/>
    <w:rsid w:val="372E0E3E"/>
    <w:rsid w:val="3745124D"/>
    <w:rsid w:val="374F3933"/>
    <w:rsid w:val="375D5EF1"/>
    <w:rsid w:val="37793FE2"/>
    <w:rsid w:val="37881185"/>
    <w:rsid w:val="37A868B6"/>
    <w:rsid w:val="37B936F7"/>
    <w:rsid w:val="37E45373"/>
    <w:rsid w:val="37F32140"/>
    <w:rsid w:val="386B5976"/>
    <w:rsid w:val="3872303F"/>
    <w:rsid w:val="38A87681"/>
    <w:rsid w:val="391D26C1"/>
    <w:rsid w:val="39304FF8"/>
    <w:rsid w:val="394752B2"/>
    <w:rsid w:val="395505A7"/>
    <w:rsid w:val="39A42E57"/>
    <w:rsid w:val="39EB4543"/>
    <w:rsid w:val="3A2965D5"/>
    <w:rsid w:val="3A561B88"/>
    <w:rsid w:val="3A5B3B49"/>
    <w:rsid w:val="3A690EA3"/>
    <w:rsid w:val="3A7E7537"/>
    <w:rsid w:val="3A807333"/>
    <w:rsid w:val="3A8E5692"/>
    <w:rsid w:val="3A8E5727"/>
    <w:rsid w:val="3AA70E93"/>
    <w:rsid w:val="3AAE245C"/>
    <w:rsid w:val="3AC52B44"/>
    <w:rsid w:val="3AD234C1"/>
    <w:rsid w:val="3B035E55"/>
    <w:rsid w:val="3B0D3F6B"/>
    <w:rsid w:val="3B1D4E5A"/>
    <w:rsid w:val="3B6E5ACB"/>
    <w:rsid w:val="3B84231C"/>
    <w:rsid w:val="3B850F62"/>
    <w:rsid w:val="3B8C6A17"/>
    <w:rsid w:val="3BDC2E2B"/>
    <w:rsid w:val="3BE221D0"/>
    <w:rsid w:val="3C1C7E11"/>
    <w:rsid w:val="3C2A059A"/>
    <w:rsid w:val="3C3960FA"/>
    <w:rsid w:val="3C517F38"/>
    <w:rsid w:val="3C565165"/>
    <w:rsid w:val="3C761B3C"/>
    <w:rsid w:val="3CA55937"/>
    <w:rsid w:val="3CB55CBA"/>
    <w:rsid w:val="3CDB4E8E"/>
    <w:rsid w:val="3CF552FA"/>
    <w:rsid w:val="3CF95B9A"/>
    <w:rsid w:val="3D0267C6"/>
    <w:rsid w:val="3D1033D4"/>
    <w:rsid w:val="3D166380"/>
    <w:rsid w:val="3D741774"/>
    <w:rsid w:val="3D743F09"/>
    <w:rsid w:val="3D9C51A0"/>
    <w:rsid w:val="3DA45C2C"/>
    <w:rsid w:val="3DA96135"/>
    <w:rsid w:val="3DE0429A"/>
    <w:rsid w:val="3E194DDB"/>
    <w:rsid w:val="3E247278"/>
    <w:rsid w:val="3E290F65"/>
    <w:rsid w:val="3E2E6966"/>
    <w:rsid w:val="3E3D0053"/>
    <w:rsid w:val="3E5F1C18"/>
    <w:rsid w:val="3E7119D7"/>
    <w:rsid w:val="3E753BD0"/>
    <w:rsid w:val="3E8546F1"/>
    <w:rsid w:val="3E8B196C"/>
    <w:rsid w:val="3E8E2114"/>
    <w:rsid w:val="3ED7478D"/>
    <w:rsid w:val="3EE463CB"/>
    <w:rsid w:val="3EEC20F1"/>
    <w:rsid w:val="3F0F4EB1"/>
    <w:rsid w:val="3F272088"/>
    <w:rsid w:val="3F4208D6"/>
    <w:rsid w:val="3F5357ED"/>
    <w:rsid w:val="3F7128C6"/>
    <w:rsid w:val="3F775E9D"/>
    <w:rsid w:val="3F84023B"/>
    <w:rsid w:val="3F8C3081"/>
    <w:rsid w:val="3FB470EA"/>
    <w:rsid w:val="3FB77A7F"/>
    <w:rsid w:val="3FBB1A87"/>
    <w:rsid w:val="3FCB3B2B"/>
    <w:rsid w:val="3FD22E97"/>
    <w:rsid w:val="3FEA1B7B"/>
    <w:rsid w:val="3FEB6DF8"/>
    <w:rsid w:val="3FF43AA8"/>
    <w:rsid w:val="40317CB5"/>
    <w:rsid w:val="405265D6"/>
    <w:rsid w:val="406C308A"/>
    <w:rsid w:val="40A15AC6"/>
    <w:rsid w:val="40B55DFA"/>
    <w:rsid w:val="40CD42E7"/>
    <w:rsid w:val="41224F61"/>
    <w:rsid w:val="412B0309"/>
    <w:rsid w:val="41850A20"/>
    <w:rsid w:val="41852F20"/>
    <w:rsid w:val="41A92C49"/>
    <w:rsid w:val="41A92F49"/>
    <w:rsid w:val="41B4737C"/>
    <w:rsid w:val="41B53232"/>
    <w:rsid w:val="41B71328"/>
    <w:rsid w:val="41D01F52"/>
    <w:rsid w:val="41F43603"/>
    <w:rsid w:val="41F439B3"/>
    <w:rsid w:val="42254C30"/>
    <w:rsid w:val="42285C48"/>
    <w:rsid w:val="425878A7"/>
    <w:rsid w:val="42755629"/>
    <w:rsid w:val="42756EA0"/>
    <w:rsid w:val="42792C75"/>
    <w:rsid w:val="427933A0"/>
    <w:rsid w:val="42796B47"/>
    <w:rsid w:val="42897F3F"/>
    <w:rsid w:val="42A30D8B"/>
    <w:rsid w:val="42D51465"/>
    <w:rsid w:val="42FD2E80"/>
    <w:rsid w:val="431F715C"/>
    <w:rsid w:val="4321382B"/>
    <w:rsid w:val="43313964"/>
    <w:rsid w:val="4342261B"/>
    <w:rsid w:val="43565FD9"/>
    <w:rsid w:val="4362173C"/>
    <w:rsid w:val="43682173"/>
    <w:rsid w:val="436B0E9B"/>
    <w:rsid w:val="4384592A"/>
    <w:rsid w:val="43B70D09"/>
    <w:rsid w:val="43B934B8"/>
    <w:rsid w:val="43C515E6"/>
    <w:rsid w:val="43F76FB5"/>
    <w:rsid w:val="44176DCD"/>
    <w:rsid w:val="4429327D"/>
    <w:rsid w:val="444C3B5C"/>
    <w:rsid w:val="445A36C0"/>
    <w:rsid w:val="44690E5F"/>
    <w:rsid w:val="446D1375"/>
    <w:rsid w:val="447D168F"/>
    <w:rsid w:val="4492056C"/>
    <w:rsid w:val="44A34CC6"/>
    <w:rsid w:val="44A85BA4"/>
    <w:rsid w:val="44BF6F4D"/>
    <w:rsid w:val="44C12CAE"/>
    <w:rsid w:val="44C96055"/>
    <w:rsid w:val="44D05E9C"/>
    <w:rsid w:val="45145E72"/>
    <w:rsid w:val="451710EE"/>
    <w:rsid w:val="451E226A"/>
    <w:rsid w:val="45216A7A"/>
    <w:rsid w:val="452F4D5A"/>
    <w:rsid w:val="45384575"/>
    <w:rsid w:val="45487810"/>
    <w:rsid w:val="456616BB"/>
    <w:rsid w:val="45663416"/>
    <w:rsid w:val="45A96C71"/>
    <w:rsid w:val="45CC6C13"/>
    <w:rsid w:val="45E35335"/>
    <w:rsid w:val="46104D8F"/>
    <w:rsid w:val="462722FE"/>
    <w:rsid w:val="46382CEB"/>
    <w:rsid w:val="465458CA"/>
    <w:rsid w:val="46B80685"/>
    <w:rsid w:val="46E6581C"/>
    <w:rsid w:val="46EA6B8F"/>
    <w:rsid w:val="46F92494"/>
    <w:rsid w:val="46FA029E"/>
    <w:rsid w:val="47222EF9"/>
    <w:rsid w:val="472964B7"/>
    <w:rsid w:val="47304814"/>
    <w:rsid w:val="474D42AB"/>
    <w:rsid w:val="474F6607"/>
    <w:rsid w:val="47515A00"/>
    <w:rsid w:val="476E1AE1"/>
    <w:rsid w:val="476F3929"/>
    <w:rsid w:val="478C770C"/>
    <w:rsid w:val="47BE2A0F"/>
    <w:rsid w:val="47C14638"/>
    <w:rsid w:val="47C260DD"/>
    <w:rsid w:val="47D57D0D"/>
    <w:rsid w:val="47DE0C80"/>
    <w:rsid w:val="47F521AF"/>
    <w:rsid w:val="48085FC3"/>
    <w:rsid w:val="481C236E"/>
    <w:rsid w:val="483D5975"/>
    <w:rsid w:val="486D4ABC"/>
    <w:rsid w:val="48791CCF"/>
    <w:rsid w:val="487F0047"/>
    <w:rsid w:val="489447F0"/>
    <w:rsid w:val="48A3133A"/>
    <w:rsid w:val="48D34699"/>
    <w:rsid w:val="48F76FDA"/>
    <w:rsid w:val="49033D11"/>
    <w:rsid w:val="490655C4"/>
    <w:rsid w:val="490C35B2"/>
    <w:rsid w:val="491C7D32"/>
    <w:rsid w:val="49545108"/>
    <w:rsid w:val="49790228"/>
    <w:rsid w:val="49B46F40"/>
    <w:rsid w:val="49B552C3"/>
    <w:rsid w:val="49D07AB5"/>
    <w:rsid w:val="49D55BA5"/>
    <w:rsid w:val="49F02377"/>
    <w:rsid w:val="49FD2FF2"/>
    <w:rsid w:val="4A214107"/>
    <w:rsid w:val="4A2F1901"/>
    <w:rsid w:val="4A351FBC"/>
    <w:rsid w:val="4A577EC8"/>
    <w:rsid w:val="4A5D6DF8"/>
    <w:rsid w:val="4A815021"/>
    <w:rsid w:val="4A9D749F"/>
    <w:rsid w:val="4AA07216"/>
    <w:rsid w:val="4AA4635C"/>
    <w:rsid w:val="4AA511EF"/>
    <w:rsid w:val="4AAC3424"/>
    <w:rsid w:val="4AB16F7F"/>
    <w:rsid w:val="4AD9106D"/>
    <w:rsid w:val="4B010DD3"/>
    <w:rsid w:val="4B390991"/>
    <w:rsid w:val="4B52538A"/>
    <w:rsid w:val="4B693607"/>
    <w:rsid w:val="4B7D1A25"/>
    <w:rsid w:val="4B842B9B"/>
    <w:rsid w:val="4BC33190"/>
    <w:rsid w:val="4BDE3697"/>
    <w:rsid w:val="4C00551E"/>
    <w:rsid w:val="4C4D6AF2"/>
    <w:rsid w:val="4C7B4B4D"/>
    <w:rsid w:val="4C8D6055"/>
    <w:rsid w:val="4C993E75"/>
    <w:rsid w:val="4C9E4EF9"/>
    <w:rsid w:val="4CB638D4"/>
    <w:rsid w:val="4CBB574A"/>
    <w:rsid w:val="4CF857FF"/>
    <w:rsid w:val="4D0D3CD5"/>
    <w:rsid w:val="4D23696D"/>
    <w:rsid w:val="4D3E3A2B"/>
    <w:rsid w:val="4D771A90"/>
    <w:rsid w:val="4D8350C9"/>
    <w:rsid w:val="4D84216A"/>
    <w:rsid w:val="4DBA6A49"/>
    <w:rsid w:val="4DCC1498"/>
    <w:rsid w:val="4DD4766E"/>
    <w:rsid w:val="4DE9259C"/>
    <w:rsid w:val="4E07077D"/>
    <w:rsid w:val="4E4B2ACD"/>
    <w:rsid w:val="4E6F6457"/>
    <w:rsid w:val="4E797E01"/>
    <w:rsid w:val="4E7E48F8"/>
    <w:rsid w:val="4E8D215A"/>
    <w:rsid w:val="4E9D7946"/>
    <w:rsid w:val="4ED278E9"/>
    <w:rsid w:val="4EEE60C1"/>
    <w:rsid w:val="4EF85921"/>
    <w:rsid w:val="4F1D5022"/>
    <w:rsid w:val="4F24712E"/>
    <w:rsid w:val="4F36334F"/>
    <w:rsid w:val="4F5C7888"/>
    <w:rsid w:val="4F81149C"/>
    <w:rsid w:val="4F95624C"/>
    <w:rsid w:val="4F997FE6"/>
    <w:rsid w:val="4F9B06AE"/>
    <w:rsid w:val="4FA5005A"/>
    <w:rsid w:val="4FDB161E"/>
    <w:rsid w:val="4FE07D2E"/>
    <w:rsid w:val="4FF31F4B"/>
    <w:rsid w:val="500C31EE"/>
    <w:rsid w:val="50356AFC"/>
    <w:rsid w:val="504117FA"/>
    <w:rsid w:val="50A83261"/>
    <w:rsid w:val="50C43251"/>
    <w:rsid w:val="511000CD"/>
    <w:rsid w:val="513316B3"/>
    <w:rsid w:val="513F726E"/>
    <w:rsid w:val="514C154D"/>
    <w:rsid w:val="514E089E"/>
    <w:rsid w:val="51A6727E"/>
    <w:rsid w:val="524D0223"/>
    <w:rsid w:val="52976969"/>
    <w:rsid w:val="52B759E4"/>
    <w:rsid w:val="52B85CB4"/>
    <w:rsid w:val="52EE592C"/>
    <w:rsid w:val="52F52204"/>
    <w:rsid w:val="530E5110"/>
    <w:rsid w:val="531A1B64"/>
    <w:rsid w:val="5324415F"/>
    <w:rsid w:val="53580974"/>
    <w:rsid w:val="537E5FAD"/>
    <w:rsid w:val="53B1037F"/>
    <w:rsid w:val="53DC61CE"/>
    <w:rsid w:val="53E876CA"/>
    <w:rsid w:val="53FC1418"/>
    <w:rsid w:val="544D398C"/>
    <w:rsid w:val="5461183B"/>
    <w:rsid w:val="54BB5D99"/>
    <w:rsid w:val="54D672AB"/>
    <w:rsid w:val="54DF3AC3"/>
    <w:rsid w:val="54DF7ED5"/>
    <w:rsid w:val="54F95D33"/>
    <w:rsid w:val="55302E2A"/>
    <w:rsid w:val="5531680E"/>
    <w:rsid w:val="5548356A"/>
    <w:rsid w:val="55AE135E"/>
    <w:rsid w:val="560C259A"/>
    <w:rsid w:val="563459CA"/>
    <w:rsid w:val="563E2728"/>
    <w:rsid w:val="56431653"/>
    <w:rsid w:val="568D27FE"/>
    <w:rsid w:val="56AF21D3"/>
    <w:rsid w:val="56C56D0A"/>
    <w:rsid w:val="571879DB"/>
    <w:rsid w:val="572D5153"/>
    <w:rsid w:val="575477D7"/>
    <w:rsid w:val="57555D67"/>
    <w:rsid w:val="57F62B17"/>
    <w:rsid w:val="58073571"/>
    <w:rsid w:val="58267916"/>
    <w:rsid w:val="583D36AC"/>
    <w:rsid w:val="5844413D"/>
    <w:rsid w:val="5857035C"/>
    <w:rsid w:val="58976765"/>
    <w:rsid w:val="58C039C4"/>
    <w:rsid w:val="58CA1124"/>
    <w:rsid w:val="58E62F2E"/>
    <w:rsid w:val="58E90AC3"/>
    <w:rsid w:val="59075EA1"/>
    <w:rsid w:val="59242857"/>
    <w:rsid w:val="59281B89"/>
    <w:rsid w:val="592C3FB3"/>
    <w:rsid w:val="597C6B78"/>
    <w:rsid w:val="59D20E0D"/>
    <w:rsid w:val="5AAE26C1"/>
    <w:rsid w:val="5AD069FC"/>
    <w:rsid w:val="5ADB6694"/>
    <w:rsid w:val="5AE50A7C"/>
    <w:rsid w:val="5B0B26E5"/>
    <w:rsid w:val="5B0E4270"/>
    <w:rsid w:val="5B2857CC"/>
    <w:rsid w:val="5B4A3208"/>
    <w:rsid w:val="5B4C1E99"/>
    <w:rsid w:val="5B605FE2"/>
    <w:rsid w:val="5B670AD3"/>
    <w:rsid w:val="5B74019D"/>
    <w:rsid w:val="5B7B55DB"/>
    <w:rsid w:val="5B84435F"/>
    <w:rsid w:val="5B8E3FBB"/>
    <w:rsid w:val="5B9D1C16"/>
    <w:rsid w:val="5BA94346"/>
    <w:rsid w:val="5BEB65E9"/>
    <w:rsid w:val="5C236EE4"/>
    <w:rsid w:val="5C46211D"/>
    <w:rsid w:val="5C511C1B"/>
    <w:rsid w:val="5C6A1F19"/>
    <w:rsid w:val="5C9153B2"/>
    <w:rsid w:val="5C971783"/>
    <w:rsid w:val="5CFA3B9A"/>
    <w:rsid w:val="5D176D53"/>
    <w:rsid w:val="5D1D6E55"/>
    <w:rsid w:val="5D242327"/>
    <w:rsid w:val="5D311F06"/>
    <w:rsid w:val="5D4A35CC"/>
    <w:rsid w:val="5D885378"/>
    <w:rsid w:val="5D8C3A7B"/>
    <w:rsid w:val="5DA52E3A"/>
    <w:rsid w:val="5DB713C8"/>
    <w:rsid w:val="5DBD49AF"/>
    <w:rsid w:val="5DC6378A"/>
    <w:rsid w:val="5DD6569A"/>
    <w:rsid w:val="5E334E57"/>
    <w:rsid w:val="5E381322"/>
    <w:rsid w:val="5E5113D5"/>
    <w:rsid w:val="5E523FA5"/>
    <w:rsid w:val="5E6438C4"/>
    <w:rsid w:val="5E663AFC"/>
    <w:rsid w:val="5E776849"/>
    <w:rsid w:val="5EE05E76"/>
    <w:rsid w:val="5EEA352C"/>
    <w:rsid w:val="5F1B03D4"/>
    <w:rsid w:val="5F2E72A2"/>
    <w:rsid w:val="5F32287D"/>
    <w:rsid w:val="5FA763F2"/>
    <w:rsid w:val="5FAD766F"/>
    <w:rsid w:val="5FB12631"/>
    <w:rsid w:val="5FFB2512"/>
    <w:rsid w:val="601462F4"/>
    <w:rsid w:val="601F135F"/>
    <w:rsid w:val="602A6332"/>
    <w:rsid w:val="60375EAA"/>
    <w:rsid w:val="60846B86"/>
    <w:rsid w:val="60C52E5B"/>
    <w:rsid w:val="60D444DE"/>
    <w:rsid w:val="60ED3465"/>
    <w:rsid w:val="611A3E1C"/>
    <w:rsid w:val="612E5CCE"/>
    <w:rsid w:val="61425B24"/>
    <w:rsid w:val="61460B2D"/>
    <w:rsid w:val="615772FE"/>
    <w:rsid w:val="61610933"/>
    <w:rsid w:val="61E203EC"/>
    <w:rsid w:val="61EB2EB6"/>
    <w:rsid w:val="622821E2"/>
    <w:rsid w:val="623B7712"/>
    <w:rsid w:val="623D499E"/>
    <w:rsid w:val="62423482"/>
    <w:rsid w:val="62594C1A"/>
    <w:rsid w:val="62654C67"/>
    <w:rsid w:val="62FE1BF2"/>
    <w:rsid w:val="630D373B"/>
    <w:rsid w:val="631C4D28"/>
    <w:rsid w:val="6348591C"/>
    <w:rsid w:val="63542402"/>
    <w:rsid w:val="635D2AFB"/>
    <w:rsid w:val="63764C00"/>
    <w:rsid w:val="63CB6F83"/>
    <w:rsid w:val="640C614B"/>
    <w:rsid w:val="64176AB6"/>
    <w:rsid w:val="64262E15"/>
    <w:rsid w:val="643C7C5E"/>
    <w:rsid w:val="64550D96"/>
    <w:rsid w:val="645E0763"/>
    <w:rsid w:val="648C2DA1"/>
    <w:rsid w:val="649235C2"/>
    <w:rsid w:val="64950DBC"/>
    <w:rsid w:val="649705F0"/>
    <w:rsid w:val="64A54A33"/>
    <w:rsid w:val="64B34F0C"/>
    <w:rsid w:val="65253F16"/>
    <w:rsid w:val="652D4525"/>
    <w:rsid w:val="652D6A7E"/>
    <w:rsid w:val="654462B1"/>
    <w:rsid w:val="6548419D"/>
    <w:rsid w:val="65505824"/>
    <w:rsid w:val="65507F4B"/>
    <w:rsid w:val="6552047C"/>
    <w:rsid w:val="656946A6"/>
    <w:rsid w:val="65767DD7"/>
    <w:rsid w:val="657A4565"/>
    <w:rsid w:val="65A22983"/>
    <w:rsid w:val="65A91732"/>
    <w:rsid w:val="65AB48ED"/>
    <w:rsid w:val="65B95D52"/>
    <w:rsid w:val="65C94279"/>
    <w:rsid w:val="65D72986"/>
    <w:rsid w:val="66092109"/>
    <w:rsid w:val="663B6356"/>
    <w:rsid w:val="663E1D30"/>
    <w:rsid w:val="66691BE3"/>
    <w:rsid w:val="6683264F"/>
    <w:rsid w:val="66AB48A9"/>
    <w:rsid w:val="66B32F7E"/>
    <w:rsid w:val="66B86BBC"/>
    <w:rsid w:val="66BC1410"/>
    <w:rsid w:val="66D36DCE"/>
    <w:rsid w:val="66EE133B"/>
    <w:rsid w:val="670A2F79"/>
    <w:rsid w:val="671017FE"/>
    <w:rsid w:val="672E2A84"/>
    <w:rsid w:val="673540E8"/>
    <w:rsid w:val="67363E94"/>
    <w:rsid w:val="67447723"/>
    <w:rsid w:val="67554504"/>
    <w:rsid w:val="675E472A"/>
    <w:rsid w:val="67732CF8"/>
    <w:rsid w:val="677A59B4"/>
    <w:rsid w:val="67800200"/>
    <w:rsid w:val="67FC2DF5"/>
    <w:rsid w:val="68045175"/>
    <w:rsid w:val="680511FF"/>
    <w:rsid w:val="6815598E"/>
    <w:rsid w:val="681E28A1"/>
    <w:rsid w:val="68222762"/>
    <w:rsid w:val="68357164"/>
    <w:rsid w:val="684E4705"/>
    <w:rsid w:val="68584CE4"/>
    <w:rsid w:val="685A6396"/>
    <w:rsid w:val="686038DC"/>
    <w:rsid w:val="687915AE"/>
    <w:rsid w:val="68B8029F"/>
    <w:rsid w:val="68CB4025"/>
    <w:rsid w:val="68DD3D18"/>
    <w:rsid w:val="68ED61CA"/>
    <w:rsid w:val="69044915"/>
    <w:rsid w:val="69436C83"/>
    <w:rsid w:val="69A554D4"/>
    <w:rsid w:val="69CB2191"/>
    <w:rsid w:val="69D73DC4"/>
    <w:rsid w:val="6A1439F1"/>
    <w:rsid w:val="6A192F90"/>
    <w:rsid w:val="6A3E7A7B"/>
    <w:rsid w:val="6A4730C1"/>
    <w:rsid w:val="6A4737E3"/>
    <w:rsid w:val="6A5F25D4"/>
    <w:rsid w:val="6AA537C8"/>
    <w:rsid w:val="6AC030DB"/>
    <w:rsid w:val="6AD26B06"/>
    <w:rsid w:val="6AD35B46"/>
    <w:rsid w:val="6B182CBE"/>
    <w:rsid w:val="6B2A3B9E"/>
    <w:rsid w:val="6B387B87"/>
    <w:rsid w:val="6B7F392F"/>
    <w:rsid w:val="6B8C43E6"/>
    <w:rsid w:val="6BAD0BDB"/>
    <w:rsid w:val="6BB77451"/>
    <w:rsid w:val="6BFA6FE8"/>
    <w:rsid w:val="6C422057"/>
    <w:rsid w:val="6C4E7BC8"/>
    <w:rsid w:val="6C57475D"/>
    <w:rsid w:val="6C58001A"/>
    <w:rsid w:val="6C637EA1"/>
    <w:rsid w:val="6C676946"/>
    <w:rsid w:val="6C6B4930"/>
    <w:rsid w:val="6C7615E8"/>
    <w:rsid w:val="6D2E44BB"/>
    <w:rsid w:val="6D4A3449"/>
    <w:rsid w:val="6D553AC0"/>
    <w:rsid w:val="6D595B89"/>
    <w:rsid w:val="6D5A7DB2"/>
    <w:rsid w:val="6DBC4E32"/>
    <w:rsid w:val="6DD560F9"/>
    <w:rsid w:val="6DE746BE"/>
    <w:rsid w:val="6DE75F10"/>
    <w:rsid w:val="6E0A3B82"/>
    <w:rsid w:val="6E106182"/>
    <w:rsid w:val="6E312DB8"/>
    <w:rsid w:val="6E3E6876"/>
    <w:rsid w:val="6E4B6D4E"/>
    <w:rsid w:val="6E5A0F03"/>
    <w:rsid w:val="6E78601B"/>
    <w:rsid w:val="6E8A735A"/>
    <w:rsid w:val="6E8F644D"/>
    <w:rsid w:val="6EA74F19"/>
    <w:rsid w:val="6EB95FAB"/>
    <w:rsid w:val="6EEA4912"/>
    <w:rsid w:val="6F07575E"/>
    <w:rsid w:val="6F2E2C5B"/>
    <w:rsid w:val="6F3D4E3E"/>
    <w:rsid w:val="6F420CE9"/>
    <w:rsid w:val="6F45725B"/>
    <w:rsid w:val="6FBA6C4B"/>
    <w:rsid w:val="6FD316AD"/>
    <w:rsid w:val="6FD76E71"/>
    <w:rsid w:val="6FDF67DC"/>
    <w:rsid w:val="70031C1A"/>
    <w:rsid w:val="702F6B51"/>
    <w:rsid w:val="70B564AA"/>
    <w:rsid w:val="70CC1B1B"/>
    <w:rsid w:val="70F21DCB"/>
    <w:rsid w:val="71543FE3"/>
    <w:rsid w:val="71694EA1"/>
    <w:rsid w:val="716B4EDA"/>
    <w:rsid w:val="71A22810"/>
    <w:rsid w:val="71D4215B"/>
    <w:rsid w:val="71E61F3D"/>
    <w:rsid w:val="71E9242A"/>
    <w:rsid w:val="7236015B"/>
    <w:rsid w:val="725D36EE"/>
    <w:rsid w:val="72A3170D"/>
    <w:rsid w:val="72D0602C"/>
    <w:rsid w:val="72D61F94"/>
    <w:rsid w:val="731B2D26"/>
    <w:rsid w:val="73233963"/>
    <w:rsid w:val="732A7594"/>
    <w:rsid w:val="733F551F"/>
    <w:rsid w:val="736C7508"/>
    <w:rsid w:val="73891AE1"/>
    <w:rsid w:val="738D5B9F"/>
    <w:rsid w:val="73990365"/>
    <w:rsid w:val="739B6CAB"/>
    <w:rsid w:val="73D63021"/>
    <w:rsid w:val="73F2472B"/>
    <w:rsid w:val="741C7E62"/>
    <w:rsid w:val="74251A5F"/>
    <w:rsid w:val="74354E8D"/>
    <w:rsid w:val="743F53DB"/>
    <w:rsid w:val="744832C1"/>
    <w:rsid w:val="74501128"/>
    <w:rsid w:val="74687691"/>
    <w:rsid w:val="7474013D"/>
    <w:rsid w:val="748864BF"/>
    <w:rsid w:val="749B3A58"/>
    <w:rsid w:val="753C2BDE"/>
    <w:rsid w:val="7544698A"/>
    <w:rsid w:val="756D45DD"/>
    <w:rsid w:val="756D62AB"/>
    <w:rsid w:val="75781D96"/>
    <w:rsid w:val="758C6386"/>
    <w:rsid w:val="759F1610"/>
    <w:rsid w:val="759F218B"/>
    <w:rsid w:val="75AD2170"/>
    <w:rsid w:val="75B15860"/>
    <w:rsid w:val="75B32F66"/>
    <w:rsid w:val="75B36004"/>
    <w:rsid w:val="75B672CA"/>
    <w:rsid w:val="75B770F7"/>
    <w:rsid w:val="75B81061"/>
    <w:rsid w:val="75BD2214"/>
    <w:rsid w:val="75C26394"/>
    <w:rsid w:val="75F04049"/>
    <w:rsid w:val="75F332E6"/>
    <w:rsid w:val="75FA6CE1"/>
    <w:rsid w:val="76191B11"/>
    <w:rsid w:val="76201CC9"/>
    <w:rsid w:val="764938D1"/>
    <w:rsid w:val="765725BD"/>
    <w:rsid w:val="766D7DA6"/>
    <w:rsid w:val="7672659F"/>
    <w:rsid w:val="7689321A"/>
    <w:rsid w:val="768F2D41"/>
    <w:rsid w:val="76AD1384"/>
    <w:rsid w:val="76D14D47"/>
    <w:rsid w:val="76D30E2B"/>
    <w:rsid w:val="76DF1FBA"/>
    <w:rsid w:val="76E07315"/>
    <w:rsid w:val="76E36AA5"/>
    <w:rsid w:val="76E84661"/>
    <w:rsid w:val="77141738"/>
    <w:rsid w:val="7719040F"/>
    <w:rsid w:val="77574293"/>
    <w:rsid w:val="775A62C6"/>
    <w:rsid w:val="77697909"/>
    <w:rsid w:val="77BD6449"/>
    <w:rsid w:val="77D66A27"/>
    <w:rsid w:val="77ED32F7"/>
    <w:rsid w:val="78324AE4"/>
    <w:rsid w:val="783256B3"/>
    <w:rsid w:val="785B61D0"/>
    <w:rsid w:val="785E51CB"/>
    <w:rsid w:val="786F6644"/>
    <w:rsid w:val="78776AB6"/>
    <w:rsid w:val="788D46AF"/>
    <w:rsid w:val="78920BA8"/>
    <w:rsid w:val="78956515"/>
    <w:rsid w:val="78965970"/>
    <w:rsid w:val="790171F7"/>
    <w:rsid w:val="7911313A"/>
    <w:rsid w:val="79126A8E"/>
    <w:rsid w:val="794471DB"/>
    <w:rsid w:val="797853D4"/>
    <w:rsid w:val="7998060D"/>
    <w:rsid w:val="79A83569"/>
    <w:rsid w:val="79AA5AA7"/>
    <w:rsid w:val="79CF152F"/>
    <w:rsid w:val="79DE61BA"/>
    <w:rsid w:val="79FB57CB"/>
    <w:rsid w:val="7A370F2F"/>
    <w:rsid w:val="7A404863"/>
    <w:rsid w:val="7A95053D"/>
    <w:rsid w:val="7AA90754"/>
    <w:rsid w:val="7ABC153D"/>
    <w:rsid w:val="7AC86F28"/>
    <w:rsid w:val="7AD22448"/>
    <w:rsid w:val="7AD67958"/>
    <w:rsid w:val="7AF06406"/>
    <w:rsid w:val="7AFB7564"/>
    <w:rsid w:val="7B5800B1"/>
    <w:rsid w:val="7B694E4B"/>
    <w:rsid w:val="7B941FF9"/>
    <w:rsid w:val="7B970C66"/>
    <w:rsid w:val="7BDC6C28"/>
    <w:rsid w:val="7BEA7556"/>
    <w:rsid w:val="7C446F28"/>
    <w:rsid w:val="7C6B344F"/>
    <w:rsid w:val="7CC33DE6"/>
    <w:rsid w:val="7CE16493"/>
    <w:rsid w:val="7D2A7285"/>
    <w:rsid w:val="7D36628E"/>
    <w:rsid w:val="7D464D74"/>
    <w:rsid w:val="7DA817FD"/>
    <w:rsid w:val="7DB034E8"/>
    <w:rsid w:val="7DE06D2B"/>
    <w:rsid w:val="7DFA5D54"/>
    <w:rsid w:val="7E1629F0"/>
    <w:rsid w:val="7E375C63"/>
    <w:rsid w:val="7E492D9D"/>
    <w:rsid w:val="7E4F32C0"/>
    <w:rsid w:val="7E517EE0"/>
    <w:rsid w:val="7E92137A"/>
    <w:rsid w:val="7E9B4182"/>
    <w:rsid w:val="7EB079D8"/>
    <w:rsid w:val="7EC40059"/>
    <w:rsid w:val="7EFD600F"/>
    <w:rsid w:val="7F264103"/>
    <w:rsid w:val="7F4B330E"/>
    <w:rsid w:val="7F8B6E1C"/>
    <w:rsid w:val="7F9C2CAF"/>
    <w:rsid w:val="7F9D24C3"/>
    <w:rsid w:val="7FB4708B"/>
    <w:rsid w:val="7FC01ECA"/>
    <w:rsid w:val="7FC130F2"/>
    <w:rsid w:val="7FC3257F"/>
    <w:rsid w:val="7FD36C4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3"/>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semiHidden="0" w:name="heading 2" w:locked="1"/>
    <w:lsdException w:qFormat="1" w:uiPriority="0" w:semiHidden="0" w:name="heading 3" w:locked="1"/>
    <w:lsdException w:qFormat="1" w:uiPriority="0" w:semiHidden="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qFormat="1" w:uiPriority="99" w:name="annotation text"/>
    <w:lsdException w:qFormat="1" w:unhideWhenUsed="0" w:uiPriority="99"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640" w:firstLineChars="200"/>
      <w:jc w:val="both"/>
    </w:pPr>
    <w:rPr>
      <w:rFonts w:ascii="仿宋_GB2312" w:hAnsi="仿宋_GB2312" w:eastAsia="仿宋_GB2312" w:cs="Times New Roman"/>
      <w:kern w:val="2"/>
      <w:sz w:val="32"/>
      <w:szCs w:val="21"/>
      <w:lang w:val="en-US" w:eastAsia="zh-CN" w:bidi="ar-SA"/>
    </w:rPr>
  </w:style>
  <w:style w:type="paragraph" w:styleId="2">
    <w:name w:val="heading 1"/>
    <w:basedOn w:val="1"/>
    <w:next w:val="1"/>
    <w:qFormat/>
    <w:locked/>
    <w:uiPriority w:val="0"/>
    <w:pPr>
      <w:keepNext/>
      <w:keepLines/>
      <w:outlineLvl w:val="0"/>
    </w:pPr>
    <w:rPr>
      <w:rFonts w:eastAsia="黑体"/>
      <w:kern w:val="44"/>
    </w:rPr>
  </w:style>
  <w:style w:type="paragraph" w:styleId="3">
    <w:name w:val="heading 2"/>
    <w:basedOn w:val="1"/>
    <w:next w:val="1"/>
    <w:link w:val="21"/>
    <w:unhideWhenUsed/>
    <w:qFormat/>
    <w:locked/>
    <w:uiPriority w:val="0"/>
    <w:pPr>
      <w:keepNext/>
      <w:keepLines/>
      <w:outlineLvl w:val="1"/>
    </w:pPr>
    <w:rPr>
      <w:rFonts w:ascii="Arial" w:hAnsi="Arial" w:eastAsia="楷体_GB2312"/>
      <w:b/>
    </w:rPr>
  </w:style>
  <w:style w:type="paragraph" w:styleId="4">
    <w:name w:val="heading 3"/>
    <w:basedOn w:val="1"/>
    <w:next w:val="1"/>
    <w:link w:val="20"/>
    <w:unhideWhenUsed/>
    <w:qFormat/>
    <w:locked/>
    <w:uiPriority w:val="0"/>
    <w:pPr>
      <w:keepNext/>
      <w:keepLines/>
      <w:outlineLvl w:val="2"/>
    </w:pPr>
    <w:rPr>
      <w:b/>
    </w:rPr>
  </w:style>
  <w:style w:type="paragraph" w:styleId="5">
    <w:name w:val="heading 4"/>
    <w:basedOn w:val="1"/>
    <w:next w:val="1"/>
    <w:link w:val="25"/>
    <w:unhideWhenUsed/>
    <w:qFormat/>
    <w:locked/>
    <w:uiPriority w:val="0"/>
    <w:pPr>
      <w:keepNext/>
      <w:keepLines/>
      <w:outlineLvl w:val="3"/>
    </w:pPr>
  </w:style>
  <w:style w:type="character" w:default="1" w:styleId="15">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styleId="6">
    <w:name w:val="annotation text"/>
    <w:basedOn w:val="1"/>
    <w:semiHidden/>
    <w:unhideWhenUsed/>
    <w:qFormat/>
    <w:uiPriority w:val="99"/>
    <w:pPr>
      <w:jc w:val="left"/>
    </w:pPr>
  </w:style>
  <w:style w:type="paragraph" w:styleId="7">
    <w:name w:val="Body Text Indent"/>
    <w:basedOn w:val="1"/>
    <w:qFormat/>
    <w:uiPriority w:val="0"/>
    <w:pPr>
      <w:spacing w:line="480" w:lineRule="exact"/>
      <w:ind w:firstLine="420"/>
    </w:pPr>
    <w:rPr>
      <w:rFonts w:ascii="Times New Roman" w:hAnsi="Times New Roman" w:eastAsia="宋体"/>
      <w:sz w:val="24"/>
      <w:szCs w:val="20"/>
    </w:rPr>
  </w:style>
  <w:style w:type="paragraph" w:styleId="8">
    <w:name w:val="Balloon Text"/>
    <w:basedOn w:val="1"/>
    <w:link w:val="26"/>
    <w:semiHidden/>
    <w:unhideWhenUsed/>
    <w:qFormat/>
    <w:uiPriority w:val="99"/>
    <w:pPr>
      <w:spacing w:line="240" w:lineRule="auto"/>
    </w:pPr>
    <w:rPr>
      <w:sz w:val="18"/>
      <w:szCs w:val="18"/>
    </w:rPr>
  </w:style>
  <w:style w:type="paragraph" w:styleId="9">
    <w:name w:val="footer"/>
    <w:basedOn w:val="1"/>
    <w:link w:val="19"/>
    <w:qFormat/>
    <w:uiPriority w:val="99"/>
    <w:pPr>
      <w:tabs>
        <w:tab w:val="center" w:pos="4153"/>
        <w:tab w:val="right" w:pos="8306"/>
      </w:tabs>
      <w:snapToGrid w:val="0"/>
      <w:jc w:val="left"/>
    </w:pPr>
    <w:rPr>
      <w:rFonts w:ascii="Calibri" w:hAnsi="Calibri" w:cs="Calibri"/>
      <w:sz w:val="18"/>
      <w:szCs w:val="18"/>
    </w:rPr>
  </w:style>
  <w:style w:type="paragraph" w:styleId="10">
    <w:name w:val="header"/>
    <w:basedOn w:val="1"/>
    <w:link w:val="22"/>
    <w:semiHidden/>
    <w:qFormat/>
    <w:uiPriority w:val="99"/>
    <w:pPr>
      <w:pBdr>
        <w:bottom w:val="single" w:color="auto" w:sz="6" w:space="1"/>
      </w:pBdr>
      <w:tabs>
        <w:tab w:val="center" w:pos="4153"/>
        <w:tab w:val="right" w:pos="8306"/>
      </w:tabs>
      <w:snapToGrid w:val="0"/>
      <w:jc w:val="center"/>
    </w:pPr>
    <w:rPr>
      <w:rFonts w:ascii="Calibri" w:hAnsi="Calibri" w:cs="Calibri"/>
      <w:sz w:val="18"/>
      <w:szCs w:val="18"/>
    </w:rPr>
  </w:style>
  <w:style w:type="paragraph" w:styleId="11">
    <w:name w:val="Normal (Web)"/>
    <w:basedOn w:val="1"/>
    <w:qFormat/>
    <w:uiPriority w:val="0"/>
    <w:pPr>
      <w:spacing w:line="240" w:lineRule="auto"/>
      <w:ind w:firstLine="0" w:firstLineChars="0"/>
    </w:pPr>
    <w:rPr>
      <w:rFonts w:ascii="Calibri" w:hAnsi="Calibri" w:eastAsia="宋体"/>
      <w:sz w:val="24"/>
      <w:szCs w:val="24"/>
    </w:rPr>
  </w:style>
  <w:style w:type="paragraph" w:styleId="12">
    <w:name w:val="Title"/>
    <w:basedOn w:val="1"/>
    <w:next w:val="1"/>
    <w:link w:val="24"/>
    <w:qFormat/>
    <w:locked/>
    <w:uiPriority w:val="0"/>
    <w:pPr>
      <w:spacing w:before="240" w:after="60"/>
      <w:ind w:firstLine="883"/>
      <w:jc w:val="center"/>
      <w:outlineLvl w:val="0"/>
    </w:pPr>
    <w:rPr>
      <w:rFonts w:ascii="Cambria" w:hAnsi="Cambria"/>
      <w:b/>
      <w:bCs/>
      <w:szCs w:val="32"/>
    </w:rPr>
  </w:style>
  <w:style w:type="table" w:styleId="14">
    <w:name w:val="Table Grid"/>
    <w:basedOn w:val="13"/>
    <w:qFormat/>
    <w:locked/>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page number"/>
    <w:basedOn w:val="15"/>
    <w:qFormat/>
    <w:uiPriority w:val="99"/>
  </w:style>
  <w:style w:type="character" w:styleId="17">
    <w:name w:val="Hyperlink"/>
    <w:semiHidden/>
    <w:unhideWhenUsed/>
    <w:qFormat/>
    <w:uiPriority w:val="99"/>
    <w:rPr>
      <w:color w:val="0000FF"/>
      <w:u w:val="single"/>
    </w:rPr>
  </w:style>
  <w:style w:type="character" w:styleId="18">
    <w:name w:val="annotation reference"/>
    <w:semiHidden/>
    <w:unhideWhenUsed/>
    <w:qFormat/>
    <w:uiPriority w:val="99"/>
    <w:rPr>
      <w:sz w:val="21"/>
      <w:szCs w:val="21"/>
    </w:rPr>
  </w:style>
  <w:style w:type="character" w:customStyle="1" w:styleId="19">
    <w:name w:val="页脚 字符"/>
    <w:link w:val="9"/>
    <w:semiHidden/>
    <w:qFormat/>
    <w:locked/>
    <w:uiPriority w:val="99"/>
    <w:rPr>
      <w:sz w:val="18"/>
      <w:szCs w:val="18"/>
    </w:rPr>
  </w:style>
  <w:style w:type="character" w:customStyle="1" w:styleId="20">
    <w:name w:val="标题 3 字符"/>
    <w:link w:val="4"/>
    <w:qFormat/>
    <w:uiPriority w:val="0"/>
    <w:rPr>
      <w:rFonts w:ascii="仿宋_GB2312" w:hAnsi="仿宋_GB2312" w:eastAsia="仿宋_GB2312"/>
      <w:b/>
      <w:sz w:val="32"/>
    </w:rPr>
  </w:style>
  <w:style w:type="character" w:customStyle="1" w:styleId="21">
    <w:name w:val="标题 2 字符"/>
    <w:link w:val="3"/>
    <w:qFormat/>
    <w:uiPriority w:val="0"/>
    <w:rPr>
      <w:rFonts w:ascii="Arial" w:hAnsi="Arial" w:eastAsia="楷体_GB2312"/>
      <w:b/>
    </w:rPr>
  </w:style>
  <w:style w:type="character" w:customStyle="1" w:styleId="22">
    <w:name w:val="页眉 字符"/>
    <w:link w:val="10"/>
    <w:semiHidden/>
    <w:qFormat/>
    <w:locked/>
    <w:uiPriority w:val="99"/>
    <w:rPr>
      <w:sz w:val="18"/>
      <w:szCs w:val="18"/>
    </w:rPr>
  </w:style>
  <w:style w:type="paragraph" w:customStyle="1" w:styleId="23">
    <w:name w:val="列出段落1"/>
    <w:basedOn w:val="1"/>
    <w:unhideWhenUsed/>
    <w:qFormat/>
    <w:uiPriority w:val="99"/>
    <w:pPr>
      <w:ind w:firstLine="420"/>
    </w:pPr>
  </w:style>
  <w:style w:type="character" w:customStyle="1" w:styleId="24">
    <w:name w:val="标题 字符"/>
    <w:link w:val="12"/>
    <w:qFormat/>
    <w:uiPriority w:val="0"/>
    <w:rPr>
      <w:rFonts w:ascii="Cambria" w:hAnsi="Cambria" w:eastAsia="仿宋_GB2312"/>
      <w:b/>
      <w:bCs/>
      <w:kern w:val="2"/>
      <w:sz w:val="32"/>
      <w:szCs w:val="32"/>
    </w:rPr>
  </w:style>
  <w:style w:type="character" w:customStyle="1" w:styleId="25">
    <w:name w:val="标题 4 字符"/>
    <w:link w:val="5"/>
    <w:qFormat/>
    <w:uiPriority w:val="0"/>
  </w:style>
  <w:style w:type="character" w:customStyle="1" w:styleId="26">
    <w:name w:val="批注框文本 字符"/>
    <w:link w:val="8"/>
    <w:semiHidden/>
    <w:qFormat/>
    <w:uiPriority w:val="99"/>
    <w:rPr>
      <w:rFonts w:ascii="仿宋_GB2312" w:hAnsi="仿宋_GB2312"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Chinese ORG</Company>
  <Pages>22</Pages>
  <Words>1326</Words>
  <Characters>7564</Characters>
  <Lines>63</Lines>
  <Paragraphs>17</Paragraphs>
  <TotalTime>262</TotalTime>
  <ScaleCrop>false</ScaleCrop>
  <LinksUpToDate>false</LinksUpToDate>
  <CharactersWithSpaces>8873</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2017-05-02T06:47:00Z</dcterms:created>
  <dc:creator>沈洋</dc:creator>
  <cp:lastModifiedBy>阿营</cp:lastModifiedBy>
  <cp:lastPrinted>2019-05-16T10:28:00Z</cp:lastPrinted>
  <dcterms:modified xsi:type="dcterms:W3CDTF">2023-12-26T01:33:43Z</dcterms:modified>
  <cp:revision>584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6C18E19969BB4E0C969B00BF5E71C7C2_12</vt:lpwstr>
  </property>
</Properties>
</file>