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80"/>
        <w:rPr>
          <w:rFonts w:ascii="黑体" w:hAnsi="微软雅黑" w:eastAsia="黑体"/>
          <w:color w:val="auto"/>
          <w:sz w:val="32"/>
          <w:szCs w:val="32"/>
        </w:rPr>
      </w:pPr>
      <w:r>
        <w:rPr>
          <w:rFonts w:hint="eastAsia" w:ascii="黑体" w:hAnsi="微软雅黑" w:eastAsia="黑体"/>
          <w:color w:val="auto"/>
          <w:sz w:val="32"/>
          <w:szCs w:val="32"/>
        </w:rPr>
        <w:t>附件3：土地信息核查意见的复函</w:t>
      </w:r>
      <w:bookmarkStart w:id="0" w:name="_GoBack"/>
      <w:bookmarkEnd w:id="0"/>
    </w:p>
    <w:p>
      <w:pPr>
        <w:ind w:left="239" w:hanging="239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关于</w:t>
      </w:r>
      <w:r>
        <w:rPr>
          <w:rFonts w:hint="eastAsia" w:ascii="宋体" w:hAnsi="宋体"/>
          <w:b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宋体" w:hAnsi="宋体"/>
          <w:b/>
          <w:color w:val="auto"/>
          <w:sz w:val="44"/>
          <w:szCs w:val="44"/>
        </w:rPr>
        <w:t>城市更新单元土地信息核查</w:t>
      </w:r>
    </w:p>
    <w:p>
      <w:pPr>
        <w:ind w:left="239" w:hanging="239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意见的复函</w:t>
      </w:r>
    </w:p>
    <w:p>
      <w:pPr>
        <w:widowControl/>
        <w:snapToGrid w:val="0"/>
        <w:spacing w:line="360" w:lineRule="auto"/>
        <w:ind w:firstLine="560"/>
        <w:rPr>
          <w:rFonts w:ascii="仿宋_GB2312" w:eastAsia="仿宋_GB2312"/>
          <w:color w:val="auto"/>
          <w:sz w:val="30"/>
          <w:szCs w:val="30"/>
        </w:rPr>
      </w:pPr>
    </w:p>
    <w:p>
      <w:pPr>
        <w:widowControl/>
        <w:snapToGrid w:val="0"/>
        <w:spacing w:line="300" w:lineRule="auto"/>
        <w:ind w:firstLine="56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根据城市更新相关规定，依据计划申报主体的申请及其提供的申请材料，对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城市更新单元的土地信息予以核查，现将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土地信息核查结果</w:t>
      </w:r>
      <w:r>
        <w:rPr>
          <w:rFonts w:hint="eastAsia" w:ascii="仿宋_GB2312" w:eastAsia="仿宋_GB2312"/>
          <w:color w:val="auto"/>
          <w:sz w:val="32"/>
          <w:szCs w:val="32"/>
        </w:rPr>
        <w:t>复函如下：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一、范围核查。</w:t>
      </w:r>
      <w:r>
        <w:rPr>
          <w:rFonts w:hint="eastAsia" w:ascii="仿宋_GB2312" w:eastAsia="仿宋_GB2312"/>
          <w:color w:val="auto"/>
          <w:sz w:val="32"/>
          <w:szCs w:val="32"/>
        </w:rPr>
        <w:t>申请核查范围为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与已批准的拆除范围是否一致：□一致 □不一致。</w:t>
      </w:r>
    </w:p>
    <w:p>
      <w:pPr>
        <w:widowControl/>
        <w:snapToGrid w:val="0"/>
        <w:spacing w:line="300" w:lineRule="auto"/>
        <w:ind w:firstLine="643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二、土地核查情况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（一）拆除范围用地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平方米，其土地核查信息如下：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1.征（转）协议签订及补偿情况。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拆除范围内</w:t>
      </w:r>
      <w:r>
        <w:rPr>
          <w:rFonts w:hint="eastAsia" w:ascii="仿宋_GB2312" w:eastAsia="仿宋_GB2312"/>
          <w:color w:val="auto"/>
          <w:sz w:val="32"/>
          <w:szCs w:val="32"/>
        </w:rPr>
        <w:t>已签订征（转）地协议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</w:t>
      </w:r>
      <w:r>
        <w:rPr>
          <w:rFonts w:hint="eastAsia" w:ascii="仿宋_GB2312" w:eastAsia="仿宋_GB2312"/>
          <w:color w:val="auto"/>
          <w:sz w:val="32"/>
          <w:szCs w:val="32"/>
        </w:rPr>
        <w:t>，其中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已签订征（转）协议但土地或者建筑物未作补偿的用地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平方米；未签订征（转）地协议用地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2.基于土地变更调查的土地利用现状。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拆除范围内建设用地为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平方米，农用地为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平方米，未利用地为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3.土地权属情况。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拆除范围内土地权属情况如下：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（1）国有已出让（划拨）用地</w:t>
      </w:r>
      <w:r>
        <w:rPr>
          <w:rStyle w:val="7"/>
          <w:rFonts w:hint="eastAsia" w:ascii="仿宋_GB2312" w:hAnsi="宋体" w:eastAsia="仿宋_GB2312"/>
          <w:color w:val="auto"/>
          <w:kern w:val="0"/>
          <w:sz w:val="32"/>
          <w:szCs w:val="32"/>
        </w:rPr>
        <w:footnoteReference w:id="0"/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（2）国有未出让用地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（3）城中村用地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（4）旧屋村用地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（5）农村城市化历史遗留违法建筑处理用地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（6）未完善征转手续用地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（二）按规定通过城市更新实现移交的拆除范围外公共利益用地（以下简称“外部移交用地”）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平方米，其土地核查信息如下：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1.征（转）协议签订及补偿情况。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外部移交用地范围内</w:t>
      </w:r>
      <w:r>
        <w:rPr>
          <w:rFonts w:hint="eastAsia" w:ascii="仿宋_GB2312" w:eastAsia="仿宋_GB2312"/>
          <w:color w:val="auto"/>
          <w:sz w:val="32"/>
          <w:szCs w:val="32"/>
        </w:rPr>
        <w:t>已签订征（转）地协议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</w:t>
      </w:r>
      <w:r>
        <w:rPr>
          <w:rFonts w:hint="eastAsia" w:ascii="仿宋_GB2312" w:eastAsia="仿宋_GB2312"/>
          <w:color w:val="auto"/>
          <w:sz w:val="32"/>
          <w:szCs w:val="32"/>
        </w:rPr>
        <w:t>，其中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已签订征（转）协议但土地或者建筑物未作补偿的用地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平方米；未签订征（转）地协议用地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2.基于土地变更调查的土地利用现状。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外部移交用地范围内建设用地为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平方米，农用地为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平方米，未利用地为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3.土地权属情况。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外部移交用地范围内土地权属情况如下：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（1）国有已出让（划拨）用地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（2）国有未出让用地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（3）城中村用地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（4）旧屋村用地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（5）农村城市化历史遗留违法建筑处理用地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（6）未完善征转手续用地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（三）拆除范围外其余部分（以下简称“其余范围”）用地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平方米，其土地核查信息如下：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1.征（转）协议签订及补偿情况。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其余范围内</w:t>
      </w:r>
      <w:r>
        <w:rPr>
          <w:rFonts w:hint="eastAsia" w:ascii="仿宋_GB2312" w:eastAsia="仿宋_GB2312"/>
          <w:color w:val="auto"/>
          <w:sz w:val="32"/>
          <w:szCs w:val="32"/>
        </w:rPr>
        <w:t>已签订征（转）地协议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</w:t>
      </w:r>
      <w:r>
        <w:rPr>
          <w:rFonts w:hint="eastAsia" w:ascii="仿宋_GB2312" w:eastAsia="仿宋_GB2312"/>
          <w:color w:val="auto"/>
          <w:sz w:val="32"/>
          <w:szCs w:val="32"/>
        </w:rPr>
        <w:t>，其中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已签订征（转）协议但土地或者建筑物未作补偿的用地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平方米；未签订征（转）地协议用地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2.基于土地变更调查的土地利用现状。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其余范围内建设用地为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平方米，农用地为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平方米，未利用地为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kern w:val="0"/>
          <w:sz w:val="32"/>
          <w:szCs w:val="32"/>
        </w:rPr>
        <w:t>3.土地权属情况。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其余范围内土地权属情况如下：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（1）国有已出让（划拨）用地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（2）国有未出让用地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（3）城中村用地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（4）旧屋村用地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（5）农村城市化历史遗留违法建筑处理用地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平方米；</w:t>
      </w:r>
    </w:p>
    <w:p>
      <w:pPr>
        <w:widowControl/>
        <w:snapToGrid w:val="0"/>
        <w:spacing w:line="300" w:lineRule="auto"/>
        <w:ind w:firstLine="640" w:firstLineChars="2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（6）未完善征转手续用地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平方米。</w:t>
      </w:r>
    </w:p>
    <w:p>
      <w:pPr>
        <w:widowControl/>
        <w:snapToGrid w:val="0"/>
        <w:spacing w:line="300" w:lineRule="auto"/>
        <w:ind w:firstLine="56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三、其他说明</w:t>
      </w:r>
    </w:p>
    <w:p>
      <w:pPr>
        <w:widowControl/>
        <w:snapToGrid w:val="0"/>
        <w:spacing w:line="300" w:lineRule="auto"/>
        <w:ind w:firstLine="6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本核查结果仅作为该城市更新单元实施过程中规划审批、完善土地征（转）手续、历史用地处置和项目地价测算的基础，不作为土地性质、权属、面积等的证明材料。</w:t>
      </w:r>
    </w:p>
    <w:p>
      <w:pPr>
        <w:widowControl/>
        <w:snapToGrid w:val="0"/>
        <w:spacing w:line="300" w:lineRule="auto"/>
        <w:ind w:firstLine="6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城市更新单元拆除范围内土地和建筑物需完善手续的，应当尽快按照相关程序加以完善。</w:t>
      </w:r>
    </w:p>
    <w:p>
      <w:pPr>
        <w:widowControl/>
        <w:snapToGrid w:val="0"/>
        <w:spacing w:line="300" w:lineRule="auto"/>
        <w:ind w:firstLine="6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300" w:lineRule="auto"/>
        <w:ind w:firstLine="600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300" w:lineRule="auto"/>
        <w:ind w:left="149" w:leftChars="71" w:firstLine="160" w:firstLineChars="50"/>
        <w:jc w:val="lef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 xml:space="preserve">                             **区城市更新职能部门</w:t>
      </w:r>
    </w:p>
    <w:p>
      <w:pPr>
        <w:widowControl/>
        <w:wordWrap w:val="0"/>
        <w:snapToGrid w:val="0"/>
        <w:spacing w:line="300" w:lineRule="auto"/>
        <w:ind w:firstLine="640" w:firstLineChars="200"/>
        <w:jc w:val="righ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t xml:space="preserve">日      </w:t>
      </w:r>
    </w:p>
    <w:p>
      <w:pPr>
        <w:widowControl/>
        <w:snapToGrid w:val="0"/>
        <w:spacing w:line="300" w:lineRule="auto"/>
        <w:ind w:firstLine="640" w:firstLineChars="200"/>
        <w:jc w:val="righ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300" w:lineRule="auto"/>
        <w:ind w:firstLine="640" w:firstLineChars="200"/>
        <w:jc w:val="righ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300" w:lineRule="auto"/>
        <w:ind w:firstLine="640" w:firstLineChars="200"/>
        <w:jc w:val="righ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300" w:lineRule="auto"/>
        <w:ind w:firstLine="640" w:firstLineChars="200"/>
        <w:jc w:val="right"/>
        <w:rPr>
          <w:rFonts w:hint="eastAsia" w:ascii="仿宋_GB2312" w:hAnsi="宋体" w:eastAsia="仿宋_GB2312"/>
          <w:color w:val="auto"/>
          <w:kern w:val="0"/>
          <w:sz w:val="32"/>
          <w:szCs w:val="32"/>
        </w:rPr>
      </w:pPr>
    </w:p>
    <w:p>
      <w:pPr>
        <w:spacing w:after="120" w:afterLines="5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附表：各类土地权属用地汇总情况表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590"/>
        <w:gridCol w:w="1629"/>
        <w:gridCol w:w="1929"/>
        <w:gridCol w:w="1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5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left="311" w:hanging="311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土地权属类别</w:t>
            </w:r>
          </w:p>
        </w:tc>
        <w:tc>
          <w:tcPr>
            <w:tcW w:w="51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left="311" w:hanging="311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土地情况</w:t>
            </w:r>
          </w:p>
        </w:tc>
        <w:tc>
          <w:tcPr>
            <w:tcW w:w="16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宗地号或用地方案号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土地用途</w:t>
            </w:r>
          </w:p>
        </w:tc>
        <w:tc>
          <w:tcPr>
            <w:tcW w:w="1929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用地面积（㎡）</w:t>
            </w:r>
          </w:p>
        </w:tc>
        <w:tc>
          <w:tcPr>
            <w:tcW w:w="16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restart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国有已出让（划拨）用地</w:t>
            </w: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left="173" w:hanging="172" w:hangingChars="96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51" w:type="dxa"/>
            <w:vMerge w:val="restart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国有未出让用地</w:t>
            </w: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城中村用地</w:t>
            </w: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51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旧屋村用地</w:t>
            </w: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51" w:type="dxa"/>
            <w:vMerge w:val="restart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农村城市化历史遗留违法建筑处理用地</w:t>
            </w: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restart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未完善征转手续用地</w:t>
            </w: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2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</w:tbl>
    <w:p>
      <w:pPr>
        <w:tabs>
          <w:tab w:val="left" w:pos="5212"/>
        </w:tabs>
      </w:pP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  <w:ind w:left="311" w:hanging="311"/>
        <w:rPr>
          <w:rFonts w:hint="eastAsia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国有已出让（划拨）用地不包括农村城市化历史遗留违法建筑处理用地。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TA0ZGFlNzI0NmI0N2FiNGI1MzFhYTlmMDJhN2QifQ=="/>
  </w:docVars>
  <w:rsids>
    <w:rsidRoot w:val="651A3376"/>
    <w:rsid w:val="651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spacing w:before="260" w:after="260" w:line="320" w:lineRule="exact"/>
      <w:ind w:left="173" w:hanging="173" w:hangingChars="173"/>
      <w:jc w:val="left"/>
    </w:pPr>
    <w:rPr>
      <w:rFonts w:ascii="Calibri" w:hAnsi="Calibri"/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2024-01-03T07:38:00Z</dcterms:created>
  <dc:creator>龙瑶</dc:creator>
  <cp:lastModifiedBy>龙瑶</cp:lastModifiedBy>
  <dcterms:modified xsi:type="dcterms:W3CDTF">2024-01-03T07:40:05Z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4B4EF02FAB304D669BCB3E97641EE790_11</vt:lpwstr>
  </property>
</Properties>
</file>