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eastAsia="zh-CN"/>
        </w:rPr>
      </w:pPr>
      <w:r>
        <w:rPr>
          <w:rFonts w:hint="eastAsia"/>
          <w:sz w:val="36"/>
          <w:szCs w:val="36"/>
        </w:rPr>
        <w:t>《深圳经济特区优化营商环境若干规定（征求意见稿）》</w:t>
      </w:r>
      <w:r>
        <w:rPr>
          <w:rFonts w:hint="eastAsia"/>
          <w:sz w:val="36"/>
          <w:szCs w:val="36"/>
          <w:lang w:eastAsia="zh-CN"/>
        </w:rPr>
        <w:t>公众意见收集一览表</w:t>
      </w:r>
    </w:p>
    <w:p>
      <w:pPr>
        <w:jc w:val="left"/>
        <w:rPr>
          <w:rFonts w:hint="eastAsia"/>
          <w:sz w:val="44"/>
          <w:szCs w:val="44"/>
          <w:lang w:eastAsia="zh-CN"/>
        </w:rPr>
      </w:pPr>
    </w:p>
    <w:p/>
    <w:tbl>
      <w:tblPr>
        <w:tblStyle w:val="4"/>
        <w:tblW w:w="1383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9"/>
        <w:gridCol w:w="1365"/>
        <w:gridCol w:w="117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ascii="宋体" w:hAnsi="宋体"/>
                <w:b/>
                <w:sz w:val="24"/>
              </w:rPr>
            </w:pPr>
            <w:r>
              <w:rPr>
                <w:rFonts w:ascii="宋体" w:hAnsi="宋体" w:cs="Calibri"/>
                <w:b/>
                <w:kern w:val="0"/>
                <w:sz w:val="24"/>
              </w:rPr>
              <w:t>序号</w:t>
            </w:r>
          </w:p>
        </w:tc>
        <w:tc>
          <w:tcPr>
            <w:tcW w:w="136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ascii="宋体" w:hAnsi="宋体"/>
                <w:b/>
                <w:sz w:val="24"/>
              </w:rPr>
            </w:pPr>
            <w:r>
              <w:rPr>
                <w:rFonts w:hint="eastAsia" w:ascii="宋体" w:hAnsi="宋体"/>
                <w:b/>
                <w:kern w:val="0"/>
                <w:sz w:val="24"/>
                <w:lang w:eastAsia="zh-CN"/>
              </w:rPr>
              <w:t>个人</w:t>
            </w:r>
            <w:r>
              <w:rPr>
                <w:rFonts w:hint="eastAsia" w:ascii="宋体" w:hAnsi="宋体"/>
                <w:b/>
                <w:kern w:val="0"/>
                <w:sz w:val="24"/>
                <w:lang w:val="en-US" w:eastAsia="zh-CN"/>
              </w:rPr>
              <w:t>/</w:t>
            </w:r>
            <w:r>
              <w:rPr>
                <w:rFonts w:ascii="宋体" w:hAnsi="宋体"/>
                <w:b/>
                <w:kern w:val="0"/>
                <w:sz w:val="24"/>
              </w:rPr>
              <w:t>单位</w:t>
            </w: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ascii="宋体" w:hAnsi="宋体"/>
                <w:b/>
                <w:sz w:val="24"/>
              </w:rPr>
            </w:pPr>
            <w:r>
              <w:rPr>
                <w:rFonts w:ascii="宋体" w:hAnsi="宋体"/>
                <w:b/>
                <w:kern w:val="0"/>
                <w:sz w:val="24"/>
              </w:rPr>
              <w:t>反馈意见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pStyle w:val="8"/>
              <w:widowControl/>
              <w:numPr>
                <w:ilvl w:val="0"/>
                <w:numId w:val="1"/>
              </w:numPr>
              <w:wordWrap w:val="0"/>
              <w:ind w:firstLineChars="0"/>
              <w:jc w:val="center"/>
              <w:rPr>
                <w:rFonts w:ascii="宋体" w:hAnsi="宋体"/>
                <w:kern w:val="0"/>
                <w:sz w:val="24"/>
              </w:rPr>
            </w:pPr>
          </w:p>
        </w:tc>
        <w:tc>
          <w:tcPr>
            <w:tcW w:w="136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default" w:ascii="宋体" w:hAnsi="宋体" w:eastAsiaTheme="minorEastAsia"/>
                <w:kern w:val="0"/>
                <w:sz w:val="24"/>
                <w:lang w:val="en-US" w:eastAsia="zh-CN"/>
              </w:rPr>
            </w:pPr>
            <w:r>
              <w:rPr>
                <w:rFonts w:hint="eastAsia" w:ascii="宋体" w:hAnsi="宋体"/>
                <w:kern w:val="0"/>
                <w:sz w:val="24"/>
                <w:lang w:val="en-US" w:eastAsia="zh-CN"/>
              </w:rPr>
              <w:t>市民</w:t>
            </w: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jc w:val="left"/>
              <w:rPr>
                <w:rFonts w:ascii="宋体" w:hAnsi="宋体"/>
                <w:kern w:val="0"/>
                <w:sz w:val="24"/>
              </w:rPr>
            </w:pPr>
            <w:r>
              <w:rPr>
                <w:rFonts w:hint="eastAsia" w:ascii="宋体" w:hAnsi="宋体"/>
                <w:kern w:val="0"/>
                <w:sz w:val="24"/>
              </w:rPr>
              <w:t>第16条提到规范服务租赁市场，禁止分租、转租产业用房和哄抬租金等扰乱房屋租赁市场行为。针对空间管理中的恶劣经营者一定要坚决取缔，同时我们建议继续深层考虑，对目前经营主体进行分层区别对待。1、空间服务商从国外知名的Pnp Wework再到国内的创新工场，3W咖啡等等，从国家科技部到地方科创委都给予了孵化器认定，这些经营者不仅提供空间载体服务，更重要的是针对空间载体的企业提供增值服务。2、即使是纯粹的空间运营商，就是传统上二房东，也有一部分运营者提供了非常积极和优秀的物业服务。希望政府不会因为劣质供应商而制定一刀切的政策而对整个企业服务业产生伤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pStyle w:val="8"/>
              <w:widowControl/>
              <w:numPr>
                <w:ilvl w:val="0"/>
                <w:numId w:val="1"/>
              </w:numPr>
              <w:wordWrap w:val="0"/>
              <w:ind w:firstLineChars="0"/>
              <w:jc w:val="center"/>
              <w:rPr>
                <w:rFonts w:ascii="宋体" w:hAnsi="宋体"/>
                <w:kern w:val="0"/>
                <w:sz w:val="24"/>
              </w:rPr>
            </w:pPr>
          </w:p>
        </w:tc>
        <w:tc>
          <w:tcPr>
            <w:tcW w:w="136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hint="eastAsia" w:ascii="宋体" w:hAnsi="宋体" w:eastAsiaTheme="minorEastAsia"/>
                <w:kern w:val="0"/>
                <w:sz w:val="24"/>
                <w:lang w:eastAsia="zh-CN"/>
              </w:rPr>
            </w:pPr>
            <w:r>
              <w:rPr>
                <w:rFonts w:hint="eastAsia" w:ascii="宋体" w:hAnsi="宋体"/>
                <w:kern w:val="0"/>
                <w:sz w:val="24"/>
                <w:lang w:eastAsia="zh-CN"/>
              </w:rPr>
              <w:t>市民</w:t>
            </w: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numPr>
                <w:ilvl w:val="0"/>
                <w:numId w:val="2"/>
              </w:numPr>
              <w:shd w:val="clear" w:color="auto" w:fill="FFFFFF"/>
              <w:jc w:val="left"/>
              <w:rPr>
                <w:rFonts w:ascii="宋体" w:hAnsi="宋体"/>
                <w:kern w:val="0"/>
                <w:sz w:val="24"/>
              </w:rPr>
            </w:pPr>
            <w:r>
              <w:rPr>
                <w:rFonts w:hint="eastAsia" w:ascii="宋体" w:hAnsi="宋体"/>
                <w:kern w:val="0"/>
                <w:sz w:val="24"/>
              </w:rPr>
              <w:t>吸取到原有资本、市场营商机制的优点外，更有必要体现社会主义的先进性、人民性，非常恰时；</w:t>
            </w:r>
          </w:p>
          <w:p>
            <w:pPr>
              <w:widowControl/>
              <w:numPr>
                <w:ilvl w:val="0"/>
                <w:numId w:val="2"/>
              </w:numPr>
              <w:shd w:val="clear" w:color="auto" w:fill="FFFFFF"/>
              <w:jc w:val="left"/>
              <w:rPr>
                <w:rFonts w:ascii="宋体" w:hAnsi="宋体"/>
                <w:kern w:val="0"/>
                <w:sz w:val="24"/>
              </w:rPr>
            </w:pPr>
            <w:r>
              <w:rPr>
                <w:rFonts w:hint="eastAsia" w:ascii="宋体" w:hAnsi="宋体"/>
                <w:kern w:val="0"/>
                <w:sz w:val="24"/>
              </w:rPr>
              <w:t>应该把人文、商道、文化元素融入到营商环境的各个方面去，化解资本嗜血、无理性的戾气与负面作用；争取有条件把人文商道生产的综合指标作为考核个人、组织、社会真正进步的准则。</w:t>
            </w:r>
          </w:p>
          <w:p>
            <w:pPr>
              <w:widowControl/>
              <w:numPr>
                <w:ilvl w:val="0"/>
                <w:numId w:val="2"/>
              </w:numPr>
              <w:shd w:val="clear" w:color="auto" w:fill="FFFFFF"/>
              <w:jc w:val="left"/>
              <w:rPr>
                <w:rFonts w:ascii="宋体" w:hAnsi="宋体"/>
                <w:kern w:val="0"/>
                <w:sz w:val="24"/>
              </w:rPr>
            </w:pPr>
            <w:r>
              <w:rPr>
                <w:rFonts w:hint="eastAsia" w:ascii="宋体" w:hAnsi="宋体"/>
                <w:kern w:val="0"/>
                <w:sz w:val="24"/>
              </w:rPr>
              <w:t>打造集体主义的超级营商平台（超大型国有企业，国家和党代表人民来坐庄），减少对人文道德的冲击，让人人都能有机会在一次、二次分配中得到平等的机会和发展进步的财富支撑；消费与收入、财富的分配应当尽可能地采取一个新的措施：把社会人文、道德要素进步与个体或组织内在素养的成长进步以及对社会实际消耗、破坏作用的综合评定来核定社会精神与物化财富的分配机制，从而直接刺激人们向内求发展，并反过来促进外在物化力量的更大发展。也会让经济、物质的发展既有量更有质。</w:t>
            </w:r>
          </w:p>
          <w:p>
            <w:pPr>
              <w:widowControl/>
              <w:numPr>
                <w:ilvl w:val="0"/>
                <w:numId w:val="2"/>
              </w:numPr>
              <w:shd w:val="clear" w:color="auto" w:fill="FFFFFF"/>
              <w:jc w:val="left"/>
              <w:rPr>
                <w:rFonts w:ascii="宋体" w:hAnsi="宋体"/>
                <w:kern w:val="0"/>
                <w:sz w:val="24"/>
              </w:rPr>
            </w:pPr>
            <w:r>
              <w:rPr>
                <w:rFonts w:hint="eastAsia" w:ascii="宋体" w:hAnsi="宋体"/>
                <w:kern w:val="0"/>
                <w:sz w:val="24"/>
              </w:rPr>
              <w:t>由此，可以进一步辅助性地采取人生积分制来进行社会资源、机会与财富的分配，从而促成人们更多地关注人自身的内在成长进步，则人文生产的发展也必然带来更大的社会综合进步。</w:t>
            </w:r>
          </w:p>
          <w:p>
            <w:pPr>
              <w:widowControl/>
              <w:numPr>
                <w:ilvl w:val="0"/>
                <w:numId w:val="2"/>
              </w:numPr>
              <w:shd w:val="clear" w:color="auto" w:fill="FFFFFF"/>
              <w:jc w:val="left"/>
              <w:rPr>
                <w:rFonts w:ascii="宋体" w:hAnsi="宋体"/>
                <w:kern w:val="0"/>
                <w:sz w:val="24"/>
              </w:rPr>
            </w:pPr>
            <w:r>
              <w:rPr>
                <w:rFonts w:hint="eastAsia" w:ascii="宋体" w:hAnsi="宋体"/>
                <w:kern w:val="0"/>
                <w:sz w:val="24"/>
              </w:rPr>
              <w:t>充分发扬新时代大民主集中制的优势，历史证明，只有真正意义的正确的大集中才能有真正意义的正确的大民主，这将大大释放人性、人文的内在动能，让个人与社会都发生倍增发展的速效。</w:t>
            </w:r>
          </w:p>
          <w:p>
            <w:pPr>
              <w:widowControl/>
              <w:numPr>
                <w:ilvl w:val="0"/>
                <w:numId w:val="2"/>
              </w:numPr>
              <w:shd w:val="clear" w:color="auto" w:fill="FFFFFF"/>
              <w:jc w:val="left"/>
              <w:rPr>
                <w:rFonts w:ascii="宋体" w:hAnsi="宋体"/>
                <w:kern w:val="0"/>
                <w:sz w:val="24"/>
              </w:rPr>
            </w:pPr>
            <w:r>
              <w:rPr>
                <w:rFonts w:hint="eastAsia" w:ascii="宋体" w:hAnsi="宋体"/>
                <w:kern w:val="0"/>
                <w:sz w:val="24"/>
              </w:rPr>
              <w:t>对于文化、教育、人文、道德、文化人、灵魂工程工作者来讲，为难的不是这个社会需要物质的生产与财富的积累，而是为难于物质的生产与财富的积累过程中存量（零和）博弈造成的社会分裂、事倍功半、灵魂绝望、自甘堕落、潜规则；所以需要为人文、文教造就相对的永续增量共和的环境条件，自古如此。</w:t>
            </w:r>
          </w:p>
          <w:p>
            <w:pPr>
              <w:widowControl/>
              <w:numPr>
                <w:ilvl w:val="0"/>
                <w:numId w:val="2"/>
              </w:numPr>
              <w:shd w:val="clear" w:color="auto" w:fill="FFFFFF"/>
              <w:jc w:val="left"/>
              <w:rPr>
                <w:rFonts w:ascii="宋体" w:hAnsi="宋体"/>
                <w:kern w:val="0"/>
                <w:sz w:val="24"/>
              </w:rPr>
            </w:pPr>
            <w:r>
              <w:rPr>
                <w:rFonts w:hint="eastAsia" w:ascii="宋体" w:hAnsi="宋体"/>
                <w:kern w:val="0"/>
                <w:sz w:val="24"/>
              </w:rPr>
              <w:t>拓展深圳面积和体量非常重要，帮助香港进行新潮流下海开发非常必要，有利于中国特色</w:t>
            </w:r>
            <w:bookmarkStart w:id="0" w:name="_GoBack"/>
            <w:bookmarkEnd w:id="0"/>
            <w:r>
              <w:rPr>
                <w:rFonts w:hint="eastAsia" w:ascii="宋体" w:hAnsi="宋体"/>
                <w:kern w:val="0"/>
                <w:sz w:val="24"/>
              </w:rPr>
              <w:t>社会主义先行示范区的全球战略意义，有利于深港青年的就业与前途。</w:t>
            </w:r>
          </w:p>
          <w:p>
            <w:pPr>
              <w:widowControl/>
              <w:numPr>
                <w:ilvl w:val="0"/>
                <w:numId w:val="2"/>
              </w:numPr>
              <w:shd w:val="clear" w:color="auto" w:fill="FFFFFF"/>
              <w:jc w:val="left"/>
              <w:rPr>
                <w:rFonts w:ascii="宋体" w:hAnsi="宋体"/>
                <w:kern w:val="0"/>
                <w:sz w:val="24"/>
              </w:rPr>
            </w:pPr>
            <w:r>
              <w:rPr>
                <w:rFonts w:hint="eastAsia" w:ascii="宋体" w:hAnsi="宋体"/>
                <w:kern w:val="0"/>
                <w:sz w:val="24"/>
              </w:rPr>
              <w:t>南鹏北雄模式：鹏城+雄安</w:t>
            </w:r>
          </w:p>
          <w:p>
            <w:pPr>
              <w:widowControl/>
              <w:numPr>
                <w:ilvl w:val="0"/>
                <w:numId w:val="2"/>
              </w:numPr>
              <w:shd w:val="clear" w:color="auto" w:fill="FFFFFF"/>
              <w:jc w:val="left"/>
              <w:rPr>
                <w:rFonts w:ascii="宋体" w:hAnsi="宋体"/>
                <w:kern w:val="0"/>
                <w:sz w:val="24"/>
              </w:rPr>
            </w:pPr>
            <w:r>
              <w:rPr>
                <w:rFonts w:hint="eastAsia" w:ascii="宋体" w:hAnsi="宋体"/>
                <w:kern w:val="0"/>
                <w:sz w:val="24"/>
              </w:rPr>
              <w:t>我们要打造金水木火土五大行业事业体公社平台，兼具企业组织与微型国家组织(类似部落)全息元素，这才是我们的出路……</w:t>
            </w:r>
          </w:p>
          <w:p>
            <w:pPr>
              <w:widowControl/>
              <w:shd w:val="clear" w:color="auto" w:fill="FFFFFF"/>
              <w:jc w:val="left"/>
              <w:rPr>
                <w:rFonts w:ascii="宋体" w:hAnsi="宋体"/>
                <w:kern w:val="0"/>
                <w:sz w:val="24"/>
              </w:rPr>
            </w:pPr>
            <w:r>
              <w:rPr>
                <w:rFonts w:hint="eastAsia" w:ascii="宋体" w:hAnsi="宋体"/>
                <w:kern w:val="0"/>
                <w:sz w:val="24"/>
              </w:rPr>
              <w:t>外在元素的完备其功在于促成人性的完美……是谓大同、共产主义社区、社会所必须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restart"/>
            <w:tcBorders>
              <w:top w:val="single" w:color="auto" w:sz="8" w:space="0"/>
              <w:left w:val="single" w:color="auto" w:sz="8" w:space="0"/>
              <w:right w:val="single" w:color="auto" w:sz="8" w:space="0"/>
            </w:tcBorders>
            <w:shd w:val="clear" w:color="auto" w:fill="auto"/>
            <w:noWrap w:val="0"/>
            <w:tcMar>
              <w:left w:w="108" w:type="dxa"/>
              <w:right w:w="108" w:type="dxa"/>
            </w:tcMar>
            <w:vAlign w:val="center"/>
          </w:tcPr>
          <w:p>
            <w:pPr>
              <w:pStyle w:val="8"/>
              <w:widowControl/>
              <w:numPr>
                <w:ilvl w:val="0"/>
                <w:numId w:val="1"/>
              </w:numPr>
              <w:wordWrap w:val="0"/>
              <w:ind w:firstLineChars="0"/>
              <w:jc w:val="center"/>
              <w:rPr>
                <w:rFonts w:ascii="宋体" w:hAnsi="宋体"/>
                <w:kern w:val="0"/>
                <w:sz w:val="24"/>
              </w:rPr>
            </w:pPr>
          </w:p>
        </w:tc>
        <w:tc>
          <w:tcPr>
            <w:tcW w:w="1365" w:type="dxa"/>
            <w:vMerge w:val="restart"/>
            <w:tcBorders>
              <w:top w:val="single" w:color="auto" w:sz="8" w:space="0"/>
              <w:left w:val="nil"/>
              <w:right w:val="single" w:color="auto" w:sz="8" w:space="0"/>
            </w:tcBorders>
            <w:shd w:val="clear" w:color="auto" w:fill="auto"/>
            <w:noWrap w:val="0"/>
            <w:tcMar>
              <w:left w:w="108" w:type="dxa"/>
              <w:right w:w="108" w:type="dxa"/>
            </w:tcMar>
            <w:vAlign w:val="center"/>
          </w:tcPr>
          <w:p>
            <w:pPr>
              <w:widowControl/>
              <w:wordWrap w:val="0"/>
              <w:jc w:val="center"/>
              <w:rPr>
                <w:rFonts w:hint="eastAsia" w:ascii="宋体" w:hAnsi="宋体" w:eastAsiaTheme="minorEastAsia"/>
                <w:kern w:val="0"/>
                <w:sz w:val="24"/>
                <w:lang w:eastAsia="zh-CN"/>
              </w:rPr>
            </w:pPr>
            <w:r>
              <w:rPr>
                <w:rFonts w:hint="eastAsia" w:ascii="宋体" w:hAnsi="宋体"/>
                <w:kern w:val="0"/>
                <w:sz w:val="24"/>
                <w:lang w:eastAsia="zh-CN"/>
              </w:rPr>
              <w:t>市民</w:t>
            </w: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left"/>
              <w:rPr>
                <w:rFonts w:ascii="宋体" w:hAnsi="宋体" w:cs="Arial"/>
                <w:color w:val="000000"/>
                <w:sz w:val="24"/>
              </w:rPr>
            </w:pPr>
            <w:r>
              <w:rPr>
                <w:rFonts w:ascii="宋体" w:hAnsi="宋体" w:cs="Arial"/>
                <w:color w:val="000000"/>
                <w:kern w:val="0"/>
                <w:sz w:val="24"/>
              </w:rPr>
              <w:t>1、第二十一条【综合监管】“全面推行“双随机、一公开”执法模式”，在国家文件层面是除特殊重点领域外，该条款是否明确深圳也在特殊重点领域也实行双随机？</w:t>
            </w:r>
            <w:r>
              <w:rPr>
                <w:rFonts w:ascii="宋体" w:hAnsi="宋体" w:cs="Arial"/>
                <w:color w:val="000000"/>
                <w:kern w:val="0"/>
                <w:sz w:val="24"/>
              </w:rPr>
              <w:br w:type="textWrapping"/>
            </w:r>
            <w:r>
              <w:rPr>
                <w:rFonts w:ascii="宋体" w:hAnsi="宋体" w:cs="Arial"/>
                <w:color w:val="000000"/>
                <w:kern w:val="0"/>
                <w:sz w:val="24"/>
              </w:rPr>
              <w:t> 建议要予以明确？同时建议在该条款中予以明确实施双随机外的监管责任是否可以免除,真正用好国家出台的关于深圳建立</w:t>
            </w:r>
            <w:r>
              <w:rPr>
                <w:rFonts w:hint="eastAsia" w:ascii="宋体" w:hAnsi="宋体" w:cs="Arial"/>
                <w:color w:val="000000"/>
                <w:kern w:val="0"/>
                <w:sz w:val="24"/>
              </w:rPr>
              <w:t>中国特色社会主义先行示范区</w:t>
            </w:r>
            <w:r>
              <w:rPr>
                <w:rFonts w:ascii="宋体" w:hAnsi="宋体" w:cs="Arial"/>
                <w:color w:val="000000"/>
                <w:kern w:val="0"/>
                <w:sz w:val="24"/>
              </w:rPr>
              <w:t>意见的立法政策。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continue"/>
            <w:tcBorders>
              <w:left w:val="single" w:color="auto" w:sz="8" w:space="0"/>
              <w:bottom w:val="single" w:color="auto" w:sz="8" w:space="0"/>
              <w:right w:val="single" w:color="auto" w:sz="8" w:space="0"/>
            </w:tcBorders>
            <w:shd w:val="clear" w:color="auto" w:fill="auto"/>
            <w:noWrap w:val="0"/>
            <w:tcMar>
              <w:left w:w="108" w:type="dxa"/>
              <w:right w:w="108" w:type="dxa"/>
            </w:tcMar>
            <w:vAlign w:val="center"/>
          </w:tcPr>
          <w:p>
            <w:pPr>
              <w:pStyle w:val="8"/>
              <w:widowControl/>
              <w:wordWrap w:val="0"/>
              <w:ind w:left="420" w:firstLine="0" w:firstLineChars="0"/>
              <w:jc w:val="center"/>
              <w:rPr>
                <w:rFonts w:ascii="宋体" w:hAnsi="宋体"/>
                <w:kern w:val="0"/>
                <w:sz w:val="24"/>
              </w:rPr>
            </w:pPr>
          </w:p>
        </w:tc>
        <w:tc>
          <w:tcPr>
            <w:tcW w:w="1365" w:type="dxa"/>
            <w:vMerge w:val="continue"/>
            <w:tcBorders>
              <w:left w:val="nil"/>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ascii="宋体" w:hAnsi="宋体"/>
                <w:kern w:val="0"/>
                <w:sz w:val="24"/>
              </w:rPr>
            </w:pP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left"/>
              <w:rPr>
                <w:rFonts w:ascii="宋体" w:hAnsi="宋体" w:cs="Arial"/>
                <w:color w:val="000000"/>
                <w:kern w:val="0"/>
                <w:sz w:val="24"/>
              </w:rPr>
            </w:pPr>
            <w:r>
              <w:rPr>
                <w:rFonts w:ascii="宋体" w:hAnsi="宋体" w:cs="Arial"/>
                <w:color w:val="000000"/>
                <w:kern w:val="0"/>
                <w:sz w:val="24"/>
              </w:rPr>
              <w:t>2、第二十二条【执法检查】执法机关实施执法检查应当编制年度检查计划，明确检查任务、依据、时间和方式等。未列入年度检查计划的执法检查，市场主体有权拒绝接受。未经市、区人民政府批准，不得开展拉网式的执法大检查。如何解决临时下达的专项整治问题？建议予以统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restart"/>
            <w:tcBorders>
              <w:top w:val="single" w:color="auto" w:sz="8" w:space="0"/>
              <w:left w:val="single" w:color="auto" w:sz="8" w:space="0"/>
              <w:right w:val="single" w:color="auto" w:sz="8" w:space="0"/>
            </w:tcBorders>
            <w:shd w:val="clear" w:color="auto" w:fill="auto"/>
            <w:noWrap w:val="0"/>
            <w:tcMar>
              <w:left w:w="108" w:type="dxa"/>
              <w:right w:w="108" w:type="dxa"/>
            </w:tcMar>
            <w:vAlign w:val="center"/>
          </w:tcPr>
          <w:p>
            <w:pPr>
              <w:pStyle w:val="8"/>
              <w:widowControl/>
              <w:numPr>
                <w:ilvl w:val="0"/>
                <w:numId w:val="1"/>
              </w:numPr>
              <w:wordWrap w:val="0"/>
              <w:ind w:firstLineChars="0"/>
              <w:jc w:val="center"/>
              <w:rPr>
                <w:rFonts w:ascii="宋体" w:hAnsi="宋体"/>
                <w:kern w:val="0"/>
                <w:sz w:val="24"/>
              </w:rPr>
            </w:pPr>
          </w:p>
        </w:tc>
        <w:tc>
          <w:tcPr>
            <w:tcW w:w="1365" w:type="dxa"/>
            <w:vMerge w:val="restart"/>
            <w:tcBorders>
              <w:top w:val="single" w:color="auto" w:sz="8" w:space="0"/>
              <w:left w:val="nil"/>
              <w:right w:val="single" w:color="auto" w:sz="8" w:space="0"/>
            </w:tcBorders>
            <w:shd w:val="clear" w:color="auto" w:fill="auto"/>
            <w:noWrap w:val="0"/>
            <w:tcMar>
              <w:left w:w="108" w:type="dxa"/>
              <w:right w:w="108" w:type="dxa"/>
            </w:tcMar>
            <w:vAlign w:val="center"/>
          </w:tcPr>
          <w:p>
            <w:pPr>
              <w:widowControl/>
              <w:wordWrap w:val="0"/>
              <w:jc w:val="center"/>
              <w:rPr>
                <w:rFonts w:hint="eastAsia" w:ascii="宋体" w:hAnsi="宋体" w:eastAsiaTheme="minorEastAsia"/>
                <w:kern w:val="0"/>
                <w:sz w:val="24"/>
                <w:lang w:eastAsia="zh-CN"/>
              </w:rPr>
            </w:pPr>
            <w:r>
              <w:rPr>
                <w:rFonts w:hint="eastAsia" w:ascii="宋体" w:hAnsi="宋体"/>
                <w:kern w:val="0"/>
                <w:sz w:val="24"/>
                <w:lang w:eastAsia="zh-CN"/>
              </w:rPr>
              <w:t>企业</w:t>
            </w: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wordWrap w:val="0"/>
              <w:rPr>
                <w:rFonts w:ascii="宋体" w:hAnsi="宋体"/>
                <w:kern w:val="0"/>
                <w:sz w:val="24"/>
              </w:rPr>
            </w:pPr>
            <w:r>
              <w:rPr>
                <w:rFonts w:hint="eastAsia" w:ascii="宋体" w:hAnsi="宋体"/>
                <w:kern w:val="0"/>
                <w:sz w:val="24"/>
              </w:rPr>
              <w:t>1.建议第十九条第三款修改为“</w:t>
            </w:r>
            <w:r>
              <w:rPr>
                <w:rFonts w:hint="eastAsia" w:ascii="宋体" w:hAnsi="宋体"/>
                <w:color w:val="333333"/>
                <w:sz w:val="24"/>
              </w:rPr>
              <w:t>失信联合惩戒错误导致市场主体合法权益受损害的，有关部门应当主动撤销并消除</w:t>
            </w:r>
            <w:r>
              <w:rPr>
                <w:rFonts w:hint="eastAsia" w:ascii="宋体" w:hAnsi="宋体"/>
                <w:sz w:val="24"/>
                <w:u w:val="single"/>
              </w:rPr>
              <w:t>所受损害的</w:t>
            </w:r>
            <w:r>
              <w:rPr>
                <w:rFonts w:hint="eastAsia" w:ascii="宋体" w:hAnsi="宋体"/>
                <w:color w:val="333333"/>
                <w:sz w:val="24"/>
              </w:rPr>
              <w:t>不良影响。”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continue"/>
            <w:tcBorders>
              <w:left w:val="single" w:color="auto" w:sz="8" w:space="0"/>
              <w:right w:val="single" w:color="auto" w:sz="8" w:space="0"/>
            </w:tcBorders>
            <w:shd w:val="clear" w:color="auto" w:fill="auto"/>
            <w:noWrap w:val="0"/>
            <w:tcMar>
              <w:left w:w="108" w:type="dxa"/>
              <w:right w:w="108" w:type="dxa"/>
            </w:tcMar>
            <w:vAlign w:val="center"/>
          </w:tcPr>
          <w:p>
            <w:pPr>
              <w:pStyle w:val="8"/>
              <w:widowControl/>
              <w:wordWrap w:val="0"/>
              <w:ind w:left="420" w:firstLine="0" w:firstLineChars="0"/>
              <w:jc w:val="center"/>
              <w:rPr>
                <w:rFonts w:ascii="宋体" w:hAnsi="宋体"/>
                <w:kern w:val="0"/>
                <w:sz w:val="24"/>
              </w:rPr>
            </w:pPr>
          </w:p>
        </w:tc>
        <w:tc>
          <w:tcPr>
            <w:tcW w:w="1365" w:type="dxa"/>
            <w:vMerge w:val="continue"/>
            <w:tcBorders>
              <w:left w:val="nil"/>
              <w:right w:val="single" w:color="auto" w:sz="8" w:space="0"/>
            </w:tcBorders>
            <w:shd w:val="clear" w:color="auto" w:fill="auto"/>
            <w:noWrap w:val="0"/>
            <w:tcMar>
              <w:left w:w="108" w:type="dxa"/>
              <w:right w:w="108" w:type="dxa"/>
            </w:tcMar>
            <w:vAlign w:val="center"/>
          </w:tcPr>
          <w:p>
            <w:pPr>
              <w:widowControl/>
              <w:wordWrap w:val="0"/>
              <w:jc w:val="center"/>
              <w:rPr>
                <w:rFonts w:ascii="宋体" w:hAnsi="宋体"/>
                <w:kern w:val="0"/>
                <w:sz w:val="24"/>
              </w:rPr>
            </w:pP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hd w:val="clear" w:color="auto" w:fill="FFFFFF"/>
              <w:jc w:val="left"/>
              <w:rPr>
                <w:rFonts w:ascii="宋体" w:hAnsi="宋体"/>
                <w:kern w:val="0"/>
                <w:sz w:val="24"/>
              </w:rPr>
            </w:pPr>
            <w:r>
              <w:rPr>
                <w:rFonts w:hint="eastAsia" w:ascii="宋体" w:hAnsi="宋体"/>
                <w:kern w:val="0"/>
                <w:sz w:val="24"/>
              </w:rPr>
              <w:t>2. 建议第二十五条后面增加一条：【应急救援】应急救援机关应制订支援市场主体生产经营活动中遭遇应急救援事件的预案。根据市、区人民政府对自然灾害、事故预防前置要求指导市场主体做好预防准备。应急事件发生需要救援支持，快速组织力量协助市场主体进行响应，降低市场主体的损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continue"/>
            <w:tcBorders>
              <w:left w:val="single" w:color="auto" w:sz="8" w:space="0"/>
              <w:bottom w:val="single" w:color="auto" w:sz="8" w:space="0"/>
              <w:right w:val="single" w:color="auto" w:sz="8" w:space="0"/>
            </w:tcBorders>
            <w:shd w:val="clear" w:color="auto" w:fill="auto"/>
            <w:noWrap w:val="0"/>
            <w:tcMar>
              <w:left w:w="108" w:type="dxa"/>
              <w:right w:w="108" w:type="dxa"/>
            </w:tcMar>
            <w:vAlign w:val="center"/>
          </w:tcPr>
          <w:p>
            <w:pPr>
              <w:pStyle w:val="8"/>
              <w:widowControl/>
              <w:wordWrap w:val="0"/>
              <w:ind w:left="420" w:firstLine="0" w:firstLineChars="0"/>
              <w:jc w:val="center"/>
              <w:rPr>
                <w:rFonts w:ascii="宋体" w:hAnsi="宋体"/>
                <w:kern w:val="0"/>
                <w:sz w:val="24"/>
              </w:rPr>
            </w:pPr>
          </w:p>
        </w:tc>
        <w:tc>
          <w:tcPr>
            <w:tcW w:w="1365" w:type="dxa"/>
            <w:vMerge w:val="continue"/>
            <w:tcBorders>
              <w:left w:val="nil"/>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ascii="宋体" w:hAnsi="宋体"/>
                <w:kern w:val="0"/>
                <w:sz w:val="24"/>
              </w:rPr>
            </w:pP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wordWrap w:val="0"/>
              <w:rPr>
                <w:rFonts w:ascii="宋体" w:hAnsi="宋体"/>
                <w:kern w:val="0"/>
                <w:sz w:val="24"/>
              </w:rPr>
            </w:pPr>
            <w:r>
              <w:rPr>
                <w:rFonts w:hint="eastAsia" w:ascii="宋体" w:hAnsi="宋体"/>
                <w:kern w:val="0"/>
                <w:sz w:val="24"/>
              </w:rPr>
              <w:t>3.建议第二十八条【法律责任】增加一项“(十三)假联动、检查、调研之名强行要求市场主体加入，损害市场主体利益的行为。”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restart"/>
            <w:tcBorders>
              <w:top w:val="single" w:color="auto" w:sz="8" w:space="0"/>
              <w:left w:val="single" w:color="auto" w:sz="8" w:space="0"/>
              <w:right w:val="single" w:color="auto" w:sz="8" w:space="0"/>
            </w:tcBorders>
            <w:shd w:val="clear" w:color="auto" w:fill="auto"/>
            <w:noWrap w:val="0"/>
            <w:tcMar>
              <w:left w:w="108" w:type="dxa"/>
              <w:right w:w="108" w:type="dxa"/>
            </w:tcMar>
            <w:vAlign w:val="center"/>
          </w:tcPr>
          <w:p>
            <w:pPr>
              <w:pStyle w:val="8"/>
              <w:widowControl/>
              <w:numPr>
                <w:ilvl w:val="0"/>
                <w:numId w:val="1"/>
              </w:numPr>
              <w:wordWrap w:val="0"/>
              <w:ind w:firstLineChars="0"/>
              <w:jc w:val="center"/>
              <w:rPr>
                <w:rFonts w:ascii="宋体" w:hAnsi="宋体"/>
                <w:kern w:val="0"/>
                <w:sz w:val="24"/>
              </w:rPr>
            </w:pPr>
          </w:p>
        </w:tc>
        <w:tc>
          <w:tcPr>
            <w:tcW w:w="1365" w:type="dxa"/>
            <w:vMerge w:val="restart"/>
            <w:tcBorders>
              <w:top w:val="single" w:color="auto" w:sz="8" w:space="0"/>
              <w:left w:val="nil"/>
              <w:right w:val="single" w:color="auto" w:sz="8" w:space="0"/>
            </w:tcBorders>
            <w:shd w:val="clear" w:color="auto" w:fill="auto"/>
            <w:noWrap w:val="0"/>
            <w:tcMar>
              <w:left w:w="108" w:type="dxa"/>
              <w:right w:w="108" w:type="dxa"/>
            </w:tcMar>
            <w:vAlign w:val="center"/>
          </w:tcPr>
          <w:p>
            <w:pPr>
              <w:widowControl/>
              <w:wordWrap w:val="0"/>
              <w:jc w:val="center"/>
              <w:rPr>
                <w:rFonts w:ascii="宋体" w:hAnsi="宋体"/>
                <w:kern w:val="0"/>
                <w:sz w:val="24"/>
              </w:rPr>
            </w:pPr>
            <w:r>
              <w:rPr>
                <w:rFonts w:hint="eastAsia" w:ascii="宋体" w:hAnsi="宋体"/>
                <w:kern w:val="0"/>
                <w:sz w:val="24"/>
                <w:lang w:eastAsia="zh-CN"/>
              </w:rPr>
              <w:t>市民</w:t>
            </w: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left"/>
              <w:rPr>
                <w:rFonts w:ascii="宋体" w:hAnsi="宋体" w:cs="Verdana"/>
                <w:color w:val="000000"/>
                <w:sz w:val="24"/>
              </w:rPr>
            </w:pPr>
            <w:r>
              <w:rPr>
                <w:rFonts w:hint="eastAsia" w:ascii="宋体" w:hAnsi="宋体" w:cs="宋体"/>
                <w:color w:val="000000"/>
                <w:kern w:val="0"/>
                <w:sz w:val="24"/>
              </w:rPr>
              <w:t>一、关于第六条原文中的</w:t>
            </w:r>
            <w:r>
              <w:rPr>
                <w:rFonts w:ascii="宋体" w:hAnsi="宋体" w:cs="Verdana"/>
                <w:color w:val="000000"/>
                <w:kern w:val="0"/>
                <w:sz w:val="24"/>
              </w:rPr>
              <w:t>“</w:t>
            </w:r>
            <w:r>
              <w:rPr>
                <w:rFonts w:hint="eastAsia" w:ascii="宋体" w:hAnsi="宋体" w:cs="宋体"/>
                <w:color w:val="000000"/>
                <w:kern w:val="0"/>
                <w:sz w:val="24"/>
              </w:rPr>
              <w:t>享有同等待遇</w:t>
            </w:r>
            <w:r>
              <w:rPr>
                <w:rFonts w:ascii="宋体" w:hAnsi="宋体" w:cs="Verdana"/>
                <w:color w:val="000000"/>
                <w:kern w:val="0"/>
                <w:sz w:val="24"/>
              </w:rPr>
              <w:t>”</w:t>
            </w:r>
            <w:r>
              <w:rPr>
                <w:rFonts w:hint="eastAsia" w:ascii="宋体" w:hAnsi="宋体" w:cs="宋体"/>
                <w:color w:val="000000"/>
                <w:kern w:val="0"/>
                <w:sz w:val="24"/>
              </w:rPr>
              <w:t>，应改为</w:t>
            </w:r>
            <w:r>
              <w:rPr>
                <w:rFonts w:ascii="宋体" w:hAnsi="宋体" w:cs="Verdana"/>
                <w:color w:val="000000"/>
                <w:kern w:val="0"/>
                <w:sz w:val="24"/>
              </w:rPr>
              <w:t>“</w:t>
            </w:r>
            <w:r>
              <w:rPr>
                <w:rFonts w:hint="eastAsia" w:ascii="宋体" w:hAnsi="宋体" w:cs="宋体"/>
                <w:color w:val="000000"/>
                <w:kern w:val="0"/>
                <w:sz w:val="24"/>
              </w:rPr>
              <w:t>享有平等待遇</w:t>
            </w:r>
            <w:r>
              <w:rPr>
                <w:rFonts w:ascii="宋体" w:hAnsi="宋体" w:cs="Verdana"/>
                <w:color w:val="000000"/>
                <w:kern w:val="0"/>
                <w:sz w:val="24"/>
              </w:rPr>
              <w:t>”</w:t>
            </w:r>
            <w:r>
              <w:rPr>
                <w:rFonts w:hint="eastAsia" w:ascii="宋体" w:hAnsi="宋体" w:cs="宋体"/>
                <w:color w:val="000000"/>
                <w:kern w:val="0"/>
                <w:sz w:val="24"/>
              </w:rPr>
              <w:t>。个人认为，</w:t>
            </w:r>
            <w:r>
              <w:rPr>
                <w:rFonts w:ascii="宋体" w:hAnsi="宋体" w:cs="Verdana"/>
                <w:color w:val="000000"/>
                <w:kern w:val="0"/>
                <w:sz w:val="24"/>
              </w:rPr>
              <w:t>“</w:t>
            </w:r>
            <w:r>
              <w:rPr>
                <w:rFonts w:hint="eastAsia" w:ascii="宋体" w:hAnsi="宋体" w:cs="宋体"/>
                <w:color w:val="000000"/>
                <w:kern w:val="0"/>
                <w:sz w:val="24"/>
              </w:rPr>
              <w:t>平等</w:t>
            </w:r>
            <w:r>
              <w:rPr>
                <w:rFonts w:ascii="宋体" w:hAnsi="宋体" w:cs="Verdana"/>
                <w:color w:val="000000"/>
                <w:kern w:val="0"/>
                <w:sz w:val="24"/>
              </w:rPr>
              <w:t>”</w:t>
            </w:r>
            <w:r>
              <w:rPr>
                <w:rFonts w:hint="eastAsia" w:ascii="宋体" w:hAnsi="宋体" w:cs="宋体"/>
                <w:color w:val="000000"/>
                <w:kern w:val="0"/>
                <w:sz w:val="24"/>
              </w:rPr>
              <w:t>、</w:t>
            </w:r>
            <w:r>
              <w:rPr>
                <w:rFonts w:ascii="宋体" w:hAnsi="宋体" w:cs="Verdana"/>
                <w:color w:val="000000"/>
                <w:kern w:val="0"/>
                <w:sz w:val="24"/>
              </w:rPr>
              <w:t>“</w:t>
            </w:r>
            <w:r>
              <w:rPr>
                <w:rFonts w:hint="eastAsia" w:ascii="宋体" w:hAnsi="宋体" w:cs="宋体"/>
                <w:color w:val="000000"/>
                <w:kern w:val="0"/>
                <w:sz w:val="24"/>
              </w:rPr>
              <w:t>同等</w:t>
            </w:r>
            <w:r>
              <w:rPr>
                <w:rFonts w:ascii="宋体" w:hAnsi="宋体" w:cs="Verdana"/>
                <w:color w:val="000000"/>
                <w:kern w:val="0"/>
                <w:sz w:val="24"/>
              </w:rPr>
              <w:t>”</w:t>
            </w:r>
            <w:r>
              <w:rPr>
                <w:rFonts w:hint="eastAsia" w:ascii="宋体" w:hAnsi="宋体" w:cs="宋体"/>
                <w:color w:val="000000"/>
                <w:kern w:val="0"/>
                <w:sz w:val="24"/>
              </w:rPr>
              <w:t>、</w:t>
            </w:r>
            <w:r>
              <w:rPr>
                <w:rFonts w:ascii="宋体" w:hAnsi="宋体" w:cs="Verdana"/>
                <w:color w:val="000000"/>
                <w:kern w:val="0"/>
                <w:sz w:val="24"/>
              </w:rPr>
              <w:t>“</w:t>
            </w:r>
            <w:r>
              <w:rPr>
                <w:rFonts w:hint="eastAsia" w:ascii="宋体" w:hAnsi="宋体" w:cs="宋体"/>
                <w:color w:val="000000"/>
                <w:kern w:val="0"/>
                <w:sz w:val="24"/>
              </w:rPr>
              <w:t>对等</w:t>
            </w:r>
            <w:r>
              <w:rPr>
                <w:rFonts w:ascii="宋体" w:hAnsi="宋体" w:cs="Verdana"/>
                <w:color w:val="000000"/>
                <w:kern w:val="0"/>
                <w:sz w:val="24"/>
              </w:rPr>
              <w:t>”</w:t>
            </w:r>
            <w:r>
              <w:rPr>
                <w:rFonts w:hint="eastAsia" w:ascii="宋体" w:hAnsi="宋体" w:cs="宋体"/>
                <w:color w:val="000000"/>
                <w:kern w:val="0"/>
                <w:sz w:val="24"/>
              </w:rPr>
              <w:t>在法律用语上是有差别的，</w:t>
            </w:r>
            <w:r>
              <w:rPr>
                <w:rFonts w:ascii="宋体" w:hAnsi="宋体" w:cs="Verdana"/>
                <w:color w:val="000000"/>
                <w:kern w:val="0"/>
                <w:sz w:val="24"/>
              </w:rPr>
              <w:t>“</w:t>
            </w:r>
            <w:r>
              <w:rPr>
                <w:rFonts w:hint="eastAsia" w:ascii="宋体" w:hAnsi="宋体" w:cs="宋体"/>
                <w:color w:val="000000"/>
                <w:kern w:val="0"/>
                <w:sz w:val="24"/>
              </w:rPr>
              <w:t>同等</w:t>
            </w:r>
            <w:r>
              <w:rPr>
                <w:rFonts w:ascii="宋体" w:hAnsi="宋体" w:cs="Verdana"/>
                <w:color w:val="000000"/>
                <w:kern w:val="0"/>
                <w:sz w:val="24"/>
              </w:rPr>
              <w:t>”</w:t>
            </w:r>
            <w:r>
              <w:rPr>
                <w:rFonts w:hint="eastAsia" w:ascii="宋体" w:hAnsi="宋体" w:cs="宋体"/>
                <w:color w:val="000000"/>
                <w:kern w:val="0"/>
                <w:sz w:val="24"/>
              </w:rPr>
              <w:t>主要适用于外国商事主体在中国与中国商事主体</w:t>
            </w:r>
            <w:r>
              <w:rPr>
                <w:rFonts w:ascii="宋体" w:hAnsi="宋体" w:cs="Verdana"/>
                <w:color w:val="000000"/>
                <w:kern w:val="0"/>
                <w:sz w:val="24"/>
              </w:rPr>
              <w:t>“</w:t>
            </w:r>
            <w:r>
              <w:rPr>
                <w:rFonts w:hint="eastAsia" w:ascii="宋体" w:hAnsi="宋体" w:cs="宋体"/>
                <w:color w:val="000000"/>
                <w:kern w:val="0"/>
                <w:sz w:val="24"/>
              </w:rPr>
              <w:t>享有同等待遇</w:t>
            </w:r>
            <w:r>
              <w:rPr>
                <w:rFonts w:ascii="宋体" w:hAnsi="宋体" w:cs="Verdana"/>
                <w:color w:val="000000"/>
                <w:kern w:val="0"/>
                <w:sz w:val="24"/>
              </w:rPr>
              <w:t xml:space="preserve">” </w:t>
            </w:r>
            <w:r>
              <w:rPr>
                <w:rFonts w:hint="eastAsia" w:ascii="宋体" w:hAnsi="宋体" w:cs="宋体"/>
                <w:color w:val="000000"/>
                <w:kern w:val="0"/>
                <w:sz w:val="24"/>
              </w:rPr>
              <w:t>；</w:t>
            </w:r>
            <w:r>
              <w:rPr>
                <w:rFonts w:ascii="宋体" w:hAnsi="宋体" w:cs="Verdana"/>
                <w:color w:val="000000"/>
                <w:kern w:val="0"/>
                <w:sz w:val="24"/>
              </w:rPr>
              <w:t>“</w:t>
            </w:r>
            <w:r>
              <w:rPr>
                <w:rFonts w:hint="eastAsia" w:ascii="宋体" w:hAnsi="宋体" w:cs="宋体"/>
                <w:color w:val="000000"/>
                <w:kern w:val="0"/>
                <w:sz w:val="24"/>
              </w:rPr>
              <w:t>对等</w:t>
            </w:r>
            <w:r>
              <w:rPr>
                <w:rFonts w:ascii="宋体" w:hAnsi="宋体" w:cs="Verdana"/>
                <w:color w:val="000000"/>
                <w:kern w:val="0"/>
                <w:sz w:val="24"/>
              </w:rPr>
              <w:t>”</w:t>
            </w:r>
            <w:r>
              <w:rPr>
                <w:rFonts w:hint="eastAsia" w:ascii="宋体" w:hAnsi="宋体" w:cs="宋体"/>
                <w:color w:val="000000"/>
                <w:kern w:val="0"/>
                <w:sz w:val="24"/>
              </w:rPr>
              <w:t>又称</w:t>
            </w:r>
            <w:r>
              <w:rPr>
                <w:rFonts w:ascii="宋体" w:hAnsi="宋体" w:cs="Verdana"/>
                <w:color w:val="000000"/>
                <w:kern w:val="0"/>
                <w:sz w:val="24"/>
              </w:rPr>
              <w:t>“</w:t>
            </w:r>
            <w:r>
              <w:rPr>
                <w:rFonts w:hint="eastAsia" w:ascii="宋体" w:hAnsi="宋体" w:cs="宋体"/>
                <w:color w:val="000000"/>
                <w:kern w:val="0"/>
                <w:sz w:val="24"/>
              </w:rPr>
              <w:t>报复主义</w:t>
            </w:r>
            <w:r>
              <w:rPr>
                <w:rFonts w:ascii="宋体" w:hAnsi="宋体" w:cs="Verdana"/>
                <w:color w:val="000000"/>
                <w:kern w:val="0"/>
                <w:sz w:val="24"/>
              </w:rPr>
              <w:t>”</w:t>
            </w:r>
            <w:r>
              <w:rPr>
                <w:rFonts w:hint="eastAsia" w:ascii="宋体" w:hAnsi="宋体" w:cs="宋体"/>
                <w:color w:val="000000"/>
                <w:kern w:val="0"/>
                <w:sz w:val="24"/>
              </w:rPr>
              <w:t>，是中国商事主体在外国受到歧视性待遇，我国所采取的对等措施。</w:t>
            </w:r>
          </w:p>
          <w:p>
            <w:pPr>
              <w:widowControl/>
              <w:jc w:val="left"/>
              <w:rPr>
                <w:rFonts w:ascii="宋体" w:hAnsi="宋体" w:cs="Verdana"/>
                <w:color w:val="000000"/>
                <w:sz w:val="24"/>
              </w:rPr>
            </w:pPr>
            <w:r>
              <w:rPr>
                <w:rFonts w:hint="eastAsia" w:ascii="宋体" w:hAnsi="宋体" w:cs="宋体"/>
                <w:color w:val="000000"/>
                <w:kern w:val="0"/>
                <w:sz w:val="24"/>
              </w:rPr>
              <w:t>另外，原文</w:t>
            </w:r>
            <w:r>
              <w:rPr>
                <w:rFonts w:ascii="宋体" w:hAnsi="宋体" w:cs="Verdana"/>
                <w:color w:val="000000"/>
                <w:kern w:val="0"/>
                <w:sz w:val="24"/>
              </w:rPr>
              <w:t>“</w:t>
            </w:r>
            <w:r>
              <w:rPr>
                <w:rFonts w:hint="eastAsia" w:ascii="宋体" w:hAnsi="宋体" w:cs="宋体"/>
                <w:color w:val="000000"/>
                <w:kern w:val="0"/>
                <w:sz w:val="24"/>
              </w:rPr>
              <w:t>不得限制外地商品、服务进入本地市场；</w:t>
            </w:r>
            <w:r>
              <w:rPr>
                <w:rFonts w:ascii="宋体" w:hAnsi="宋体" w:cs="Verdana"/>
                <w:color w:val="000000"/>
                <w:kern w:val="0"/>
                <w:sz w:val="24"/>
              </w:rPr>
              <w:t>”</w:t>
            </w:r>
            <w:r>
              <w:rPr>
                <w:rFonts w:hint="eastAsia" w:ascii="宋体" w:hAnsi="宋体" w:cs="宋体"/>
                <w:color w:val="000000"/>
                <w:kern w:val="0"/>
                <w:sz w:val="24"/>
              </w:rPr>
              <w:t>，其中分号</w:t>
            </w:r>
            <w:r>
              <w:rPr>
                <w:rFonts w:ascii="宋体" w:hAnsi="宋体" w:cs="Verdana"/>
                <w:color w:val="000000"/>
                <w:kern w:val="0"/>
                <w:sz w:val="24"/>
              </w:rPr>
              <w:t>“</w:t>
            </w:r>
            <w:r>
              <w:rPr>
                <w:rFonts w:hint="eastAsia" w:ascii="宋体" w:hAnsi="宋体" w:cs="宋体"/>
                <w:color w:val="000000"/>
                <w:kern w:val="0"/>
                <w:sz w:val="24"/>
              </w:rPr>
              <w:t>；</w:t>
            </w:r>
            <w:r>
              <w:rPr>
                <w:rFonts w:ascii="宋体" w:hAnsi="宋体" w:cs="Verdana"/>
                <w:color w:val="000000"/>
                <w:kern w:val="0"/>
                <w:sz w:val="24"/>
              </w:rPr>
              <w:t>”</w:t>
            </w:r>
            <w:r>
              <w:rPr>
                <w:rFonts w:hint="eastAsia" w:ascii="宋体" w:hAnsi="宋体" w:cs="宋体"/>
                <w:color w:val="000000"/>
                <w:kern w:val="0"/>
                <w:sz w:val="24"/>
              </w:rPr>
              <w:t>应改为句号</w:t>
            </w:r>
            <w:r>
              <w:rPr>
                <w:rFonts w:ascii="宋体" w:hAnsi="宋体" w:cs="Verdana"/>
                <w:color w:val="000000"/>
                <w:kern w:val="0"/>
                <w:sz w:val="24"/>
              </w:rPr>
              <w:t>“</w:t>
            </w:r>
            <w:r>
              <w:rPr>
                <w:rFonts w:hint="eastAsia" w:ascii="宋体" w:hAnsi="宋体" w:cs="宋体"/>
                <w:color w:val="000000"/>
                <w:kern w:val="0"/>
                <w:sz w:val="24"/>
              </w:rPr>
              <w:t>。</w:t>
            </w:r>
            <w:r>
              <w:rPr>
                <w:rFonts w:ascii="宋体" w:hAnsi="宋体" w:cs="Verdana"/>
                <w:color w:val="000000"/>
                <w:kern w:val="0"/>
                <w:sz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continue"/>
            <w:tcBorders>
              <w:left w:val="single" w:color="auto" w:sz="8" w:space="0"/>
              <w:right w:val="single" w:color="auto" w:sz="8" w:space="0"/>
            </w:tcBorders>
            <w:shd w:val="clear" w:color="auto" w:fill="auto"/>
            <w:noWrap w:val="0"/>
            <w:tcMar>
              <w:left w:w="108" w:type="dxa"/>
              <w:right w:w="108" w:type="dxa"/>
            </w:tcMar>
            <w:vAlign w:val="center"/>
          </w:tcPr>
          <w:p>
            <w:pPr>
              <w:pStyle w:val="8"/>
              <w:widowControl/>
              <w:wordWrap w:val="0"/>
              <w:ind w:left="420" w:firstLine="0" w:firstLineChars="0"/>
              <w:jc w:val="center"/>
              <w:rPr>
                <w:rFonts w:ascii="宋体" w:hAnsi="宋体"/>
                <w:kern w:val="0"/>
                <w:sz w:val="24"/>
              </w:rPr>
            </w:pPr>
          </w:p>
        </w:tc>
        <w:tc>
          <w:tcPr>
            <w:tcW w:w="1365" w:type="dxa"/>
            <w:vMerge w:val="continue"/>
            <w:tcBorders>
              <w:left w:val="nil"/>
              <w:right w:val="single" w:color="auto" w:sz="8" w:space="0"/>
            </w:tcBorders>
            <w:shd w:val="clear" w:color="auto" w:fill="auto"/>
            <w:noWrap w:val="0"/>
            <w:tcMar>
              <w:left w:w="108" w:type="dxa"/>
              <w:right w:w="108" w:type="dxa"/>
            </w:tcMar>
            <w:vAlign w:val="center"/>
          </w:tcPr>
          <w:p>
            <w:pPr>
              <w:widowControl/>
              <w:wordWrap w:val="0"/>
              <w:jc w:val="center"/>
              <w:rPr>
                <w:rFonts w:ascii="宋体" w:hAnsi="宋体" w:cs="Verdana"/>
                <w:color w:val="000000"/>
                <w:kern w:val="0"/>
                <w:sz w:val="24"/>
              </w:rPr>
            </w:pP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二、第十三条原文</w:t>
            </w:r>
            <w:r>
              <w:rPr>
                <w:rFonts w:ascii="宋体" w:hAnsi="宋体" w:cs="Verdana"/>
                <w:color w:val="000000"/>
                <w:kern w:val="0"/>
                <w:sz w:val="24"/>
              </w:rPr>
              <w:t>“</w:t>
            </w:r>
            <w:r>
              <w:rPr>
                <w:rFonts w:hint="eastAsia" w:ascii="宋体" w:hAnsi="宋体" w:cs="宋体"/>
                <w:color w:val="000000"/>
                <w:kern w:val="0"/>
                <w:sz w:val="24"/>
              </w:rPr>
              <w:t>建立地方财政扶持中小微企业发展机制</w:t>
            </w:r>
            <w:r>
              <w:rPr>
                <w:rFonts w:ascii="宋体" w:hAnsi="宋体" w:cs="Verdana"/>
                <w:color w:val="000000"/>
                <w:kern w:val="0"/>
                <w:sz w:val="24"/>
              </w:rPr>
              <w:t>”</w:t>
            </w:r>
            <w:r>
              <w:rPr>
                <w:rFonts w:hint="eastAsia" w:ascii="宋体" w:hAnsi="宋体" w:cs="宋体"/>
                <w:color w:val="000000"/>
                <w:kern w:val="0"/>
                <w:sz w:val="24"/>
              </w:rPr>
              <w:t>与</w:t>
            </w:r>
            <w:r>
              <w:rPr>
                <w:rFonts w:ascii="宋体" w:hAnsi="宋体" w:cs="Verdana"/>
                <w:color w:val="000000"/>
                <w:kern w:val="0"/>
                <w:sz w:val="24"/>
              </w:rPr>
              <w:t>“</w:t>
            </w:r>
            <w:r>
              <w:rPr>
                <w:rFonts w:hint="eastAsia" w:ascii="宋体" w:hAnsi="宋体" w:cs="宋体"/>
                <w:color w:val="000000"/>
                <w:kern w:val="0"/>
                <w:sz w:val="24"/>
              </w:rPr>
              <w:t>以贷款风险补偿、融资担保等</w:t>
            </w:r>
            <w:r>
              <w:rPr>
                <w:rFonts w:ascii="宋体" w:hAnsi="宋体" w:cs="Verdana"/>
                <w:color w:val="000000"/>
                <w:kern w:val="0"/>
                <w:sz w:val="24"/>
              </w:rPr>
              <w:t>”</w:t>
            </w:r>
            <w:r>
              <w:rPr>
                <w:rFonts w:hint="eastAsia" w:ascii="宋体" w:hAnsi="宋体" w:cs="宋体"/>
                <w:color w:val="000000"/>
                <w:kern w:val="0"/>
                <w:sz w:val="24"/>
              </w:rPr>
              <w:t>之间，两句话之间使用的是英文逗号</w:t>
            </w:r>
            <w:r>
              <w:rPr>
                <w:rFonts w:ascii="宋体" w:hAnsi="宋体" w:cs="Verdana"/>
                <w:color w:val="000000"/>
                <w:kern w:val="0"/>
                <w:sz w:val="24"/>
              </w:rPr>
              <w:t>“,”</w:t>
            </w:r>
            <w:r>
              <w:rPr>
                <w:rFonts w:hint="eastAsia" w:ascii="宋体" w:hAnsi="宋体" w:cs="宋体"/>
                <w:color w:val="000000"/>
                <w:kern w:val="0"/>
                <w:sz w:val="24"/>
              </w:rPr>
              <w:t>，应使用中文逗号</w:t>
            </w:r>
            <w:r>
              <w:rPr>
                <w:rFonts w:ascii="宋体" w:hAnsi="宋体" w:cs="Verdana"/>
                <w:color w:val="000000"/>
                <w:kern w:val="0"/>
                <w:sz w:val="24"/>
              </w:rPr>
              <w:t>“</w:t>
            </w:r>
            <w:r>
              <w:rPr>
                <w:rFonts w:hint="eastAsia" w:ascii="宋体" w:hAnsi="宋体" w:cs="宋体"/>
                <w:color w:val="000000"/>
                <w:kern w:val="0"/>
                <w:sz w:val="24"/>
              </w:rPr>
              <w:t>，</w:t>
            </w:r>
            <w:r>
              <w:rPr>
                <w:rFonts w:ascii="宋体" w:hAnsi="宋体" w:cs="Verdana"/>
                <w:color w:val="000000"/>
                <w:kern w:val="0"/>
                <w:sz w:val="24"/>
              </w:rPr>
              <w:t>”</w:t>
            </w:r>
            <w:r>
              <w:rPr>
                <w:rFonts w:hint="eastAsia" w:ascii="宋体" w:hAnsi="宋体" w:cs="宋体"/>
                <w:color w:val="000000"/>
                <w:kern w:val="0"/>
                <w:sz w:val="24"/>
              </w:rPr>
              <w:t>，两者之间还是有细微差别的。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continue"/>
            <w:tcBorders>
              <w:left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ascii="宋体" w:hAnsi="宋体"/>
                <w:kern w:val="0"/>
                <w:sz w:val="24"/>
              </w:rPr>
            </w:pPr>
          </w:p>
        </w:tc>
        <w:tc>
          <w:tcPr>
            <w:tcW w:w="1365" w:type="dxa"/>
            <w:vMerge w:val="continue"/>
            <w:tcBorders>
              <w:left w:val="nil"/>
              <w:right w:val="single" w:color="auto" w:sz="8" w:space="0"/>
            </w:tcBorders>
            <w:shd w:val="clear" w:color="auto" w:fill="auto"/>
            <w:noWrap w:val="0"/>
            <w:tcMar>
              <w:left w:w="108" w:type="dxa"/>
              <w:right w:w="108" w:type="dxa"/>
            </w:tcMar>
            <w:vAlign w:val="center"/>
          </w:tcPr>
          <w:p>
            <w:pPr>
              <w:widowControl/>
              <w:wordWrap w:val="0"/>
              <w:jc w:val="center"/>
              <w:rPr>
                <w:rFonts w:ascii="宋体" w:hAnsi="宋体" w:cs="Verdana"/>
                <w:color w:val="000000"/>
                <w:kern w:val="0"/>
                <w:sz w:val="24"/>
              </w:rPr>
            </w:pP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三、第二十一条原文</w:t>
            </w:r>
            <w:r>
              <w:rPr>
                <w:rFonts w:ascii="宋体" w:hAnsi="宋体" w:cs="Verdana"/>
                <w:color w:val="000000"/>
                <w:kern w:val="0"/>
                <w:sz w:val="24"/>
              </w:rPr>
              <w:t>“</w:t>
            </w:r>
            <w:r>
              <w:rPr>
                <w:rFonts w:hint="eastAsia" w:ascii="宋体" w:hAnsi="宋体" w:cs="宋体"/>
                <w:color w:val="000000"/>
                <w:kern w:val="0"/>
                <w:sz w:val="24"/>
              </w:rPr>
              <w:t>市场监管、交通运输</w:t>
            </w:r>
            <w:r>
              <w:rPr>
                <w:rFonts w:ascii="宋体" w:hAnsi="宋体" w:cs="Verdana"/>
                <w:color w:val="000000"/>
                <w:kern w:val="0"/>
                <w:sz w:val="24"/>
              </w:rPr>
              <w:t>......</w:t>
            </w:r>
            <w:r>
              <w:rPr>
                <w:rFonts w:hint="eastAsia" w:ascii="宋体" w:hAnsi="宋体" w:cs="宋体"/>
                <w:color w:val="000000"/>
                <w:kern w:val="0"/>
                <w:sz w:val="24"/>
              </w:rPr>
              <w:t>等领域实行监管过程中随机抽取检查对象，随机选派检查人员、抽查检查结果并及时向社会公开</w:t>
            </w:r>
            <w:r>
              <w:rPr>
                <w:rFonts w:ascii="宋体" w:hAnsi="宋体" w:cs="Verdana"/>
                <w:color w:val="000000"/>
                <w:kern w:val="0"/>
                <w:sz w:val="24"/>
              </w:rPr>
              <w:t>”</w:t>
            </w:r>
            <w:r>
              <w:rPr>
                <w:rFonts w:hint="eastAsia" w:ascii="宋体" w:hAnsi="宋体" w:cs="宋体"/>
                <w:color w:val="000000"/>
                <w:kern w:val="0"/>
                <w:sz w:val="24"/>
              </w:rPr>
              <w:t>，应修改为</w:t>
            </w:r>
            <w:r>
              <w:rPr>
                <w:rFonts w:ascii="宋体" w:hAnsi="宋体" w:cs="Verdana"/>
                <w:color w:val="000000"/>
                <w:kern w:val="0"/>
                <w:sz w:val="24"/>
              </w:rPr>
              <w:t>“</w:t>
            </w:r>
            <w:r>
              <w:rPr>
                <w:rFonts w:hint="eastAsia" w:ascii="宋体" w:hAnsi="宋体" w:cs="宋体"/>
                <w:color w:val="000000"/>
                <w:kern w:val="0"/>
                <w:sz w:val="24"/>
              </w:rPr>
              <w:t>市场监管、交通运输</w:t>
            </w:r>
            <w:r>
              <w:rPr>
                <w:rFonts w:ascii="宋体" w:hAnsi="宋体" w:cs="Verdana"/>
                <w:color w:val="000000"/>
                <w:kern w:val="0"/>
                <w:sz w:val="24"/>
              </w:rPr>
              <w:t>......</w:t>
            </w:r>
            <w:r>
              <w:rPr>
                <w:rFonts w:hint="eastAsia" w:ascii="宋体" w:hAnsi="宋体" w:cs="宋体"/>
                <w:color w:val="000000"/>
                <w:kern w:val="0"/>
                <w:sz w:val="24"/>
              </w:rPr>
              <w:t>等领域实行监管过程中随机抽取检查对象，随机选派执法检查人员，抽查情况及查处结果及时向社会公开</w:t>
            </w:r>
            <w:r>
              <w:rPr>
                <w:rFonts w:ascii="宋体" w:hAnsi="宋体" w:cs="Verdana"/>
                <w:color w:val="000000"/>
                <w:kern w:val="0"/>
                <w:sz w:val="24"/>
              </w:rPr>
              <w:t>”</w:t>
            </w:r>
            <w:r>
              <w:rPr>
                <w:rFonts w:hint="eastAsia" w:ascii="宋体" w:hAnsi="宋体" w:cs="宋体"/>
                <w:color w:val="000000"/>
                <w:kern w:val="0"/>
                <w:sz w:val="24"/>
              </w:rPr>
              <w:t>，原语句的语意不通顺，并且没有严格按照</w:t>
            </w:r>
            <w:r>
              <w:rPr>
                <w:rFonts w:ascii="宋体" w:hAnsi="宋体" w:cs="Verdana"/>
                <w:color w:val="000000"/>
                <w:kern w:val="0"/>
                <w:sz w:val="24"/>
              </w:rPr>
              <w:t>“</w:t>
            </w:r>
            <w:r>
              <w:rPr>
                <w:rFonts w:hint="eastAsia" w:ascii="宋体" w:hAnsi="宋体" w:cs="宋体"/>
                <w:color w:val="000000"/>
                <w:kern w:val="0"/>
                <w:sz w:val="24"/>
              </w:rPr>
              <w:t>双随机</w:t>
            </w:r>
            <w:r>
              <w:rPr>
                <w:rFonts w:hint="eastAsia" w:ascii="宋体" w:hAnsi="宋体" w:cs="宋体"/>
                <w:color w:val="000000"/>
                <w:kern w:val="0"/>
                <w:sz w:val="24"/>
                <w:lang w:eastAsia="zh-CN"/>
              </w:rPr>
              <w:t>、</w:t>
            </w:r>
            <w:r>
              <w:rPr>
                <w:rFonts w:hint="eastAsia" w:ascii="宋体" w:hAnsi="宋体" w:cs="宋体"/>
                <w:color w:val="000000"/>
                <w:kern w:val="0"/>
                <w:sz w:val="24"/>
              </w:rPr>
              <w:t>一公开</w:t>
            </w:r>
            <w:r>
              <w:rPr>
                <w:rFonts w:ascii="宋体" w:hAnsi="宋体" w:cs="Verdana"/>
                <w:color w:val="000000"/>
                <w:kern w:val="0"/>
                <w:sz w:val="24"/>
              </w:rPr>
              <w:t>”</w:t>
            </w:r>
            <w:r>
              <w:rPr>
                <w:rFonts w:hint="eastAsia" w:ascii="宋体" w:hAnsi="宋体" w:cs="宋体"/>
                <w:color w:val="000000"/>
                <w:kern w:val="0"/>
                <w:sz w:val="24"/>
              </w:rPr>
              <w:t>的定义进行表述。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continue"/>
            <w:tcBorders>
              <w:left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ascii="宋体" w:hAnsi="宋体"/>
                <w:kern w:val="0"/>
                <w:sz w:val="24"/>
              </w:rPr>
            </w:pPr>
          </w:p>
        </w:tc>
        <w:tc>
          <w:tcPr>
            <w:tcW w:w="1365" w:type="dxa"/>
            <w:vMerge w:val="continue"/>
            <w:tcBorders>
              <w:left w:val="nil"/>
              <w:right w:val="single" w:color="auto" w:sz="8" w:space="0"/>
            </w:tcBorders>
            <w:shd w:val="clear" w:color="auto" w:fill="auto"/>
            <w:noWrap w:val="0"/>
            <w:tcMar>
              <w:left w:w="108" w:type="dxa"/>
              <w:right w:w="108" w:type="dxa"/>
            </w:tcMar>
            <w:vAlign w:val="center"/>
          </w:tcPr>
          <w:p>
            <w:pPr>
              <w:widowControl/>
              <w:wordWrap w:val="0"/>
              <w:jc w:val="center"/>
              <w:rPr>
                <w:rFonts w:ascii="宋体" w:hAnsi="宋体" w:cs="Verdana"/>
                <w:color w:val="000000"/>
                <w:kern w:val="0"/>
                <w:sz w:val="24"/>
              </w:rPr>
            </w:pP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left"/>
              <w:rPr>
                <w:rFonts w:ascii="宋体" w:hAnsi="宋体" w:cs="Verdana"/>
                <w:color w:val="000000"/>
                <w:sz w:val="24"/>
              </w:rPr>
            </w:pPr>
            <w:r>
              <w:rPr>
                <w:rFonts w:hint="eastAsia" w:ascii="宋体" w:hAnsi="宋体" w:cs="宋体"/>
                <w:color w:val="000000"/>
                <w:kern w:val="0"/>
                <w:sz w:val="24"/>
              </w:rPr>
              <w:t>四、第二十四条中的</w:t>
            </w:r>
            <w:r>
              <w:rPr>
                <w:rFonts w:ascii="宋体" w:hAnsi="宋体" w:cs="Verdana"/>
                <w:color w:val="000000"/>
                <w:kern w:val="0"/>
                <w:sz w:val="24"/>
              </w:rPr>
              <w:t>“</w:t>
            </w:r>
            <w:r>
              <w:rPr>
                <w:rFonts w:hint="eastAsia" w:ascii="宋体" w:hAnsi="宋体" w:cs="宋体"/>
                <w:color w:val="000000"/>
                <w:kern w:val="0"/>
                <w:sz w:val="24"/>
              </w:rPr>
              <w:t>依法查处侵犯企业商标、专利、商业秘密等知识产权以及损害企业商业信誉、商业声誉的违法行为</w:t>
            </w:r>
            <w:r>
              <w:rPr>
                <w:rFonts w:ascii="宋体" w:hAnsi="宋体" w:cs="Verdana"/>
                <w:color w:val="000000"/>
                <w:kern w:val="0"/>
                <w:sz w:val="24"/>
              </w:rPr>
              <w:t>”</w:t>
            </w:r>
            <w:r>
              <w:rPr>
                <w:rFonts w:hint="eastAsia" w:ascii="宋体" w:hAnsi="宋体" w:cs="宋体"/>
                <w:color w:val="000000"/>
                <w:kern w:val="0"/>
                <w:sz w:val="24"/>
              </w:rPr>
              <w:t>，应修改为</w:t>
            </w:r>
            <w:r>
              <w:rPr>
                <w:rFonts w:ascii="宋体" w:hAnsi="宋体" w:cs="Verdana"/>
                <w:color w:val="000000"/>
                <w:kern w:val="0"/>
                <w:sz w:val="24"/>
              </w:rPr>
              <w:t>“</w:t>
            </w:r>
            <w:r>
              <w:rPr>
                <w:rFonts w:hint="eastAsia" w:ascii="宋体" w:hAnsi="宋体" w:cs="宋体"/>
                <w:color w:val="000000"/>
                <w:kern w:val="0"/>
                <w:sz w:val="24"/>
              </w:rPr>
              <w:t>依法查处侵犯企业商标、专利等知识产权，侵犯企业商业秘密以及损害企业商业信誉、商业声誉的违法行为</w:t>
            </w:r>
            <w:r>
              <w:rPr>
                <w:rFonts w:ascii="宋体" w:hAnsi="宋体" w:cs="Verdana"/>
                <w:color w:val="000000"/>
                <w:kern w:val="0"/>
                <w:sz w:val="24"/>
              </w:rPr>
              <w:t>”</w:t>
            </w:r>
            <w:r>
              <w:rPr>
                <w:rFonts w:hint="eastAsia" w:ascii="宋体" w:hAnsi="宋体" w:cs="宋体"/>
                <w:color w:val="000000"/>
                <w:kern w:val="0"/>
                <w:sz w:val="24"/>
              </w:rPr>
              <w:t>。</w:t>
            </w:r>
            <w:r>
              <w:rPr>
                <w:rFonts w:hint="eastAsia" w:ascii="宋体" w:hAnsi="宋体" w:cs="宋体"/>
                <w:b/>
                <w:color w:val="000000"/>
                <w:kern w:val="0"/>
                <w:sz w:val="24"/>
              </w:rPr>
              <w:t>企业商业秘密不属于知识产权</w:t>
            </w:r>
            <w:r>
              <w:rPr>
                <w:rFonts w:hint="eastAsia" w:ascii="宋体" w:hAnsi="宋体" w:cs="宋体"/>
                <w:color w:val="000000"/>
                <w:kern w:val="0"/>
                <w:sz w:val="24"/>
              </w:rPr>
              <w:t>。</w:t>
            </w:r>
          </w:p>
          <w:p>
            <w:pPr>
              <w:widowControl/>
              <w:jc w:val="left"/>
              <w:rPr>
                <w:rFonts w:ascii="宋体" w:hAnsi="宋体" w:cs="宋体"/>
                <w:color w:val="000000"/>
                <w:kern w:val="0"/>
                <w:sz w:val="24"/>
              </w:rPr>
            </w:pPr>
            <w:r>
              <w:rPr>
                <w:rFonts w:ascii="宋体" w:hAnsi="宋体" w:cs="Verdana"/>
                <w:color w:val="000000"/>
                <w:kern w:val="0"/>
                <w:sz w:val="24"/>
              </w:rPr>
              <w:t> </w:t>
            </w:r>
            <w:r>
              <w:rPr>
                <w:rFonts w:hint="eastAsia" w:ascii="宋体" w:hAnsi="宋体" w:cs="宋体"/>
                <w:color w:val="000000"/>
                <w:kern w:val="0"/>
                <w:sz w:val="24"/>
              </w:rPr>
              <w:t>另外，本条原文</w:t>
            </w:r>
            <w:r>
              <w:rPr>
                <w:rFonts w:ascii="宋体" w:hAnsi="宋体" w:cs="Verdana"/>
                <w:color w:val="000000"/>
                <w:kern w:val="0"/>
                <w:sz w:val="24"/>
              </w:rPr>
              <w:t>“</w:t>
            </w:r>
            <w:r>
              <w:rPr>
                <w:rFonts w:hint="eastAsia" w:ascii="宋体" w:hAnsi="宋体" w:cs="宋体"/>
                <w:color w:val="000000"/>
                <w:kern w:val="0"/>
                <w:sz w:val="24"/>
              </w:rPr>
              <w:t>依法采取查封、扣押、冻结措施处置涉案财物的，应当开具清单收据和送达法律文书，在法定期限内作出处理决定，并在结案后及时解封、解冻非涉案财物</w:t>
            </w:r>
            <w:r>
              <w:rPr>
                <w:rFonts w:ascii="宋体" w:hAnsi="宋体" w:cs="Verdana"/>
                <w:color w:val="000000"/>
                <w:kern w:val="0"/>
                <w:sz w:val="24"/>
              </w:rPr>
              <w:t>”</w:t>
            </w:r>
            <w:r>
              <w:rPr>
                <w:rFonts w:hint="eastAsia" w:ascii="宋体" w:hAnsi="宋体" w:cs="宋体"/>
                <w:color w:val="000000"/>
                <w:kern w:val="0"/>
                <w:sz w:val="24"/>
              </w:rPr>
              <w:t>，于法律规定不符合。根据《行政强制法》第二十三条，查封、扣押限于涉案财物，不得查封、扣押与违法行为无关的财物。此处应修改为</w:t>
            </w:r>
            <w:r>
              <w:rPr>
                <w:rFonts w:ascii="宋体" w:hAnsi="宋体" w:cs="Verdana"/>
                <w:color w:val="000000"/>
                <w:kern w:val="0"/>
                <w:sz w:val="24"/>
              </w:rPr>
              <w:t>“</w:t>
            </w:r>
            <w:r>
              <w:rPr>
                <w:rFonts w:hint="eastAsia" w:ascii="宋体" w:hAnsi="宋体" w:cs="宋体"/>
                <w:color w:val="000000"/>
                <w:kern w:val="0"/>
                <w:sz w:val="24"/>
              </w:rPr>
              <w:t>依法采取查封、扣押、冻结措施处置涉案财物的，应当开具清单收据和送达法律文书，在法定期限内作出处理决定，对于依法决定解除查封、扣押、冻结措施的应及时解除</w:t>
            </w:r>
            <w:r>
              <w:rPr>
                <w:rFonts w:ascii="宋体" w:hAnsi="宋体" w:cs="Verdana"/>
                <w:color w:val="000000"/>
                <w:kern w:val="0"/>
                <w:sz w:val="24"/>
              </w:rPr>
              <w:t>”</w:t>
            </w:r>
            <w:r>
              <w:rPr>
                <w:rFonts w:hint="eastAsia" w:ascii="宋体" w:hAnsi="宋体" w:cs="宋体"/>
                <w:color w:val="000000"/>
                <w:kern w:val="0"/>
                <w:sz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continue"/>
            <w:tcBorders>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ascii="宋体" w:hAnsi="宋体"/>
                <w:kern w:val="0"/>
                <w:sz w:val="24"/>
              </w:rPr>
            </w:pPr>
          </w:p>
        </w:tc>
        <w:tc>
          <w:tcPr>
            <w:tcW w:w="1365" w:type="dxa"/>
            <w:vMerge w:val="continue"/>
            <w:tcBorders>
              <w:left w:val="nil"/>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ascii="宋体" w:hAnsi="宋体" w:cs="Verdana"/>
                <w:color w:val="000000"/>
                <w:kern w:val="0"/>
                <w:sz w:val="24"/>
              </w:rPr>
            </w:pP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五、第二十八条和第二十九条都标明</w:t>
            </w:r>
            <w:r>
              <w:rPr>
                <w:rFonts w:ascii="宋体" w:hAnsi="宋体" w:cs="Verdana"/>
                <w:color w:val="000000"/>
                <w:kern w:val="0"/>
                <w:sz w:val="24"/>
              </w:rPr>
              <w:t>“</w:t>
            </w:r>
            <w:r>
              <w:rPr>
                <w:rFonts w:hint="eastAsia" w:ascii="宋体" w:hAnsi="宋体" w:cs="宋体"/>
                <w:color w:val="000000"/>
                <w:kern w:val="0"/>
                <w:sz w:val="24"/>
              </w:rPr>
              <w:t>法律责任</w:t>
            </w:r>
            <w:r>
              <w:rPr>
                <w:rFonts w:ascii="宋体" w:hAnsi="宋体" w:cs="Verdana"/>
                <w:color w:val="000000"/>
                <w:kern w:val="0"/>
                <w:sz w:val="24"/>
              </w:rPr>
              <w:t>”</w:t>
            </w:r>
            <w:r>
              <w:rPr>
                <w:rFonts w:hint="eastAsia" w:ascii="宋体" w:hAnsi="宋体" w:cs="宋体"/>
                <w:color w:val="000000"/>
                <w:kern w:val="0"/>
                <w:sz w:val="24"/>
              </w:rPr>
              <w:t>，出现了两处</w:t>
            </w:r>
            <w:r>
              <w:rPr>
                <w:rFonts w:ascii="宋体" w:hAnsi="宋体" w:cs="Verdana"/>
                <w:color w:val="000000"/>
                <w:kern w:val="0"/>
                <w:sz w:val="24"/>
              </w:rPr>
              <w:t>“</w:t>
            </w:r>
            <w:r>
              <w:rPr>
                <w:rFonts w:hint="eastAsia" w:ascii="宋体" w:hAnsi="宋体" w:cs="宋体"/>
                <w:color w:val="000000"/>
                <w:kern w:val="0"/>
                <w:sz w:val="24"/>
              </w:rPr>
              <w:t>法律责任</w:t>
            </w:r>
            <w:r>
              <w:rPr>
                <w:rFonts w:ascii="宋体" w:hAnsi="宋体" w:cs="Verdana"/>
                <w:color w:val="000000"/>
                <w:kern w:val="0"/>
                <w:sz w:val="24"/>
              </w:rPr>
              <w:t>”</w:t>
            </w:r>
            <w:r>
              <w:rPr>
                <w:rFonts w:hint="eastAsia" w:ascii="宋体" w:hAnsi="宋体" w:cs="宋体"/>
                <w:color w:val="000000"/>
                <w:kern w:val="0"/>
                <w:sz w:val="24"/>
              </w:rPr>
              <w:t>，一般法律法规和规范性文件不进行这样的技术处理。两处</w:t>
            </w:r>
            <w:r>
              <w:rPr>
                <w:rFonts w:ascii="宋体" w:hAnsi="宋体" w:cs="Verdana"/>
                <w:color w:val="000000"/>
                <w:kern w:val="0"/>
                <w:sz w:val="24"/>
              </w:rPr>
              <w:t>“</w:t>
            </w:r>
            <w:r>
              <w:rPr>
                <w:rFonts w:hint="eastAsia" w:ascii="宋体" w:hAnsi="宋体" w:cs="宋体"/>
                <w:color w:val="000000"/>
                <w:kern w:val="0"/>
                <w:sz w:val="24"/>
              </w:rPr>
              <w:t>法律责任</w:t>
            </w:r>
            <w:r>
              <w:rPr>
                <w:rFonts w:ascii="宋体" w:hAnsi="宋体" w:cs="Verdana"/>
                <w:color w:val="000000"/>
                <w:kern w:val="0"/>
                <w:sz w:val="24"/>
              </w:rPr>
              <w:t>”</w:t>
            </w:r>
            <w:r>
              <w:rPr>
                <w:rFonts w:hint="eastAsia" w:ascii="宋体" w:hAnsi="宋体" w:cs="宋体"/>
                <w:color w:val="000000"/>
                <w:kern w:val="0"/>
                <w:sz w:val="24"/>
              </w:rPr>
              <w:t>虽然内容不同，但可以将第二十九条的内容并入第二十八条，作为第二十八条第二款，同时将第三十条改为第二十九条。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restart"/>
            <w:tcBorders>
              <w:top w:val="single" w:color="auto" w:sz="8" w:space="0"/>
              <w:left w:val="single" w:color="auto" w:sz="8" w:space="0"/>
              <w:right w:val="single" w:color="auto" w:sz="8" w:space="0"/>
            </w:tcBorders>
            <w:shd w:val="clear" w:color="auto" w:fill="auto"/>
            <w:noWrap w:val="0"/>
            <w:tcMar>
              <w:left w:w="108" w:type="dxa"/>
              <w:right w:w="108" w:type="dxa"/>
            </w:tcMar>
            <w:vAlign w:val="center"/>
          </w:tcPr>
          <w:p>
            <w:pPr>
              <w:pStyle w:val="8"/>
              <w:widowControl/>
              <w:numPr>
                <w:ilvl w:val="0"/>
                <w:numId w:val="1"/>
              </w:numPr>
              <w:wordWrap w:val="0"/>
              <w:ind w:firstLineChars="0"/>
              <w:jc w:val="center"/>
              <w:rPr>
                <w:rFonts w:ascii="宋体" w:hAnsi="宋体"/>
                <w:kern w:val="0"/>
                <w:sz w:val="24"/>
              </w:rPr>
            </w:pPr>
          </w:p>
        </w:tc>
        <w:tc>
          <w:tcPr>
            <w:tcW w:w="1365" w:type="dxa"/>
            <w:vMerge w:val="restart"/>
            <w:tcBorders>
              <w:top w:val="single" w:color="auto" w:sz="8" w:space="0"/>
              <w:left w:val="nil"/>
              <w:right w:val="single" w:color="auto" w:sz="8" w:space="0"/>
            </w:tcBorders>
            <w:shd w:val="clear" w:color="auto" w:fill="auto"/>
            <w:noWrap w:val="0"/>
            <w:tcMar>
              <w:left w:w="108" w:type="dxa"/>
              <w:right w:w="108" w:type="dxa"/>
            </w:tcMar>
            <w:vAlign w:val="center"/>
          </w:tcPr>
          <w:p>
            <w:pPr>
              <w:widowControl/>
              <w:jc w:val="center"/>
              <w:rPr>
                <w:rFonts w:ascii="宋体" w:hAnsi="宋体" w:cs="微软雅黑"/>
                <w:color w:val="000000"/>
                <w:sz w:val="24"/>
              </w:rPr>
            </w:pPr>
            <w:r>
              <w:rPr>
                <w:rFonts w:hint="eastAsia" w:ascii="宋体" w:hAnsi="宋体"/>
                <w:kern w:val="0"/>
                <w:sz w:val="24"/>
                <w:lang w:eastAsia="zh-CN"/>
              </w:rPr>
              <w:t>市民</w:t>
            </w: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pStyle w:val="3"/>
              <w:widowControl/>
              <w:spacing w:beforeAutospacing="0" w:afterAutospacing="0"/>
              <w:jc w:val="both"/>
              <w:rPr>
                <w:rFonts w:ascii="宋体" w:hAnsi="宋体" w:cs="宋体"/>
                <w:color w:val="000000"/>
              </w:rPr>
            </w:pPr>
            <w:r>
              <w:rPr>
                <w:rFonts w:hint="eastAsia" w:ascii="宋体" w:hAnsi="宋体" w:cs="宋体"/>
                <w:color w:val="000000"/>
              </w:rPr>
              <w:t> 第十九条【信用建设】 市、区政府应当推进社会信用体系建设，完善</w:t>
            </w:r>
            <w:r>
              <w:rPr>
                <w:rFonts w:hint="eastAsia" w:ascii="宋体" w:hAnsi="宋体" w:cs="宋体"/>
                <w:b/>
                <w:color w:val="000000"/>
              </w:rPr>
              <w:t>各类市场主体信用档案</w:t>
            </w:r>
            <w:r>
              <w:rPr>
                <w:rFonts w:hint="eastAsia" w:ascii="宋体" w:hAnsi="宋体" w:cs="宋体"/>
                <w:color w:val="000000"/>
              </w:rPr>
              <w:t>，</w:t>
            </w:r>
            <w:r>
              <w:rPr>
                <w:rFonts w:hint="eastAsia" w:ascii="宋体" w:hAnsi="宋体" w:cs="宋体"/>
                <w:b/>
                <w:color w:val="000000"/>
              </w:rPr>
              <w:t>建立社会信用信息共享平台</w:t>
            </w:r>
            <w:r>
              <w:rPr>
                <w:rFonts w:hint="eastAsia" w:ascii="宋体" w:hAnsi="宋体" w:cs="宋体"/>
                <w:color w:val="000000"/>
              </w:rPr>
              <w:t>，加强信用信息征集、披露、使用和管理，并为市场主体提供信用信息</w:t>
            </w:r>
            <w:r>
              <w:rPr>
                <w:rFonts w:hint="eastAsia" w:ascii="宋体" w:hAnsi="宋体" w:cs="宋体"/>
                <w:b/>
                <w:color w:val="000000"/>
              </w:rPr>
              <w:t>查询</w:t>
            </w:r>
            <w:r>
              <w:rPr>
                <w:rFonts w:hint="eastAsia" w:ascii="宋体" w:hAnsi="宋体" w:cs="宋体"/>
                <w:color w:val="000000"/>
              </w:rPr>
              <w:t>服务。</w:t>
            </w:r>
          </w:p>
          <w:p>
            <w:pPr>
              <w:pStyle w:val="3"/>
              <w:widowControl/>
              <w:spacing w:beforeAutospacing="0" w:afterAutospacing="0"/>
              <w:jc w:val="both"/>
              <w:rPr>
                <w:rFonts w:ascii="宋体" w:hAnsi="宋体" w:cs="宋体"/>
                <w:color w:val="000000"/>
                <w:u w:val="single"/>
              </w:rPr>
            </w:pPr>
            <w:r>
              <w:rPr>
                <w:rFonts w:hint="eastAsia" w:ascii="宋体" w:hAnsi="宋体" w:cs="宋体"/>
                <w:color w:val="000000"/>
                <w:u w:val="single"/>
              </w:rPr>
              <w:t>注：社会信用平台是个新概念，应该是包括了公共信用平台和其它市场信用平台，也不仅仅是查询方式，还有批量使用，建议修改为“加强信用信息归集、共享、使用、管理和权益保护”，并为市场主体提供信用信息服务。</w:t>
            </w:r>
          </w:p>
          <w:p>
            <w:pPr>
              <w:pStyle w:val="3"/>
              <w:widowControl/>
              <w:spacing w:beforeAutospacing="0" w:afterAutospacing="0"/>
              <w:jc w:val="both"/>
              <w:rPr>
                <w:rFonts w:ascii="宋体" w:hAnsi="宋体" w:cs="宋体"/>
                <w:color w:val="000000"/>
              </w:rPr>
            </w:pPr>
          </w:p>
          <w:p>
            <w:pPr>
              <w:pStyle w:val="3"/>
              <w:widowControl/>
              <w:spacing w:beforeAutospacing="0" w:afterAutospacing="0"/>
              <w:jc w:val="both"/>
              <w:rPr>
                <w:rFonts w:ascii="宋体" w:hAnsi="宋体" w:cs="宋体"/>
                <w:color w:val="000000"/>
              </w:rPr>
            </w:pPr>
            <w:r>
              <w:rPr>
                <w:rFonts w:hint="eastAsia" w:ascii="宋体" w:hAnsi="宋体" w:cs="宋体"/>
                <w:color w:val="000000"/>
              </w:rPr>
              <w:t>有关主管部门应当建立信用信息采集目录，在办理注册登记、资质审核、市场准入、政府采购、招标投标、行政审批、公共服务和日常监管等过程中，全面记录市场主体信用行为，建立失信记录档案。</w:t>
            </w:r>
          </w:p>
          <w:p>
            <w:pPr>
              <w:pStyle w:val="3"/>
              <w:widowControl/>
              <w:spacing w:beforeAutospacing="0" w:afterAutospacing="0"/>
              <w:jc w:val="both"/>
              <w:rPr>
                <w:rFonts w:ascii="宋体" w:hAnsi="宋体" w:cs="宋体"/>
                <w:color w:val="000000"/>
                <w:u w:val="single"/>
              </w:rPr>
            </w:pPr>
            <w:r>
              <w:rPr>
                <w:rFonts w:hint="eastAsia" w:ascii="宋体" w:hAnsi="宋体" w:cs="宋体"/>
                <w:color w:val="000000"/>
                <w:u w:val="single"/>
              </w:rPr>
              <w:t>注：不是所有的信用行为，也不仅仅是失信档案，建议修改为“全面记录市场主体政务相关信用行为，建立政务相关信用记录档案”</w:t>
            </w:r>
          </w:p>
          <w:p>
            <w:pPr>
              <w:pStyle w:val="3"/>
              <w:widowControl/>
              <w:spacing w:beforeAutospacing="0" w:afterAutospacing="0"/>
              <w:jc w:val="both"/>
              <w:rPr>
                <w:rFonts w:ascii="宋体" w:hAnsi="宋体" w:cs="宋体"/>
                <w:color w:val="000000"/>
              </w:rPr>
            </w:pPr>
          </w:p>
          <w:p>
            <w:pPr>
              <w:pStyle w:val="3"/>
              <w:widowControl/>
              <w:spacing w:beforeAutospacing="0" w:afterAutospacing="0"/>
              <w:jc w:val="both"/>
              <w:rPr>
                <w:rFonts w:ascii="宋体" w:hAnsi="宋体" w:cs="宋体"/>
                <w:color w:val="000000"/>
              </w:rPr>
            </w:pPr>
            <w:r>
              <w:rPr>
                <w:rFonts w:hint="eastAsia" w:ascii="宋体" w:hAnsi="宋体" w:cs="宋体"/>
                <w:color w:val="000000"/>
              </w:rPr>
              <w:t>建立健全信用信息</w:t>
            </w:r>
            <w:r>
              <w:rPr>
                <w:rFonts w:hint="eastAsia" w:ascii="宋体" w:hAnsi="宋体" w:cs="宋体"/>
                <w:b/>
                <w:color w:val="000000"/>
              </w:rPr>
              <w:t>异议投诉制度</w:t>
            </w:r>
            <w:r>
              <w:rPr>
                <w:rFonts w:hint="eastAsia" w:ascii="宋体" w:hAnsi="宋体" w:cs="宋体"/>
                <w:color w:val="000000"/>
              </w:rPr>
              <w:t>，对市场主体提出异议的信息，信息提供和采集单位应当自收到异议之日起五个工作日内核实并反馈结果，经核实有误的信息应当在反馈之日起三个工作日内予以更正或撤销。失信联合惩戒错误导致市场主体合法权益受损害的，有关部门应当</w:t>
            </w:r>
            <w:r>
              <w:rPr>
                <w:rFonts w:hint="eastAsia" w:ascii="宋体" w:hAnsi="宋体" w:cs="宋体"/>
                <w:b/>
                <w:color w:val="000000"/>
              </w:rPr>
              <w:t>主动撤销并消除不良影响</w:t>
            </w:r>
            <w:r>
              <w:rPr>
                <w:rFonts w:hint="eastAsia" w:ascii="宋体" w:hAnsi="宋体" w:cs="宋体"/>
                <w:color w:val="000000"/>
              </w:rPr>
              <w:t>。</w:t>
            </w:r>
          </w:p>
          <w:p>
            <w:pPr>
              <w:pStyle w:val="3"/>
              <w:widowControl/>
              <w:spacing w:beforeAutospacing="0" w:afterAutospacing="0"/>
              <w:jc w:val="both"/>
              <w:rPr>
                <w:rFonts w:ascii="宋体" w:hAnsi="宋体" w:cs="宋体"/>
                <w:color w:val="000000"/>
                <w:u w:val="single"/>
              </w:rPr>
            </w:pPr>
            <w:r>
              <w:rPr>
                <w:rFonts w:hint="eastAsia" w:ascii="宋体" w:hAnsi="宋体" w:cs="宋体"/>
                <w:color w:val="000000"/>
                <w:u w:val="single"/>
              </w:rPr>
              <w:t>注：合法权益损害，对应的应该是赔偿，消除不良影响鬻赔偿损失是两个概念，写了赔偿这对于强化信用信息的正确与严谨十分必要。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vMerge w:val="continue"/>
            <w:tcBorders>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wordWrap w:val="0"/>
              <w:jc w:val="center"/>
              <w:rPr>
                <w:rFonts w:ascii="宋体" w:hAnsi="宋体"/>
                <w:kern w:val="0"/>
                <w:sz w:val="24"/>
              </w:rPr>
            </w:pPr>
          </w:p>
        </w:tc>
        <w:tc>
          <w:tcPr>
            <w:tcW w:w="1365" w:type="dxa"/>
            <w:vMerge w:val="continue"/>
            <w:tcBorders>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ascii="宋体" w:hAnsi="宋体" w:cs="微软雅黑"/>
                <w:color w:val="000000"/>
                <w:kern w:val="0"/>
                <w:sz w:val="24"/>
              </w:rPr>
            </w:pP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pStyle w:val="3"/>
              <w:widowControl/>
              <w:spacing w:beforeAutospacing="0" w:afterAutospacing="0"/>
              <w:jc w:val="both"/>
              <w:rPr>
                <w:rFonts w:ascii="宋体" w:hAnsi="宋体" w:cs="微软雅黑"/>
              </w:rPr>
            </w:pPr>
            <w:r>
              <w:rPr>
                <w:rFonts w:hint="eastAsia" w:ascii="宋体" w:hAnsi="宋体" w:cs="微软雅黑"/>
              </w:rPr>
              <w:t>第二十条【信用规范】除法律、法规、规章以外，其他规范性文件不得规定对市场主体进行信用约束的内容。</w:t>
            </w:r>
          </w:p>
          <w:p>
            <w:pPr>
              <w:pStyle w:val="3"/>
              <w:widowControl/>
              <w:spacing w:beforeAutospacing="0" w:afterAutospacing="0"/>
              <w:jc w:val="both"/>
              <w:rPr>
                <w:rFonts w:ascii="宋体" w:hAnsi="宋体" w:cs="宋体"/>
                <w:u w:val="single"/>
              </w:rPr>
            </w:pPr>
            <w:r>
              <w:rPr>
                <w:rFonts w:hint="eastAsia" w:ascii="宋体" w:hAnsi="宋体" w:cs="宋体"/>
                <w:b/>
                <w:u w:val="single"/>
              </w:rPr>
              <w:t>注：进一步明确了信用约束，尤其是行政惩戒的依据，也就意味着，没有法律法规和部门规章，是不能有任何行政惩戒的。这条规定具有示范效应。</w:t>
            </w:r>
          </w:p>
          <w:p>
            <w:pPr>
              <w:pStyle w:val="3"/>
              <w:widowControl/>
              <w:spacing w:beforeAutospacing="0" w:afterAutospacing="0"/>
              <w:jc w:val="both"/>
              <w:rPr>
                <w:rFonts w:ascii="宋体" w:hAnsi="宋体" w:cs="微软雅黑"/>
              </w:rPr>
            </w:pPr>
          </w:p>
          <w:p>
            <w:pPr>
              <w:pStyle w:val="3"/>
              <w:widowControl/>
              <w:spacing w:beforeAutospacing="0" w:afterAutospacing="0"/>
              <w:jc w:val="both"/>
              <w:rPr>
                <w:rFonts w:ascii="宋体" w:hAnsi="宋体" w:cs="微软雅黑"/>
              </w:rPr>
            </w:pPr>
            <w:r>
              <w:rPr>
                <w:rFonts w:hint="eastAsia" w:ascii="宋体" w:hAnsi="宋体" w:cs="微软雅黑"/>
              </w:rPr>
              <w:t>市场主体在</w:t>
            </w:r>
            <w:r>
              <w:rPr>
                <w:rStyle w:val="7"/>
                <w:rFonts w:hint="eastAsia" w:ascii="宋体" w:hAnsi="宋体" w:cs="微软雅黑"/>
              </w:rPr>
              <w:t>规定期限内纠正失信行为、消除不良影响</w:t>
            </w:r>
            <w:r>
              <w:rPr>
                <w:rFonts w:hint="eastAsia" w:ascii="宋体" w:hAnsi="宋体" w:cs="微软雅黑"/>
              </w:rPr>
              <w:t>的，可以通过</w:t>
            </w:r>
            <w:r>
              <w:rPr>
                <w:rStyle w:val="7"/>
                <w:rFonts w:hint="eastAsia" w:ascii="宋体" w:hAnsi="宋体" w:cs="微软雅黑"/>
              </w:rPr>
              <w:t>信用承诺、信用整改、信用核查、信用报告或者参加公益慈善活动</w:t>
            </w:r>
            <w:r>
              <w:rPr>
                <w:rFonts w:hint="eastAsia" w:ascii="宋体" w:hAnsi="宋体" w:cs="微软雅黑"/>
              </w:rPr>
              <w:t>等方式修复信用。完成信用修复的市场主体，信用惩戒部门应当及时公布其信用修复结果。</w:t>
            </w:r>
          </w:p>
          <w:p>
            <w:pPr>
              <w:pStyle w:val="3"/>
              <w:widowControl/>
              <w:spacing w:beforeAutospacing="0" w:afterAutospacing="0"/>
              <w:jc w:val="both"/>
              <w:rPr>
                <w:rFonts w:ascii="宋体" w:hAnsi="宋体" w:cs="微软雅黑"/>
              </w:rPr>
            </w:pPr>
            <w:r>
              <w:rPr>
                <w:rFonts w:hint="eastAsia" w:ascii="宋体" w:hAnsi="宋体" w:cs="宋体"/>
                <w:b/>
                <w:u w:val="single"/>
              </w:rPr>
              <w:t>注：信用惩戒部门很难理解，是失信认定单位、还是信用惩戒组织单位，或者是某类惩戒措施的具体实施单位，这里相当于赋予信用修复的处理权，目前各地处于探索阶段。建议修改为：信用惩戒组织单位应当及时公布其信用修复结果。信用修复内涵不充分，建议修改为“市场主体在规定期限内主动纠正失信行为、补偿失信损失、消除失信影响”；另外信用整改、信用核查比较模糊，而是主语是市场主体做的，建议修改为：可以通过信用承诺、失信谅解、信用培训、信用报告和公益慈善活动等信用惩戒组织单位认可的方式修复信</w:t>
            </w:r>
            <w:r>
              <w:rPr>
                <w:rFonts w:hint="eastAsia" w:ascii="宋体" w:hAnsi="宋体" w:cs="宋体"/>
                <w:u w:val="single"/>
              </w:rPr>
              <w:t>用</w:t>
            </w:r>
            <w:r>
              <w:rPr>
                <w:rFonts w:hint="eastAsia" w:ascii="宋体" w:hAnsi="宋体" w:cs="宋体"/>
                <w:b/>
                <w:u w:val="singl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9" w:type="dxa"/>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pStyle w:val="8"/>
              <w:widowControl/>
              <w:numPr>
                <w:ilvl w:val="0"/>
                <w:numId w:val="1"/>
              </w:numPr>
              <w:wordWrap w:val="0"/>
              <w:ind w:firstLineChars="0"/>
              <w:jc w:val="center"/>
              <w:rPr>
                <w:rFonts w:ascii="宋体" w:hAnsi="宋体"/>
                <w:kern w:val="0"/>
                <w:sz w:val="24"/>
              </w:rPr>
            </w:pPr>
          </w:p>
        </w:tc>
        <w:tc>
          <w:tcPr>
            <w:tcW w:w="136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ascii="宋体" w:hAnsi="宋体" w:cs="微软雅黑"/>
                <w:color w:val="000000"/>
                <w:kern w:val="0"/>
                <w:sz w:val="24"/>
              </w:rPr>
            </w:pPr>
            <w:r>
              <w:rPr>
                <w:rFonts w:hint="eastAsia" w:ascii="宋体" w:hAnsi="宋体"/>
                <w:kern w:val="0"/>
                <w:sz w:val="24"/>
                <w:lang w:eastAsia="zh-CN"/>
              </w:rPr>
              <w:t>市民</w:t>
            </w:r>
          </w:p>
        </w:tc>
        <w:tc>
          <w:tcPr>
            <w:tcW w:w="1173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pStyle w:val="3"/>
              <w:widowControl/>
              <w:jc w:val="both"/>
              <w:rPr>
                <w:rFonts w:ascii="宋体" w:hAnsi="宋体" w:cs="微软雅黑"/>
              </w:rPr>
            </w:pPr>
            <w:r>
              <w:rPr>
                <w:rFonts w:hint="eastAsia" w:ascii="宋体" w:hAnsi="宋体" w:cs="微软雅黑"/>
              </w:rPr>
              <w:t>我建议：政府部门制定相关政策方便个体户法人之间进行证件转移，或者新法人可以拿旧法人的相关材料去办理新的证件，只要经营场所，经营范围没有改变（由所在地街道办或者居委会出具）。要求新法人重新办理所有证件肯定耗时耗力，而且有时候不一定符合政策</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A810D0"/>
    <w:multiLevelType w:val="multilevel"/>
    <w:tmpl w:val="36A810D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E90CF7"/>
    <w:multiLevelType w:val="singleLevel"/>
    <w:tmpl w:val="37E90CF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xZGY0ZDY3MDUyOTVkNTExMjVlNzlmYmIyMjVlMWYifQ=="/>
  </w:docVars>
  <w:rsids>
    <w:rsidRoot w:val="69FE72E7"/>
    <w:rsid w:val="011C3CC9"/>
    <w:rsid w:val="055532CD"/>
    <w:rsid w:val="4084618A"/>
    <w:rsid w:val="48037F54"/>
    <w:rsid w:val="59B61373"/>
    <w:rsid w:val="5B2C5DDF"/>
    <w:rsid w:val="69FE72E7"/>
    <w:rsid w:val="7D1E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3640</Words>
  <Characters>3662</Characters>
  <Lines>0</Lines>
  <Paragraphs>0</Paragraphs>
  <TotalTime>0</TotalTime>
  <ScaleCrop>false</ScaleCrop>
  <LinksUpToDate>false</LinksUpToDate>
  <CharactersWithSpaces>3669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2019-09-16T01:33:00Z</dcterms:created>
  <dc:creator>好饭友</dc:creator>
  <cp:lastModifiedBy>阿营</cp:lastModifiedBy>
  <dcterms:modified xsi:type="dcterms:W3CDTF">2024-02-04T08:37:08Z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7EA76E93F94D440ABA15F17520F88B24_12</vt:lpwstr>
  </property>
</Properties>
</file>