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kinsoku w:val="0"/>
        <w:overflowPunct w:val="0"/>
        <w:autoSpaceDE w:val="0"/>
        <w:autoSpaceDN w:val="0"/>
        <w:adjustRightInd w:val="0"/>
        <w:snapToGrid w:val="0"/>
        <w:spacing w:line="560" w:lineRule="exact"/>
        <w:jc w:val="center"/>
        <w:rPr>
          <w:rFonts w:ascii="小标宋" w:hAnsi="小标宋" w:eastAsia="小标宋" w:cs="小标宋"/>
          <w:kern w:val="0"/>
          <w:sz w:val="44"/>
          <w:szCs w:val="44"/>
        </w:rPr>
      </w:pPr>
      <w:r>
        <w:rPr>
          <w:rFonts w:hint="eastAsia" w:ascii="小标宋" w:hAnsi="小标宋" w:eastAsia="小标宋" w:cs="小标宋"/>
          <w:kern w:val="0"/>
          <w:sz w:val="44"/>
          <w:szCs w:val="44"/>
        </w:rPr>
        <w:t>深  圳  市  人  民  政  府</w:t>
      </w:r>
    </w:p>
    <w:p>
      <w:pPr>
        <w:suppressAutoHyphens/>
        <w:kinsoku w:val="0"/>
        <w:overflowPunct w:val="0"/>
        <w:autoSpaceDE w:val="0"/>
        <w:autoSpaceDN w:val="0"/>
        <w:adjustRightInd w:val="0"/>
        <w:snapToGrid w:val="0"/>
        <w:spacing w:line="560" w:lineRule="exact"/>
        <w:jc w:val="center"/>
        <w:rPr>
          <w:rFonts w:ascii="小标宋" w:hAnsi="小标宋" w:eastAsia="小标宋" w:cs="小标宋"/>
          <w:kern w:val="0"/>
          <w:sz w:val="44"/>
          <w:szCs w:val="44"/>
        </w:rPr>
      </w:pPr>
      <w:r>
        <w:rPr>
          <w:rFonts w:hint="eastAsia" w:ascii="小标宋" w:hAnsi="小标宋" w:eastAsia="小标宋" w:cs="小标宋"/>
          <w:kern w:val="0"/>
          <w:sz w:val="44"/>
          <w:szCs w:val="44"/>
        </w:rPr>
        <w:t>行政复议决定书</w:t>
      </w:r>
    </w:p>
    <w:p>
      <w:pPr>
        <w:suppressAutoHyphens/>
        <w:kinsoku w:val="0"/>
        <w:overflowPunct w:val="0"/>
        <w:autoSpaceDE w:val="0"/>
        <w:autoSpaceDN w:val="0"/>
        <w:adjustRightInd w:val="0"/>
        <w:snapToGrid w:val="0"/>
        <w:spacing w:line="560" w:lineRule="exact"/>
        <w:jc w:val="right"/>
        <w:rPr>
          <w:rFonts w:hint="eastAsia" w:ascii="仿宋_GB2312" w:hAnsi="仿宋" w:eastAsia="仿宋_GB2312" w:cs="Times New Roman"/>
          <w:kern w:val="0"/>
          <w:sz w:val="32"/>
          <w:szCs w:val="32"/>
        </w:rPr>
      </w:pPr>
    </w:p>
    <w:p>
      <w:pPr>
        <w:suppressAutoHyphens/>
        <w:kinsoku w:val="0"/>
        <w:overflowPunct w:val="0"/>
        <w:autoSpaceDE w:val="0"/>
        <w:autoSpaceDN w:val="0"/>
        <w:adjustRightInd w:val="0"/>
        <w:snapToGrid w:val="0"/>
        <w:spacing w:line="560" w:lineRule="exact"/>
        <w:jc w:val="right"/>
        <w:rPr>
          <w:rFonts w:ascii="仿宋" w:hAnsi="仿宋" w:eastAsia="仿宋" w:cs="仿宋"/>
          <w:kern w:val="0"/>
          <w:sz w:val="32"/>
          <w:szCs w:val="32"/>
        </w:rPr>
      </w:pPr>
      <w:r>
        <w:rPr>
          <w:rFonts w:hint="eastAsia" w:ascii="仿宋" w:hAnsi="仿宋" w:eastAsia="仿宋" w:cs="仿宋"/>
          <w:kern w:val="0"/>
          <w:sz w:val="32"/>
          <w:szCs w:val="32"/>
        </w:rPr>
        <w:t>深府行复</w:t>
      </w:r>
      <w:bookmarkStart w:id="0" w:name="_Hlk30344586"/>
      <w:r>
        <w:rPr>
          <w:rFonts w:hint="eastAsia" w:ascii="仿宋" w:hAnsi="仿宋" w:eastAsia="仿宋" w:cs="仿宋"/>
          <w:kern w:val="0"/>
          <w:sz w:val="32"/>
          <w:szCs w:val="32"/>
        </w:rPr>
        <w:t>〔2022〕2353号</w:t>
      </w:r>
      <w:bookmarkEnd w:id="0"/>
    </w:p>
    <w:p>
      <w:pPr>
        <w:suppressAutoHyphens/>
        <w:kinsoku w:val="0"/>
        <w:overflowPunct w:val="0"/>
        <w:autoSpaceDE w:val="0"/>
        <w:autoSpaceDN w:val="0"/>
        <w:adjustRightInd w:val="0"/>
        <w:snapToGrid w:val="0"/>
        <w:spacing w:line="560" w:lineRule="exact"/>
        <w:jc w:val="right"/>
        <w:rPr>
          <w:rFonts w:hint="eastAsia" w:ascii="仿宋_GB2312" w:hAnsi="仿宋" w:eastAsia="仿宋_GB2312" w:cs="Times New Roman"/>
          <w:kern w:val="0"/>
          <w:sz w:val="32"/>
          <w:szCs w:val="32"/>
        </w:rPr>
      </w:pPr>
    </w:p>
    <w:p>
      <w:pPr>
        <w:suppressAutoHyphens/>
        <w:kinsoku w:val="0"/>
        <w:overflowPunct w:val="0"/>
        <w:autoSpaceDE w:val="0"/>
        <w:autoSpaceDN w:val="0"/>
        <w:adjustRightInd w:val="0"/>
        <w:snapToGrid w:val="0"/>
        <w:spacing w:line="560" w:lineRule="exact"/>
        <w:ind w:firstLine="640" w:firstLineChars="200"/>
        <w:rPr>
          <w:rFonts w:hint="eastAsia" w:ascii="仿宋" w:hAnsi="仿宋" w:eastAsia="仿宋" w:cs="仿宋"/>
          <w:kern w:val="0"/>
          <w:sz w:val="32"/>
          <w:szCs w:val="32"/>
          <w:lang w:eastAsia="zh-CN"/>
        </w:rPr>
      </w:pPr>
      <w:r>
        <w:rPr>
          <w:rFonts w:hint="eastAsia" w:ascii="黑体" w:hAnsi="黑体" w:eastAsia="黑体" w:cs="黑体"/>
          <w:bCs/>
          <w:color w:val="000000"/>
          <w:kern w:val="0"/>
          <w:sz w:val="32"/>
          <w:szCs w:val="32"/>
        </w:rPr>
        <w:t>申请人：</w:t>
      </w:r>
      <w:r>
        <w:rPr>
          <w:rFonts w:hint="eastAsia" w:ascii="仿宋" w:hAnsi="仿宋" w:eastAsia="仿宋" w:cs="仿宋"/>
          <w:bCs/>
          <w:color w:val="000000"/>
          <w:kern w:val="0"/>
          <w:sz w:val="32"/>
          <w:szCs w:val="32"/>
        </w:rPr>
        <w:t>李</w:t>
      </w:r>
      <w:r>
        <w:rPr>
          <w:rFonts w:hint="eastAsia" w:ascii="仿宋" w:hAnsi="仿宋" w:eastAsia="仿宋" w:cs="仿宋"/>
          <w:bCs/>
          <w:color w:val="000000"/>
          <w:kern w:val="0"/>
          <w:sz w:val="32"/>
          <w:szCs w:val="32"/>
          <w:lang w:eastAsia="zh-CN"/>
        </w:rPr>
        <w:t>某</w:t>
      </w: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黑体" w:hAnsi="黑体" w:eastAsia="黑体" w:cs="黑体"/>
          <w:bCs/>
          <w:color w:val="000000"/>
          <w:kern w:val="0"/>
          <w:sz w:val="32"/>
          <w:szCs w:val="32"/>
        </w:rPr>
        <w:t>被申请人：</w:t>
      </w:r>
      <w:r>
        <w:rPr>
          <w:rFonts w:hint="eastAsia" w:ascii="仿宋" w:hAnsi="仿宋" w:eastAsia="仿宋" w:cs="仿宋"/>
          <w:kern w:val="0"/>
          <w:sz w:val="32"/>
          <w:szCs w:val="32"/>
        </w:rPr>
        <w:t>深圳市市场监督管理局龙岗监管局</w:t>
      </w: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地址：深圳市龙岗区行政路8号</w:t>
      </w: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法定代表人：黄建洪</w:t>
      </w:r>
      <w:r>
        <w:rPr>
          <w:rFonts w:ascii="仿宋" w:hAnsi="仿宋" w:eastAsia="仿宋" w:cs="仿宋"/>
          <w:kern w:val="0"/>
          <w:sz w:val="32"/>
          <w:szCs w:val="32"/>
        </w:rPr>
        <w:t>,</w:t>
      </w:r>
      <w:r>
        <w:rPr>
          <w:rFonts w:hint="eastAsia" w:ascii="仿宋" w:hAnsi="仿宋" w:eastAsia="仿宋" w:cs="仿宋"/>
          <w:kern w:val="0"/>
          <w:sz w:val="32"/>
          <w:szCs w:val="32"/>
        </w:rPr>
        <w:t xml:space="preserve">局长 </w:t>
      </w:r>
    </w:p>
    <w:p>
      <w:pPr>
        <w:suppressAutoHyphens/>
        <w:kinsoku w:val="0"/>
        <w:overflowPunct w:val="0"/>
        <w:autoSpaceDE w:val="0"/>
        <w:autoSpaceDN w:val="0"/>
        <w:adjustRightInd w:val="0"/>
        <w:snapToGrid w:val="0"/>
        <w:spacing w:line="560" w:lineRule="exact"/>
        <w:rPr>
          <w:rFonts w:ascii="仿宋_GB2312" w:hAnsi="Times New Roman" w:eastAsia="仿宋_GB2312" w:cs="Times New Roman"/>
          <w:bCs/>
          <w:color w:val="000000"/>
          <w:kern w:val="0"/>
          <w:sz w:val="32"/>
          <w:szCs w:val="32"/>
        </w:rPr>
      </w:pP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申请人</w:t>
      </w:r>
      <w:bookmarkStart w:id="1" w:name="_Hlk19884197"/>
      <w:r>
        <w:rPr>
          <w:rFonts w:hint="eastAsia" w:ascii="仿宋" w:hAnsi="仿宋" w:eastAsia="仿宋" w:cs="仿宋"/>
          <w:kern w:val="0"/>
          <w:sz w:val="32"/>
          <w:szCs w:val="32"/>
        </w:rPr>
        <w:t>因不服被申请人对其关于深圳市××科技有限公司涉嫌销售违法产品“塑料吸管”的举报（</w:t>
      </w:r>
      <w:r>
        <w:rPr>
          <w:rFonts w:hint="default" w:ascii="仿宋" w:hAnsi="仿宋" w:eastAsia="仿宋" w:cs="仿宋"/>
          <w:kern w:val="0"/>
          <w:sz w:val="32"/>
          <w:szCs w:val="32"/>
        </w:rPr>
        <w:t>举报单编号：1440307002022052895679202</w:t>
      </w:r>
      <w:r>
        <w:rPr>
          <w:rFonts w:hint="eastAsia" w:ascii="仿宋" w:hAnsi="仿宋" w:eastAsia="仿宋" w:cs="仿宋"/>
          <w:kern w:val="0"/>
          <w:sz w:val="32"/>
          <w:szCs w:val="32"/>
        </w:rPr>
        <w:t>）作出的不予立案决定，</w:t>
      </w:r>
      <w:bookmarkEnd w:id="1"/>
      <w:r>
        <w:rPr>
          <w:rFonts w:hint="eastAsia" w:ascii="仿宋" w:hAnsi="仿宋" w:eastAsia="仿宋" w:cs="仿宋"/>
          <w:kern w:val="0"/>
          <w:sz w:val="32"/>
          <w:szCs w:val="32"/>
        </w:rPr>
        <w:t>向本机关申请行政复议，本机关依法受理。被申请人向本机关提交了书面答复及有关证据和依据，本案现已审理终结。</w:t>
      </w: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黑体" w:hAnsi="黑体" w:eastAsia="黑体" w:cs="黑体"/>
          <w:bCs/>
          <w:color w:val="000000"/>
          <w:kern w:val="0"/>
          <w:sz w:val="32"/>
          <w:szCs w:val="32"/>
        </w:rPr>
        <w:t>申请人称：</w:t>
      </w:r>
      <w:r>
        <w:rPr>
          <w:rFonts w:hint="eastAsia" w:ascii="仿宋" w:hAnsi="仿宋" w:eastAsia="仿宋" w:cs="仿宋"/>
          <w:kern w:val="0"/>
          <w:sz w:val="32"/>
          <w:szCs w:val="32"/>
        </w:rPr>
        <w:t>申请人在淘宝平台营业执照“深圳市××科技有限公司”（以下称被举报人）开设的店铺“××旗舰店”购买了一袋“塑料吸管”，订单编号：2638716912805027448。由于购买到产品实物塑料吸管无出厂检验合格证明；塑料吸管有明显刺鼻气味、毛刺多；商家以次充好、以假充真存在重大食品安全隐患等不符合国家食品卫生安全标准的产品，2022年5月28日通过全国12315平台（www.12315.cn）实名注册认证的账号举报到商家营业执照所在地被申请人处。</w:t>
      </w: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申请人在全国12315平台举报的主要内容：“本人于2022年5月19日在淘宝平台营业执照‘深圳市××科技有限公司’开设的店铺‘××旗舰店’支付7.9元购买了一袋‘塑料吸管’，订单编号：××。一、塑料吸管无出厂检验合格证明，无法对食品接触材料及制品进行安全性评估，违反GB4806.1-2016之8产品信息要求，存在重大食品安全隐患。二、塑料吸管有明显刺鼻气味、毛刺多，违反GB4806.7-2016之4.2感官要求。三、本人购买的本批次产品无《食品安全国家标准食品接触材料及制品通用安全要求》GB4806.1-2016、《食品安全国家标准食品接触用塑料材料及制品》GB4806.7-2016要求检测项目的检测报告，侵害消费者知悉其购买、使用的商品或者接受的服务的真实情况的权利，存在重大食品安全隐患。望市场监管局</w:t>
      </w:r>
      <w:bookmarkStart w:id="5" w:name="_GoBack"/>
      <w:bookmarkEnd w:id="5"/>
      <w:r>
        <w:rPr>
          <w:rFonts w:hint="eastAsia" w:ascii="仿宋" w:hAnsi="仿宋" w:eastAsia="仿宋" w:cs="仿宋"/>
          <w:kern w:val="0"/>
          <w:sz w:val="32"/>
          <w:szCs w:val="32"/>
        </w:rPr>
        <w:t>查处，并通过平台与书面方式回复本人，谢谢。”</w:t>
      </w: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2022年5月31日，被申请人通过12315平台回复的主要内容：经查，举报事项不予立案，理由：“2022年5月31日，执法人员根据举报件反映的问题向被投诉主体深圳市××科技有限公司进行核实。当事人向执法人员通过被投诉商品的检测报告书（详见上传附件），经检定为合格。因证据不足，我局决定不予立案。深圳市市场监督管理局龙岗监管局。”</w:t>
      </w: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被申请人在收到申请人的举报线索后，可能开展了一些调查核实工作，于2022年5月31日回复申请人不予立案。不立案行政行为理由是商家提供了第三方检测报告等证照，但对申请人举报的本批次产品问题事项是否调查核实并没有给予回复，故申请人认为被申请人未充分全面履行国家市场监督管理总局令第2号令及总局第20令规定的充分、公平、全面、程序合法的原则，此回复仅仅是形式上履行告知义务。被申请人仅仅在形式上履行其告知义务的行为应予纠正。</w:t>
      </w: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综上所述，此被申请人的不立案行政行为导致申请人购买到的不符合食品安全标准的、涉嫌虚假宣传欺诈的产品无法退货退款（由于购物平台在商家发货10天后就会自动确认收货打款给商家，商家由于申请人拆包使用不予退货退款）、食用到不符合食品安全的产品对身体健康产生的影响无法维权；损害消费者的财产权、购买产品质量和检测报告等的知情权、身体健康权等合法权益，故此行政行为与申请人具有法律上的利害关系。被申请人未履行法定责任，申请人依据《中华人民共和国行政复议法》及《中华人民共和国行政复议法实施条例》有关规定，依法申请行政复议，请求复议机关本着合法、公正、公开、及时、便民的原则，坚持有错必纠，保障法律、法规的正确实施的原则，支持申请人的复议请求，以维护申请人的合法权益。复议请求:撤销被申请人作出的不予立案的行政行为，责令被申请人调查核实并重新答复。</w:t>
      </w:r>
    </w:p>
    <w:p>
      <w:pPr>
        <w:suppressAutoHyphens/>
        <w:wordWrap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黑体" w:hAnsi="黑体" w:eastAsia="黑体" w:cs="黑体"/>
          <w:bCs/>
          <w:color w:val="000000"/>
          <w:kern w:val="0"/>
          <w:sz w:val="32"/>
          <w:szCs w:val="32"/>
        </w:rPr>
        <w:t>被申请人答复称：</w:t>
      </w:r>
      <w:r>
        <w:rPr>
          <w:rFonts w:hint="eastAsia" w:ascii="仿宋" w:hAnsi="仿宋" w:eastAsia="仿宋" w:cs="仿宋"/>
          <w:kern w:val="0"/>
          <w:sz w:val="32"/>
          <w:szCs w:val="32"/>
        </w:rPr>
        <w:t>被申请人已经依法履行了自己的法定职责，请行政复议机关维持被申请人针对申请人申诉事项所作之决定。2022年5月28日，申请人向被申请人举报（工单号：</w:t>
      </w:r>
      <w:r>
        <w:rPr>
          <w:rFonts w:hint="default" w:ascii="仿宋" w:hAnsi="仿宋" w:eastAsia="仿宋" w:cs="仿宋"/>
          <w:kern w:val="0"/>
          <w:sz w:val="32"/>
          <w:szCs w:val="32"/>
        </w:rPr>
        <w:t>1440307002022052895679202</w:t>
      </w:r>
      <w:r>
        <w:rPr>
          <w:rFonts w:hint="eastAsia" w:ascii="仿宋" w:hAnsi="仿宋" w:eastAsia="仿宋" w:cs="仿宋"/>
          <w:kern w:val="0"/>
          <w:sz w:val="32"/>
          <w:szCs w:val="32"/>
        </w:rPr>
        <w:t>），反映其在被举报人处购买的“塑料吸管”涉嫌存在质量问题，要求处理、答复。2022年5月30日，执法人员对被举报人进行检查，现场当事人提供了被举报“塑料吸管”生产厂家的证照、检测报告及出厂检验合格报告。2022年5月31日，执法人员通过12315平台向申请人告知被举报事项不予立案。理由：“2022年5月31日，执法人员根据举报件反映的问题向被投诉主体深圳市××科技有限公司进行核实。当事人向执法人员通过被投诉商品的检测报告书（详见上传附件），经检定为合格。因证据不足，我局决定不予立案。”</w:t>
      </w:r>
    </w:p>
    <w:p>
      <w:pPr>
        <w:suppressAutoHyphens/>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黑体" w:hAnsi="黑体" w:eastAsia="黑体" w:cs="黑体"/>
          <w:bCs/>
          <w:color w:val="000000"/>
          <w:kern w:val="0"/>
          <w:sz w:val="32"/>
          <w:szCs w:val="32"/>
        </w:rPr>
        <w:t>经查：</w:t>
      </w:r>
      <w:r>
        <w:rPr>
          <w:rFonts w:hint="eastAsia" w:ascii="仿宋" w:hAnsi="仿宋" w:eastAsia="仿宋" w:cs="仿宋"/>
          <w:kern w:val="0"/>
          <w:sz w:val="32"/>
          <w:szCs w:val="32"/>
        </w:rPr>
        <w:t>2022年5月28日，申请人通过全国12315平台投诉举报被举报人涉嫌在淘宝平台“××旗舰店”销售违法产品“塑料吸管”（举报单编号：</w:t>
      </w:r>
      <w:r>
        <w:rPr>
          <w:rFonts w:hint="default" w:ascii="仿宋" w:hAnsi="仿宋" w:eastAsia="仿宋" w:cs="仿宋"/>
          <w:kern w:val="0"/>
          <w:sz w:val="32"/>
          <w:szCs w:val="32"/>
        </w:rPr>
        <w:t>1440307002022052895679202</w:t>
      </w:r>
      <w:r>
        <w:rPr>
          <w:rFonts w:hint="eastAsia" w:ascii="仿宋" w:hAnsi="仿宋" w:eastAsia="仿宋" w:cs="仿宋"/>
          <w:kern w:val="0"/>
          <w:sz w:val="32"/>
          <w:szCs w:val="32"/>
        </w:rPr>
        <w:t>），请求对商家调查。2022年5月30日，被申请人到被举报人经营场所进行检查。被举报人提供了案涉产品的生产厂家的《营业执照》《全国工业产品生产许可证》《检验报告》及《产品出厂报告》。同日，被申请人以被举报人违法证据不足为由，决定不予立案。2022年5月31日，被申请人通过全国12315平台告知申请人处理结果。申请人不服，申请行政复议。</w:t>
      </w:r>
    </w:p>
    <w:p>
      <w:pPr>
        <w:suppressAutoHyphens/>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黑体" w:hAnsi="黑体" w:eastAsia="黑体" w:cs="黑体"/>
          <w:bCs/>
          <w:color w:val="000000"/>
          <w:kern w:val="0"/>
          <w:sz w:val="32"/>
          <w:szCs w:val="32"/>
        </w:rPr>
        <w:t>本机关认为：</w:t>
      </w:r>
      <w:bookmarkStart w:id="2" w:name="2"/>
      <w:bookmarkStart w:id="3" w:name="_Hlk19882116"/>
      <w:bookmarkStart w:id="4" w:name="38"/>
      <w:r>
        <w:rPr>
          <w:rFonts w:hint="eastAsia" w:ascii="仿宋" w:hAnsi="仿宋" w:eastAsia="仿宋" w:cs="仿宋"/>
          <w:kern w:val="0"/>
          <w:sz w:val="32"/>
          <w:szCs w:val="32"/>
        </w:rPr>
        <w:t>《市场监督管理行政处罚程序规定》第十九条规定：“经核查，符合下列条件的，应当立案：（一）有证据初步证明存在违反市场监督管理法律、法规、规章的行为；（二）依据市场监督管理法律、法规、规章应当给予行政处罚；（三）属于本部门管辖；（四）在给予行政处罚的法定期限内。......”本案中，根据在案证据，没有证据初步证明被举报人存在违反市场监督管理法律、法规、规章的行为，故被申请人作出不予立案决定并无违法或不当之处，依法应予维持。综上，申请人的复议请求缺乏法律依据，本机关不予支持。</w:t>
      </w:r>
    </w:p>
    <w:p>
      <w:pPr>
        <w:suppressAutoHyphens/>
        <w:kinsoku/>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依照《中华人民共和国行政复议法》第二十八条第一款第（一）项的规定，本机关作出复议决定如下：</w:t>
      </w: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维持被申请人深圳市市场监督管理局龙岗监管局对申请人</w:t>
      </w:r>
      <w:r>
        <w:rPr>
          <w:rFonts w:hint="eastAsia" w:ascii="仿宋" w:hAnsi="仿宋" w:eastAsia="仿宋" w:cs="仿宋"/>
          <w:bCs/>
          <w:color w:val="000000"/>
          <w:kern w:val="0"/>
          <w:sz w:val="32"/>
          <w:szCs w:val="32"/>
        </w:rPr>
        <w:t>李</w:t>
      </w:r>
      <w:r>
        <w:rPr>
          <w:rFonts w:hint="eastAsia" w:ascii="仿宋" w:hAnsi="仿宋" w:eastAsia="仿宋" w:cs="仿宋"/>
          <w:bCs/>
          <w:color w:val="000000"/>
          <w:kern w:val="0"/>
          <w:sz w:val="32"/>
          <w:szCs w:val="32"/>
          <w:lang w:eastAsia="zh-CN"/>
        </w:rPr>
        <w:t>某</w:t>
      </w:r>
      <w:r>
        <w:rPr>
          <w:rFonts w:hint="eastAsia" w:ascii="仿宋" w:hAnsi="仿宋" w:eastAsia="仿宋" w:cs="仿宋"/>
          <w:kern w:val="0"/>
          <w:sz w:val="32"/>
          <w:szCs w:val="32"/>
        </w:rPr>
        <w:t>关于深圳市××科技有限公司涉嫌销售违法产品“塑料吸管”的举报（举报单编号：</w:t>
      </w:r>
      <w:r>
        <w:rPr>
          <w:rFonts w:hint="default" w:ascii="仿宋" w:hAnsi="仿宋" w:eastAsia="仿宋" w:cs="仿宋"/>
          <w:kern w:val="0"/>
          <w:sz w:val="32"/>
          <w:szCs w:val="32"/>
        </w:rPr>
        <w:t>1440307002022052895679202</w:t>
      </w:r>
      <w:r>
        <w:rPr>
          <w:rFonts w:hint="eastAsia" w:ascii="仿宋" w:hAnsi="仿宋" w:eastAsia="仿宋" w:cs="仿宋"/>
          <w:kern w:val="0"/>
          <w:sz w:val="32"/>
          <w:szCs w:val="32"/>
        </w:rPr>
        <w:t>）作出的不予立案决定。</w:t>
      </w: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本复议决定书一经送达，即发生法律效力。申请人如对本复议决定不服，可自收到复议决定书之日起十五日向有管辖权的人民法院提起诉讼。             </w:t>
      </w:r>
    </w:p>
    <w:p>
      <w:pPr>
        <w:suppressAutoHyphens/>
        <w:kinsoku w:val="0"/>
        <w:overflowPunct w:val="0"/>
        <w:autoSpaceDE w:val="0"/>
        <w:autoSpaceDN w:val="0"/>
        <w:adjustRightInd w:val="0"/>
        <w:snapToGrid w:val="0"/>
        <w:spacing w:line="560" w:lineRule="exact"/>
        <w:ind w:firstLine="640" w:firstLineChars="200"/>
        <w:rPr>
          <w:rFonts w:ascii="仿宋" w:hAnsi="仿宋" w:eastAsia="仿宋" w:cs="仿宋"/>
          <w:kern w:val="0"/>
          <w:sz w:val="32"/>
          <w:szCs w:val="32"/>
        </w:rPr>
      </w:pPr>
    </w:p>
    <w:p>
      <w:pPr>
        <w:suppressAutoHyphens/>
        <w:kinsoku w:val="0"/>
        <w:overflowPunct w:val="0"/>
        <w:autoSpaceDE w:val="0"/>
        <w:autoSpaceDN w:val="0"/>
        <w:adjustRightInd w:val="0"/>
        <w:snapToGrid w:val="0"/>
        <w:spacing w:line="560" w:lineRule="exact"/>
        <w:ind w:firstLine="5440" w:firstLineChars="1700"/>
        <w:rPr>
          <w:rFonts w:ascii="仿宋" w:hAnsi="仿宋" w:eastAsia="仿宋" w:cs="仿宋"/>
          <w:kern w:val="0"/>
          <w:sz w:val="32"/>
          <w:szCs w:val="32"/>
        </w:rPr>
      </w:pPr>
    </w:p>
    <w:p>
      <w:pPr>
        <w:suppressAutoHyphens/>
        <w:kinsoku w:val="0"/>
        <w:overflowPunct w:val="0"/>
        <w:autoSpaceDE w:val="0"/>
        <w:autoSpaceDN w:val="0"/>
        <w:adjustRightInd w:val="0"/>
        <w:snapToGrid w:val="0"/>
        <w:spacing w:line="560" w:lineRule="exact"/>
        <w:ind w:firstLine="5600" w:firstLineChars="1750"/>
        <w:rPr>
          <w:rFonts w:ascii="仿宋" w:hAnsi="仿宋" w:eastAsia="仿宋" w:cs="仿宋"/>
          <w:kern w:val="0"/>
          <w:sz w:val="32"/>
          <w:szCs w:val="32"/>
        </w:rPr>
      </w:pPr>
      <w:r>
        <w:rPr>
          <w:rFonts w:hint="eastAsia" w:ascii="仿宋" w:hAnsi="仿宋" w:eastAsia="仿宋" w:cs="仿宋"/>
          <w:kern w:val="0"/>
          <w:sz w:val="32"/>
          <w:szCs w:val="32"/>
        </w:rPr>
        <w:t>深圳市人民政府</w:t>
      </w:r>
    </w:p>
    <w:p>
      <w:pPr>
        <w:suppressAutoHyphens/>
        <w:kinsoku w:val="0"/>
        <w:overflowPunct w:val="0"/>
        <w:autoSpaceDE w:val="0"/>
        <w:autoSpaceDN w:val="0"/>
        <w:adjustRightInd w:val="0"/>
        <w:snapToGrid w:val="0"/>
        <w:spacing w:line="560" w:lineRule="exact"/>
        <w:ind w:firstLine="640" w:firstLineChars="200"/>
        <w:jc w:val="center"/>
      </w:pPr>
      <w:r>
        <w:rPr>
          <w:rFonts w:hint="eastAsia" w:ascii="仿宋" w:hAnsi="仿宋" w:eastAsia="仿宋" w:cs="仿宋"/>
          <w:kern w:val="0"/>
          <w:sz w:val="32"/>
          <w:szCs w:val="32"/>
        </w:rPr>
        <w:t xml:space="preserve">                    </w:t>
      </w:r>
      <w:r>
        <w:rPr>
          <w:rFonts w:hint="default" w:ascii="仿宋" w:hAnsi="仿宋" w:eastAsia="仿宋" w:cs="仿宋"/>
          <w:kern w:val="0"/>
          <w:sz w:val="32"/>
          <w:szCs w:val="32"/>
          <w:lang w:val="en"/>
        </w:rPr>
        <w:t xml:space="preserve"> </w:t>
      </w:r>
      <w:r>
        <w:rPr>
          <w:rFonts w:hint="eastAsia" w:ascii="仿宋" w:hAnsi="仿宋" w:eastAsia="仿宋" w:cs="仿宋"/>
          <w:kern w:val="0"/>
          <w:sz w:val="32"/>
          <w:szCs w:val="32"/>
        </w:rPr>
        <w:t xml:space="preserve">    2022年8月</w:t>
      </w:r>
      <w:r>
        <w:rPr>
          <w:rFonts w:hint="default" w:ascii="仿宋" w:hAnsi="仿宋" w:eastAsia="仿宋" w:cs="仿宋"/>
          <w:kern w:val="0"/>
          <w:sz w:val="32"/>
          <w:szCs w:val="32"/>
          <w:lang w:val="en"/>
        </w:rPr>
        <w:t>26</w:t>
      </w:r>
      <w:r>
        <w:rPr>
          <w:rFonts w:hint="eastAsia" w:ascii="仿宋" w:hAnsi="仿宋" w:eastAsia="仿宋" w:cs="仿宋"/>
          <w:kern w:val="0"/>
          <w:sz w:val="32"/>
          <w:szCs w:val="32"/>
        </w:rPr>
        <w:t>日</w:t>
      </w:r>
      <w:bookmarkEnd w:id="2"/>
      <w:bookmarkEnd w:id="3"/>
      <w:bookmarkEnd w:id="4"/>
    </w:p>
    <w:sectPr>
      <w:headerReference r:id="rId3" w:type="default"/>
      <w:footerReference r:id="rId4" w:type="default"/>
      <w:footerReference r:id="rId5" w:type="even"/>
      <w:footnotePr>
        <w:pos w:val="beneathText"/>
      </w:footnotePr>
      <w:pgSz w:w="11905" w:h="16837"/>
      <w:pgMar w:top="2098" w:right="1474" w:bottom="1984" w:left="1588" w:header="0" w:footer="624"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LineNumbers/>
      <w:tabs>
        <w:tab w:val="center" w:pos="4153"/>
        <w:tab w:val="right" w:pos="8307"/>
        <w:tab w:val="right" w:pos="8843"/>
      </w:tabs>
      <w:suppressAutoHyphens/>
      <w:rPr>
        <w:rFonts w:ascii="宋体" w:hAnsi="宋体" w:eastAsia="宋体" w:cs="Times New Roman"/>
        <w:szCs w:val="21"/>
      </w:rPr>
    </w:pPr>
    <w:r>
      <w:rPr>
        <w:rFonts w:ascii="Times New Roman" w:hAnsi="Times New Roman" w:eastAsia="宋体" w:cs="Times New Roman"/>
        <w:szCs w:val="1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path/>
          <v:fill on="f" focussize="0,0"/>
          <v:stroke on="f" weight="0.5pt" joinstyle="miter"/>
          <v:imagedata o:title=""/>
          <o:lock v:ext="edit"/>
          <v:textbox inset="0mm,0mm,0mm,0mm" style="mso-fit-shape-to-text:t;">
            <w:txbxContent>
              <w:p>
                <w:pPr>
                  <w:suppressLineNumbers/>
                  <w:tabs>
                    <w:tab w:val="center" w:pos="4153"/>
                    <w:tab w:val="right" w:pos="8307"/>
                  </w:tabs>
                  <w:suppressAutoHyphens/>
                  <w:rPr>
                    <w:rFonts w:ascii="Times New Roman" w:hAnsi="Times New Roman" w:eastAsia="宋体" w:cs="Times New Roman"/>
                    <w:sz w:val="18"/>
                    <w:szCs w:val="18"/>
                  </w:rPr>
                </w:pPr>
                <w:r>
                  <w:rPr>
                    <w:rFonts w:ascii="Times New Roman" w:hAnsi="Times New Roman" w:eastAsia="宋体" w:cs="Times New Roman"/>
                    <w:sz w:val="18"/>
                    <w:szCs w:val="18"/>
                  </w:rPr>
                  <w:t xml:space="preserve">— </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1</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LineNumbers/>
      <w:tabs>
        <w:tab w:val="center" w:pos="4153"/>
        <w:tab w:val="right" w:pos="8307"/>
      </w:tabs>
      <w:suppressAutoHyphens/>
      <w:rPr>
        <w:rFonts w:ascii="宋体" w:hAnsi="宋体" w:eastAsia="宋体" w:cs="Times New Roman"/>
        <w:szCs w:val="21"/>
      </w:rPr>
    </w:pPr>
    <w:r>
      <w:rPr>
        <w:rFonts w:ascii="宋体" w:hAnsi="宋体" w:eastAsia="宋体" w:cs="Times New Roman"/>
        <w:szCs w:val="21"/>
      </w:rPr>
      <w:fldChar w:fldCharType="begin"/>
    </w:r>
    <w:r>
      <w:rPr>
        <w:rFonts w:ascii="宋体" w:hAnsi="宋体" w:eastAsia="宋体" w:cs="Times New Roman"/>
        <w:szCs w:val="21"/>
      </w:rPr>
      <w:instrText xml:space="preserve">PAGE   \* MERGEFORMAT</w:instrText>
    </w:r>
    <w:r>
      <w:rPr>
        <w:rFonts w:ascii="宋体" w:hAnsi="宋体" w:eastAsia="宋体" w:cs="Times New Roman"/>
        <w:szCs w:val="21"/>
      </w:rPr>
      <w:fldChar w:fldCharType="separate"/>
    </w:r>
    <w:r>
      <w:rPr>
        <w:rFonts w:ascii="宋体" w:hAnsi="宋体" w:eastAsia="宋体" w:cs="Times New Roman"/>
        <w:szCs w:val="21"/>
        <w:lang w:val="zh-CN"/>
      </w:rPr>
      <w:t>2</w:t>
    </w:r>
    <w:r>
      <w:rPr>
        <w:rFonts w:ascii="宋体" w:hAnsi="宋体" w:eastAsia="宋体" w:cs="Times New Roman"/>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uppressAutoHyphens/>
      <w:snapToGrid w:val="0"/>
      <w:jc w:val="center"/>
      <w:rPr>
        <w:rFonts w:ascii="Times New Roman" w:hAnsi="Times New Roman"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E5MGUyN2E3NzM2MGExODZlOWY3N2U1NWY5MzA5MTcifQ=="/>
  </w:docVars>
  <w:rsids>
    <w:rsidRoot w:val="4A1947CF"/>
    <w:rsid w:val="00EC7F32"/>
    <w:rsid w:val="00FC50EB"/>
    <w:rsid w:val="0B5BBD7E"/>
    <w:rsid w:val="0CF42A16"/>
    <w:rsid w:val="0FFA804C"/>
    <w:rsid w:val="1BFFDBE3"/>
    <w:rsid w:val="2B7D45A8"/>
    <w:rsid w:val="2FF6F777"/>
    <w:rsid w:val="2FFAA94A"/>
    <w:rsid w:val="33779717"/>
    <w:rsid w:val="35FF8E19"/>
    <w:rsid w:val="377FB40D"/>
    <w:rsid w:val="37CD2DB5"/>
    <w:rsid w:val="3B761FAA"/>
    <w:rsid w:val="3DFD54C5"/>
    <w:rsid w:val="3DFEA931"/>
    <w:rsid w:val="3FD36D2C"/>
    <w:rsid w:val="47A053E0"/>
    <w:rsid w:val="49FEE599"/>
    <w:rsid w:val="4A1947CF"/>
    <w:rsid w:val="4D7CE3FC"/>
    <w:rsid w:val="56CFD69D"/>
    <w:rsid w:val="57DFAA85"/>
    <w:rsid w:val="5ABBC574"/>
    <w:rsid w:val="5AF53D48"/>
    <w:rsid w:val="5AF7E643"/>
    <w:rsid w:val="5CDEE83B"/>
    <w:rsid w:val="5DDB5989"/>
    <w:rsid w:val="5DFF9A33"/>
    <w:rsid w:val="5EFC39AA"/>
    <w:rsid w:val="5FB792BB"/>
    <w:rsid w:val="5FF65870"/>
    <w:rsid w:val="607951F0"/>
    <w:rsid w:val="667E09AB"/>
    <w:rsid w:val="67778182"/>
    <w:rsid w:val="6A7F5717"/>
    <w:rsid w:val="6B9FA3BC"/>
    <w:rsid w:val="6BEF31B9"/>
    <w:rsid w:val="6F2F4F12"/>
    <w:rsid w:val="6F71CE21"/>
    <w:rsid w:val="6FB7BA08"/>
    <w:rsid w:val="6FF959AE"/>
    <w:rsid w:val="7120757D"/>
    <w:rsid w:val="72F79297"/>
    <w:rsid w:val="737E2730"/>
    <w:rsid w:val="74FA25EB"/>
    <w:rsid w:val="75CC2BA7"/>
    <w:rsid w:val="75CDBF4A"/>
    <w:rsid w:val="75D9A145"/>
    <w:rsid w:val="76FF9D49"/>
    <w:rsid w:val="77DB8C7A"/>
    <w:rsid w:val="77DD8E66"/>
    <w:rsid w:val="785FC48C"/>
    <w:rsid w:val="78DDED57"/>
    <w:rsid w:val="7B1B2D2C"/>
    <w:rsid w:val="7B6F8845"/>
    <w:rsid w:val="7B77A7D7"/>
    <w:rsid w:val="7C7718E4"/>
    <w:rsid w:val="7CFA5204"/>
    <w:rsid w:val="7DEFC973"/>
    <w:rsid w:val="7DF441A2"/>
    <w:rsid w:val="7DFE3892"/>
    <w:rsid w:val="7E5DB41C"/>
    <w:rsid w:val="7EB67AA8"/>
    <w:rsid w:val="7EEF359B"/>
    <w:rsid w:val="7EFEF51A"/>
    <w:rsid w:val="7F2B8DAE"/>
    <w:rsid w:val="7F767F10"/>
    <w:rsid w:val="7F7FB79C"/>
    <w:rsid w:val="7F8FCD69"/>
    <w:rsid w:val="7FBE259B"/>
    <w:rsid w:val="7FE7A937"/>
    <w:rsid w:val="7FF2F102"/>
    <w:rsid w:val="7FFADF5F"/>
    <w:rsid w:val="7FFEE80A"/>
    <w:rsid w:val="7FFF04DC"/>
    <w:rsid w:val="9B5EEFFB"/>
    <w:rsid w:val="9F7B96C7"/>
    <w:rsid w:val="AD57C392"/>
    <w:rsid w:val="AFB48625"/>
    <w:rsid w:val="AFBFB986"/>
    <w:rsid w:val="B19FFD26"/>
    <w:rsid w:val="B45F66E1"/>
    <w:rsid w:val="B7AF52EF"/>
    <w:rsid w:val="B7DF2E5A"/>
    <w:rsid w:val="B9AF6A6D"/>
    <w:rsid w:val="BE7F0146"/>
    <w:rsid w:val="BFEFFF61"/>
    <w:rsid w:val="BFFFD71C"/>
    <w:rsid w:val="CB972B69"/>
    <w:rsid w:val="D64D00B3"/>
    <w:rsid w:val="D6BF0E69"/>
    <w:rsid w:val="D7FEF573"/>
    <w:rsid w:val="DBF68A7E"/>
    <w:rsid w:val="DCF71ABD"/>
    <w:rsid w:val="DDBCE1DD"/>
    <w:rsid w:val="DFBF3C0C"/>
    <w:rsid w:val="DFD14C0D"/>
    <w:rsid w:val="DFE70A8F"/>
    <w:rsid w:val="DFF3E98D"/>
    <w:rsid w:val="DFF7B3EA"/>
    <w:rsid w:val="DFF7CEA2"/>
    <w:rsid w:val="DFF7DB8D"/>
    <w:rsid w:val="DFF97250"/>
    <w:rsid w:val="DFFFA4C7"/>
    <w:rsid w:val="DFFFA8CD"/>
    <w:rsid w:val="E35EFE06"/>
    <w:rsid w:val="E3E7CE21"/>
    <w:rsid w:val="E7F9467B"/>
    <w:rsid w:val="EB5FC55A"/>
    <w:rsid w:val="EDF715E5"/>
    <w:rsid w:val="EDFD1C75"/>
    <w:rsid w:val="EDFDE7CB"/>
    <w:rsid w:val="EED9A019"/>
    <w:rsid w:val="EF6D042E"/>
    <w:rsid w:val="EFF2C1AF"/>
    <w:rsid w:val="EFF65899"/>
    <w:rsid w:val="EFFFDA15"/>
    <w:rsid w:val="F32E7B9E"/>
    <w:rsid w:val="F3BBDA80"/>
    <w:rsid w:val="F3D6CE4A"/>
    <w:rsid w:val="F3EE3D1A"/>
    <w:rsid w:val="F47AB3A9"/>
    <w:rsid w:val="F5FF737B"/>
    <w:rsid w:val="F77B361F"/>
    <w:rsid w:val="F7BEB777"/>
    <w:rsid w:val="F7FF4516"/>
    <w:rsid w:val="F9E4D009"/>
    <w:rsid w:val="FBDF84FD"/>
    <w:rsid w:val="FBFF206B"/>
    <w:rsid w:val="FC72DEED"/>
    <w:rsid w:val="FCFC5FC1"/>
    <w:rsid w:val="FCFF5F9E"/>
    <w:rsid w:val="FD69B239"/>
    <w:rsid w:val="FD9379B1"/>
    <w:rsid w:val="FDBAFC58"/>
    <w:rsid w:val="FDFF60FE"/>
    <w:rsid w:val="FE4FC3C7"/>
    <w:rsid w:val="FEBF94AB"/>
    <w:rsid w:val="FF2D9D8B"/>
    <w:rsid w:val="FF5DB396"/>
    <w:rsid w:val="FF6E6019"/>
    <w:rsid w:val="FFD4CB4C"/>
    <w:rsid w:val="FFF3D712"/>
    <w:rsid w:val="FFF5EA43"/>
    <w:rsid w:val="FFF7C4FE"/>
    <w:rsid w:val="FFFC4B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2378</Words>
  <Characters>2644</Characters>
  <Lines>3</Lines>
  <Paragraphs>5</Paragraphs>
  <TotalTime>3</TotalTime>
  <ScaleCrop>false</ScaleCrop>
  <LinksUpToDate>false</LinksUpToDate>
  <CharactersWithSpaces>2695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2018-07-16T07:11:00Z</dcterms:created>
  <dc:creator>d</dc:creator>
  <cp:lastModifiedBy>阿营</cp:lastModifiedBy>
  <cp:lastPrinted>2022-08-21T09:02:00Z</cp:lastPrinted>
  <dcterms:modified xsi:type="dcterms:W3CDTF">2024-07-30T01:23:32Z</dcterms:modified>
  <dc:title>深  圳  市  人  民  政  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35C55C436D4E3B865B8A996349B8558A</vt:lpwstr>
  </property>
</Properties>
</file>