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填写单位：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Hans"/>
        </w:rPr>
        <w:t>广东省司法厅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人民参与和促进法治处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    </w:t>
      </w:r>
    </w:p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投诉人民调解组织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调解员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受理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转办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关于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人民调解业务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的投诉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《广东省实施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&lt;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中华人民共和国人民调解法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&gt;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办法》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bookmarkStart w:id="0" w:name="_GoBack" w:colFirst="4" w:colLast="1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广东法律服务网热线平台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拨打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热线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 x 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人民调解组织存在违反人民调解工作规定的情形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五无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口头答复  □书面答复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无结果文书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否</w:t>
            </w:r>
          </w:p>
        </w:tc>
      </w:tr>
    </w:tbl>
    <w:p>
      <w:pPr>
        <w:jc w:val="center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投诉人民调解组织流程图</w:t>
      </w:r>
    </w:p>
    <w:p>
      <w:r>
        <w:rPr>
          <w:rFonts w:hint="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90675" cy="4348480"/>
            <wp:effectExtent l="0" t="0" r="9525" b="20320"/>
            <wp:docPr id="13" name="图片 1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434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F46DD"/>
    <w:rsid w:val="3EA2D667"/>
    <w:rsid w:val="7F6F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2020-12-30T18:56:00Z</dcterms:created>
  <dc:creator>guagua</dc:creator>
  <cp:lastModifiedBy>guagua</cp:lastModifiedBy>
  <dcterms:modified xsi:type="dcterms:W3CDTF">2020-12-30T11:16:27Z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