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  <w:jc w:val="center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ind w:left="-199" w:leftChars="-95" w:right="-189" w:rightChars="-90"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广东法律服务网网络平台</w:t>
      </w:r>
    </w:p>
    <w:tbl>
      <w:tblPr>
        <w:tblStyle w:val="3"/>
        <w:tblW w:w="1045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1"/>
        <w:gridCol w:w="1287"/>
        <w:gridCol w:w="1783"/>
        <w:gridCol w:w="1483"/>
        <w:gridCol w:w="3549"/>
      </w:tblGrid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公证服务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婚姻状况、亲属关系、出生、生存、死亡、身份、经历、学历、学位、职务、职称、有（无）违法犯罪记录、文书的副本、影印本与原本相符公证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广东法律服务网网络平台服务范围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公证机构及其公证人员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全年365天7*24小时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法定办结时限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9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承诺办结时限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312" w:hRule="exac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810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群众有公证办理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需</w:t>
            </w: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810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810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810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810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材料名称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是否必须原件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复印件份数</w:t>
            </w:r>
          </w:p>
        </w:tc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身份证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业务材料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509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val="en-US" w:eastAsia="zh-Hans" w:bidi="ar"/>
              </w:rPr>
              <w:t>按实际需要提供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结果文书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是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8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04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</w:tbl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办理流程图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图例：</w:t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1891030" cy="2668270"/>
            <wp:effectExtent l="0" t="0" r="0" b="0"/>
            <wp:docPr id="1" name="图片 1" descr="159194886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948865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411" cy="2670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B0C95"/>
    <w:rsid w:val="00BF2C6E"/>
    <w:rsid w:val="05510877"/>
    <w:rsid w:val="2B751764"/>
    <w:rsid w:val="2E2D46DB"/>
    <w:rsid w:val="3D7A1EE4"/>
    <w:rsid w:val="421D5D90"/>
    <w:rsid w:val="4FCF74B8"/>
    <w:rsid w:val="59EE4F9E"/>
    <w:rsid w:val="5B3D5AC9"/>
    <w:rsid w:val="5F5A3F72"/>
    <w:rsid w:val="5FFFB70E"/>
    <w:rsid w:val="62702618"/>
    <w:rsid w:val="6A49F83B"/>
    <w:rsid w:val="723B2E4F"/>
    <w:rsid w:val="735B33C7"/>
    <w:rsid w:val="7AE476D6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</Words>
  <Characters>471</Characters>
  <Lines>3</Lines>
  <Paragraphs>1</Paragraphs>
  <ScaleCrop>false</ScaleCrop>
  <LinksUpToDate>false</LinksUpToDate>
  <CharactersWithSpaces>552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2020-04-16T14:12:00Z</dcterms:created>
  <dc:creator>guagua</dc:creator>
  <cp:lastModifiedBy>guagua</cp:lastModifiedBy>
  <dcterms:modified xsi:type="dcterms:W3CDTF">2020-12-30T15:59:36Z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