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wordWrap w:val="0"/>
        <w:spacing w:line="620" w:lineRule="exact"/>
        <w:ind w:firstLine="640" w:firstLineChars="200"/>
        <w:jc w:val="right"/>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1197</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涉案职工潘某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7012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2019年3月7日，本机关举行行政复议听证，申请人对被申请人所作涉案《住房公积金应缴数额统计表》中的金额明确表示予以认可。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w:t>
      </w:r>
      <w:r>
        <w:rPr>
          <w:rFonts w:hint="eastAsia" w:ascii="仿宋_GB2312" w:hAnsi="仿宋" w:eastAsia="仿宋_GB2312"/>
          <w:color w:val="000000" w:themeColor="text1"/>
          <w:sz w:val="32"/>
          <w:szCs w:val="32"/>
        </w:rPr>
        <w:t>〔2018〕××号</w:t>
      </w:r>
      <w:r>
        <w:rPr>
          <w:rFonts w:hint="eastAsia" w:ascii="仿宋_GB2312" w:hAnsi="仿宋" w:eastAsia="仿宋_GB2312"/>
          <w:sz w:val="32"/>
          <w:szCs w:val="32"/>
        </w:rPr>
        <w:t>《责令限期缴存决定书》作出的具体行政行为。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7</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6B0E"/>
    <w:rsid w:val="001700A6"/>
    <w:rsid w:val="0055372B"/>
    <w:rsid w:val="00644F62"/>
    <w:rsid w:val="00831536"/>
    <w:rsid w:val="0084193D"/>
    <w:rsid w:val="00954EB9"/>
    <w:rsid w:val="009B0644"/>
    <w:rsid w:val="00AB6B0E"/>
    <w:rsid w:val="00B34B12"/>
    <w:rsid w:val="00B72E4A"/>
    <w:rsid w:val="66292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99"/>
    <w:rPr>
      <w:sz w:val="18"/>
      <w:szCs w:val="18"/>
    </w:rPr>
  </w:style>
  <w:style w:type="character" w:customStyle="1" w:styleId="7">
    <w:name w:val="页眉 字符"/>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738</Words>
  <Characters>4212</Characters>
  <Lines>35</Lines>
  <Paragraphs>9</Paragraphs>
  <TotalTime>1</TotalTime>
  <ScaleCrop>false</ScaleCrop>
  <LinksUpToDate>false</LinksUpToDate>
  <CharactersWithSpaces>4941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2019-03-31T15:37:00Z</dcterms:created>
  <dc:creator>微软用户</dc:creator>
  <cp:lastModifiedBy>好饭友</cp:lastModifiedBy>
  <cp:lastPrinted>2019-03-18T06:47:00Z</cp:lastPrinted>
  <dcterms:modified xsi:type="dcterms:W3CDTF">2019-10-15T07:32:05Z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