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宋体" w:hAnsi="宋体"/>
          <w:sz w:val="44"/>
        </w:rPr>
      </w:pPr>
      <w:r>
        <w:rPr>
          <w:rFonts w:ascii="宋体" w:hAnsi="宋体"/>
          <w:sz w:val="44"/>
        </w:rPr>
        <w:t>深  圳  市  人  民  政  府</w:t>
      </w:r>
    </w:p>
    <w:p>
      <w:pPr>
        <w:spacing w:line="570" w:lineRule="exact"/>
        <w:jc w:val="center"/>
        <w:rPr>
          <w:rFonts w:ascii="宋体" w:hAnsi="宋体"/>
          <w:b/>
          <w:bCs/>
          <w:sz w:val="44"/>
        </w:rPr>
      </w:pPr>
      <w:r>
        <w:rPr>
          <w:rFonts w:ascii="宋体" w:hAnsi="宋体"/>
          <w:b/>
          <w:bCs/>
          <w:sz w:val="44"/>
        </w:rPr>
        <w:t>行政复议决定书</w:t>
      </w:r>
    </w:p>
    <w:p>
      <w:pPr>
        <w:spacing w:line="570" w:lineRule="exact"/>
        <w:ind w:firstLine="640" w:firstLineChars="200"/>
        <w:rPr>
          <w:rFonts w:ascii="仿宋_GB2312" w:eastAsia="仿宋_GB2312"/>
          <w:sz w:val="32"/>
          <w:szCs w:val="32"/>
        </w:rPr>
      </w:pPr>
    </w:p>
    <w:p>
      <w:pPr>
        <w:spacing w:line="570" w:lineRule="exact"/>
        <w:ind w:firstLine="640" w:firstLineChars="200"/>
        <w:jc w:val="right"/>
        <w:rPr>
          <w:rFonts w:ascii="仿宋_GB2312" w:eastAsia="仿宋_GB2312"/>
          <w:sz w:val="32"/>
          <w:szCs w:val="32"/>
        </w:rPr>
      </w:pPr>
      <w:r>
        <w:rPr>
          <w:rFonts w:hint="eastAsia" w:ascii="仿宋_GB2312" w:eastAsia="仿宋_GB2312"/>
          <w:sz w:val="32"/>
          <w:szCs w:val="32"/>
        </w:rPr>
        <w:t>深府行复〔2018〕1194号</w:t>
      </w:r>
    </w:p>
    <w:p>
      <w:pPr>
        <w:spacing w:line="570" w:lineRule="exact"/>
        <w:ind w:firstLine="640" w:firstLineChars="200"/>
        <w:rPr>
          <w:rFonts w:ascii="仿宋_GB2312" w:eastAsia="仿宋_GB2312"/>
          <w:sz w:val="32"/>
          <w:szCs w:val="32"/>
        </w:rPr>
      </w:pPr>
    </w:p>
    <w:p>
      <w:pPr>
        <w:spacing w:line="57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××（深圳）工业有限公司</w:t>
      </w:r>
    </w:p>
    <w:p>
      <w:pPr>
        <w:spacing w:line="570" w:lineRule="exact"/>
        <w:ind w:firstLine="640" w:firstLineChars="200"/>
        <w:rPr>
          <w:rFonts w:ascii="仿宋_GB2312" w:eastAsia="仿宋_GB2312"/>
          <w:sz w:val="32"/>
        </w:rPr>
      </w:pPr>
      <w:r>
        <w:rPr>
          <w:rFonts w:hint="eastAsia" w:ascii="仿宋_GB2312" w:eastAsia="仿宋_GB2312"/>
          <w:sz w:val="32"/>
        </w:rPr>
        <w:t>法定代表人：小某，董事长</w:t>
      </w:r>
    </w:p>
    <w:p>
      <w:pPr>
        <w:spacing w:line="570" w:lineRule="exact"/>
        <w:ind w:firstLine="640" w:firstLineChars="200"/>
        <w:rPr>
          <w:rFonts w:ascii="仿宋_GB2312" w:eastAsia="仿宋_GB2312"/>
          <w:sz w:val="32"/>
        </w:rPr>
      </w:pPr>
      <w:r>
        <w:rPr>
          <w:rFonts w:hint="eastAsia" w:ascii="仿宋_GB2312" w:eastAsia="仿宋_GB2312"/>
          <w:sz w:val="32"/>
        </w:rPr>
        <w:t>委托代理人：张倩，上海市锦天城（深圳）律师事务所律师</w:t>
      </w:r>
    </w:p>
    <w:p>
      <w:pPr>
        <w:spacing w:line="570" w:lineRule="exact"/>
        <w:ind w:firstLine="640" w:firstLineChars="200"/>
        <w:rPr>
          <w:rFonts w:ascii="仿宋_GB2312" w:eastAsia="仿宋_GB2312"/>
          <w:sz w:val="32"/>
          <w:szCs w:val="32"/>
        </w:rPr>
      </w:pPr>
      <w:r>
        <w:rPr>
          <w:rFonts w:hint="eastAsia" w:ascii="仿宋_GB2312" w:eastAsia="仿宋_GB2312"/>
          <w:sz w:val="32"/>
        </w:rPr>
        <w:t>委托代理人：杨丹蕾，上海市锦天城（深圳）律师事务所实习律师</w:t>
      </w:r>
    </w:p>
    <w:p>
      <w:pPr>
        <w:spacing w:line="57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深圳市住房公积金管理中心</w:t>
      </w:r>
    </w:p>
    <w:p>
      <w:pPr>
        <w:spacing w:line="57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pPr>
        <w:spacing w:line="57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法定代表人：袁以立，主任</w:t>
      </w:r>
    </w:p>
    <w:p>
      <w:pPr>
        <w:spacing w:line="570" w:lineRule="exact"/>
        <w:ind w:firstLine="640" w:firstLineChars="200"/>
        <w:rPr>
          <w:rFonts w:ascii="仿宋_GB2312" w:hAnsi="华文中宋" w:eastAsia="仿宋_GB2312"/>
          <w:sz w:val="32"/>
          <w:szCs w:val="32"/>
        </w:rPr>
      </w:pPr>
    </w:p>
    <w:p>
      <w:pPr>
        <w:spacing w:line="570" w:lineRule="exact"/>
        <w:ind w:firstLine="640" w:firstLineChars="200"/>
        <w:rPr>
          <w:rFonts w:ascii="仿宋_GB2312" w:hAnsi="仿宋_GB2312" w:eastAsia="仿宋_GB2312"/>
          <w:sz w:val="32"/>
          <w:szCs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以深公积金责限〔2018〕</w:t>
      </w:r>
      <w:r>
        <w:rPr>
          <w:rFonts w:hint="eastAsia" w:ascii="仿宋_GB2312" w:eastAsia="仿宋_GB2312"/>
          <w:sz w:val="32"/>
          <w:szCs w:val="32"/>
        </w:rPr>
        <w:t>××</w:t>
      </w:r>
      <w:r>
        <w:rPr>
          <w:rFonts w:hint="eastAsia" w:ascii="仿宋_GB2312" w:hAnsi="仿宋" w:eastAsia="仿宋_GB2312"/>
          <w:sz w:val="32"/>
          <w:szCs w:val="32"/>
        </w:rPr>
        <w:t>号《责令限期缴存决定书》作出的具体行政行为</w:t>
      </w:r>
      <w:r>
        <w:rPr>
          <w:rFonts w:hint="eastAsia" w:ascii="仿宋_GB2312" w:eastAsia="仿宋_GB2312" w:cs="仿宋_GB2312"/>
          <w:sz w:val="32"/>
          <w:szCs w:val="32"/>
        </w:rPr>
        <w:t>，</w:t>
      </w:r>
      <w:r>
        <w:rPr>
          <w:rFonts w:ascii="仿宋_GB2312" w:hAnsi="仿宋_GB2312" w:eastAsia="仿宋_GB2312"/>
          <w:sz w:val="32"/>
        </w:rPr>
        <w:t>向本机关申请行政复议，</w:t>
      </w:r>
      <w:r>
        <w:rPr>
          <w:rFonts w:ascii="仿宋_GB2312" w:hAnsi="仿宋_GB2312" w:eastAsia="仿宋_GB2312"/>
          <w:sz w:val="32"/>
          <w:szCs w:val="32"/>
        </w:rPr>
        <w:t>本机关依法受理。被申请人向本机关提交了书面答复及有关证据和依据</w:t>
      </w:r>
      <w:r>
        <w:rPr>
          <w:rFonts w:hint="eastAsia" w:ascii="仿宋_GB2312" w:hAnsi="仿宋_GB2312" w:eastAsia="仿宋_GB2312"/>
          <w:sz w:val="32"/>
          <w:szCs w:val="32"/>
        </w:rPr>
        <w:t>。本</w:t>
      </w:r>
      <w:r>
        <w:rPr>
          <w:rFonts w:ascii="仿宋_GB2312" w:hAnsi="仿宋_GB2312" w:eastAsia="仿宋_GB2312"/>
          <w:sz w:val="32"/>
          <w:szCs w:val="32"/>
        </w:rPr>
        <w:t>案现已审理终结</w:t>
      </w:r>
      <w:r>
        <w:rPr>
          <w:rFonts w:hint="eastAsia" w:ascii="仿宋_GB2312" w:hAnsi="仿宋_GB2312" w:eastAsia="仿宋_GB2312"/>
          <w:sz w:val="32"/>
          <w:szCs w:val="32"/>
        </w:rPr>
        <w:t>。</w:t>
      </w:r>
    </w:p>
    <w:p>
      <w:pPr>
        <w:spacing w:line="570" w:lineRule="exact"/>
        <w:ind w:firstLine="640" w:firstLineChars="200"/>
        <w:rPr>
          <w:rFonts w:ascii="仿宋_GB2312" w:eastAsia="仿宋_GB2312"/>
          <w:sz w:val="32"/>
          <w:szCs w:val="32"/>
        </w:rPr>
      </w:pPr>
      <w:r>
        <w:rPr>
          <w:rFonts w:eastAsia="黑体"/>
          <w:sz w:val="32"/>
        </w:rPr>
        <w:t>申请人称：</w:t>
      </w:r>
      <w:r>
        <w:rPr>
          <w:rFonts w:hint="eastAsia" w:ascii="仿宋_GB2312" w:eastAsia="仿宋_GB2312"/>
          <w:sz w:val="32"/>
          <w:szCs w:val="32"/>
        </w:rPr>
        <w:t>一、申请人对决定书所反映的事实有异议。关于未按规定为涉案职工缴存住房公积金事项：经核查，申请人确曾与涉案职工存在劳动关系，双方签署了《协商解除劳动合同协议》，解除劳动关系。2011年1月始，申请人根据经全体员工及工会同意并通过的《××(深圳）住房公积金管理制度》之规定，在涉案职工本人充分知悉之前提下，结合涉案职工同意或自愿申请的方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作出的《责令限期缴存决定书》中描述的内容缺乏事实根据和客观依据，属于《中华人民共和国行政复议法》第二十八条第三款第(一）项“主要事实不清、证据不足的”的情形。</w:t>
      </w:r>
    </w:p>
    <w:p>
      <w:pPr>
        <w:spacing w:line="570" w:lineRule="exact"/>
        <w:ind w:firstLine="640" w:firstLineChars="200"/>
        <w:rPr>
          <w:rFonts w:ascii="仿宋_GB2312" w:eastAsia="仿宋_GB2312"/>
          <w:sz w:val="32"/>
          <w:szCs w:val="32"/>
        </w:rPr>
      </w:pPr>
      <w:r>
        <w:rPr>
          <w:rFonts w:hint="eastAsia" w:ascii="仿宋_GB2312" w:eastAsia="仿宋_GB2312"/>
          <w:sz w:val="32"/>
          <w:szCs w:val="32"/>
        </w:rPr>
        <w:t>二、申请人对决定书所反映的补缴金额有异议。1.关于补缴金额核查的事项。申请人于2018 年9月25日收到被申请人出具的《核查通知书》,要求10日内对所反映的事实和补缴数额、比例、基数等进行核实，但由于涉案职工已经离职，申请人在住房公积金系统内无查实权限，且申请人现已全面停产停工，绝大部分员工已经离职，相关人员严重不足，进一步调查取证历史数据资料需要耗费更多时间。为了厘清事实，保障各方当事人利益，申请人根据每位涉案员工的不同情况全面客观地计算出缴存的基数以便进行比对核查，申请人分别于2018年9月14日和2018年9月28日向被申请人递交《举证申请书》和《补缴异议及延期举证申请书》，明确对于涉案职工所反映的事实，补缴情况存有异议，请求被申请人准予申请人延期举证，以便申请人尽可能搜集、补充提供更为详尽的证明资料，但被申请人未予采纳，并且向被申请人请求提供涉案职工提交的证据资料以便核对时，亦遭拒绝，导致申请人难以有效而充分举证。申请人在未充分核实缴存数额的情况下就作出决定书，事实认定不清、缺乏客观依据。2.关于补缴金额的基数计算事项。申请人核算数据后发现，被申请人出具的《住房公积金应缴数额统计表》中涉案职工上年度月平均工资的数额（即公积金缴纳的基数）均高于申请人实际的数额，导致了被申请人决定书中要求的补缴金额高于申请人根据历年数据统计后算出的补缴金额。经调查，公司认为有以下两个方面的原因导致被申请人核算的缴纳基数高于公司的数据：一是申请人从2009年起，在为员工缴纳医疗保险单位部分的同时，也为员工缴纳了医疗保险的个人应缴部分，且未从员工工资中扣除其个人应缴部分，但被申请人在计算工资基数时，没有顾及到实际情况，在实发工资的基础上加入了医疗保险个人应缴的数额，导致了基数偏高的情况。二是申请人在报销部分员工相关费用（如差旅费、交通费） 时，通过银行转账发放到员工的账户上，被申请人在计算工资基数时，没有具体区分银行流水金额的性质，将这些本不属于工资的部分算入了工资基数中，导致了被申请人统计基数高于申请人实际工资基数的结果。被申请人在没有具体核实涉案职工工资构成和银行流水中款项性质就将其作为计算缴存基数的依据从而计算出缴存决定书中的欠缴金额，缺乏客观性，属于主要事实不清、证据不足的情形。</w:t>
      </w:r>
    </w:p>
    <w:p>
      <w:pPr>
        <w:spacing w:line="570" w:lineRule="exact"/>
        <w:ind w:firstLine="640" w:firstLineChars="200"/>
        <w:rPr>
          <w:rFonts w:ascii="仿宋_GB2312" w:eastAsia="仿宋_GB2312"/>
          <w:sz w:val="32"/>
        </w:rPr>
      </w:pPr>
      <w:r>
        <w:rPr>
          <w:rFonts w:hint="eastAsia" w:ascii="仿宋_GB2312" w:eastAsia="仿宋_GB2312"/>
          <w:sz w:val="32"/>
        </w:rPr>
        <w:t>三、申请人</w:t>
      </w:r>
      <w:r>
        <w:rPr>
          <w:rFonts w:hint="eastAsia" w:ascii="仿宋_GB2312" w:eastAsia="仿宋_GB2312"/>
          <w:sz w:val="32"/>
          <w:lang w:eastAsia="zh-CN"/>
        </w:rPr>
        <w:t>已</w:t>
      </w:r>
      <w:bookmarkStart w:id="0" w:name="_GoBack"/>
      <w:bookmarkEnd w:id="0"/>
      <w:r>
        <w:rPr>
          <w:rFonts w:hint="eastAsia" w:ascii="仿宋_GB2312" w:eastAsia="仿宋_GB2312"/>
          <w:sz w:val="32"/>
        </w:rPr>
        <w:t>经为涉案职工缴存了住房公积金，且涉案职工已与申请人协商一致解除劳动合同、办理离职手续，并已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w:t>
      </w:r>
      <w:r>
        <w:rPr>
          <w:rFonts w:hint="eastAsia" w:ascii="仿宋_GB2312" w:eastAsia="仿宋_GB2312"/>
          <w:sz w:val="32"/>
          <w:szCs w:val="32"/>
        </w:rPr>
        <w:t>××</w:t>
      </w:r>
      <w:r>
        <w:rPr>
          <w:rFonts w:hint="eastAsia" w:ascii="仿宋_GB2312" w:eastAsia="仿宋_GB2312"/>
          <w:sz w:val="32"/>
        </w:rPr>
        <w:t>（深圳）住房公积金管理制度》《住房公积金管理实施办法细则说明》《补充说明》等相关制度。根据与工会商定的缴存基数缴存住房公积金，及/或部分员工为了多得工资等个人原因不愿缴纳住房公积金而向申请人提出自动放弃缴存的申请，故申请人即便存在少缴部分住房公积金的情况，该等做法一直以来亦已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定经济补偿金外，申请人同意向自愿离职的员工支付协商解除奖金。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已经明确放弃要求补缴住房公积金相关权利，而被申请人作出的决定书以及前期的核查，本质上是基于涉案职工的投诉和补缴请求，既然涉案职工要求补缴不具备依据，因此漏缴、少缴的住房公积金不应予以补缴。</w:t>
      </w:r>
    </w:p>
    <w:p>
      <w:pPr>
        <w:spacing w:line="570" w:lineRule="exact"/>
        <w:ind w:firstLine="640" w:firstLineChars="200"/>
        <w:rPr>
          <w:rFonts w:ascii="仿宋_GB2312" w:eastAsia="仿宋_GB2312"/>
          <w:sz w:val="32"/>
        </w:rPr>
      </w:pPr>
      <w:r>
        <w:rPr>
          <w:rFonts w:hint="eastAsia" w:ascii="仿宋_GB2312" w:eastAsia="仿宋_GB2312"/>
          <w:sz w:val="32"/>
        </w:rPr>
        <w:t>四、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pPr>
        <w:spacing w:line="570" w:lineRule="exact"/>
        <w:ind w:firstLine="640" w:firstLineChars="200"/>
        <w:rPr>
          <w:rFonts w:ascii="仿宋_GB2312" w:eastAsia="仿宋_GB2312" w:cs="仿宋_GB2312"/>
          <w:sz w:val="32"/>
          <w:szCs w:val="32"/>
        </w:rPr>
      </w:pPr>
      <w:r>
        <w:rPr>
          <w:rFonts w:hint="eastAsia" w:ascii="仿宋_GB2312" w:eastAsia="仿宋_GB2312"/>
          <w:sz w:val="32"/>
        </w:rPr>
        <w:t>综上所述，决定书中关于要求申请人补缴住房公积金的内容事实认定不清、证据不足，缺乏法律依据，在情理上也有不当之处，应予纠正，故请求依法撤销</w:t>
      </w:r>
      <w:r>
        <w:rPr>
          <w:rFonts w:hint="eastAsia" w:ascii="仿宋_GB2312" w:eastAsia="仿宋_GB2312" w:cs="仿宋_GB2312"/>
          <w:sz w:val="32"/>
          <w:szCs w:val="32"/>
        </w:rPr>
        <w:t>被申请人作出的《责令限期缴存决定书》。</w:t>
      </w:r>
    </w:p>
    <w:p>
      <w:pPr>
        <w:spacing w:line="570" w:lineRule="exact"/>
        <w:ind w:firstLine="640" w:firstLineChars="200"/>
        <w:rPr>
          <w:rFonts w:ascii="仿宋_GB2312" w:eastAsia="仿宋_GB2312"/>
          <w:sz w:val="32"/>
        </w:rPr>
      </w:pPr>
      <w:r>
        <w:rPr>
          <w:rFonts w:hint="eastAsia" w:ascii="黑体" w:hAnsi="黑体" w:eastAsia="黑体"/>
          <w:sz w:val="32"/>
          <w:szCs w:val="32"/>
        </w:rPr>
        <w:t>被申请人答复称：</w:t>
      </w:r>
      <w:r>
        <w:rPr>
          <w:rFonts w:hint="eastAsia" w:ascii="仿宋_GB2312" w:eastAsia="仿宋_GB2312"/>
          <w:sz w:val="32"/>
        </w:rPr>
        <w:t>一、案件基本情况。涉案职工到被申请人福田管理部递交资料，投诉申请人未按规定缴存住房公积金。经查，申请人未按涉案职工上年度月平均工资标准缴存住房公积金，存在少缴住房公积金行为，被申请人就涉案职工的诉求予以立案，并向申请人送达了《核查通知书》。申请人收到《核查通知书》后提出异议，但经被申请人核查异议不成立，未予采纳，被申请人遂向申请人送达了《责令限期缴存决定书》。</w:t>
      </w:r>
    </w:p>
    <w:p>
      <w:pPr>
        <w:spacing w:line="570" w:lineRule="exact"/>
        <w:ind w:firstLine="640" w:firstLineChars="200"/>
        <w:rPr>
          <w:rFonts w:ascii="仿宋_GB2312" w:eastAsia="仿宋_GB2312"/>
          <w:sz w:val="32"/>
        </w:rPr>
      </w:pPr>
      <w:r>
        <w:rPr>
          <w:rFonts w:hint="eastAsia" w:ascii="仿宋_GB2312" w:eastAsia="仿宋_GB2312"/>
          <w:sz w:val="32"/>
        </w:rPr>
        <w:t>二、申请人的申请理由不成立。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职工本人上一年度月平均工资，不能由缴存义务主体自行确定。申请人称被申请人未予采纳其延期举证申请，且请求提供涉案职工提交的证据资料以便核对时遭到拒绝，导致其难以有效充分举证；涉案职工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涉案职工离职时，已获得法定经济补偿金之外的额外补偿，不应为涉案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涉案职工本人应同时或先行补缴需依法承担的部分。虽然涉案职工也需要依法承担住房公积金缴存义务，但涉案职工补缴与否与被申请人作出的责令申请人限期缴存决定无关联关系，申请人不能以此为由逃避补缴责任。综上，申请人的申请理由不成立。</w:t>
      </w:r>
    </w:p>
    <w:p>
      <w:pPr>
        <w:spacing w:line="570" w:lineRule="exact"/>
        <w:ind w:firstLine="640" w:firstLineChars="200"/>
        <w:rPr>
          <w:rFonts w:ascii="仿宋_GB2312" w:eastAsia="仿宋_GB2312"/>
          <w:sz w:val="32"/>
        </w:rPr>
      </w:pPr>
      <w:r>
        <w:rPr>
          <w:rFonts w:hint="eastAsia" w:ascii="仿宋_GB2312" w:eastAsia="仿宋_GB2312"/>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hint="eastAsia"/>
        </w:rPr>
        <w:t xml:space="preserve"> </w:t>
      </w:r>
      <w:r>
        <w:rPr>
          <w:rFonts w:hint="eastAsia" w:ascii="仿宋_GB2312" w:eastAsia="仿宋_GB2312"/>
          <w:sz w:val="32"/>
        </w:rPr>
        <w:t>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pPr>
        <w:spacing w:line="570" w:lineRule="exact"/>
        <w:ind w:firstLine="640" w:firstLineChars="200"/>
        <w:rPr>
          <w:rFonts w:ascii="仿宋_GB2312" w:eastAsia="仿宋_GB2312"/>
          <w:sz w:val="32"/>
        </w:rPr>
      </w:pPr>
      <w:r>
        <w:rPr>
          <w:rFonts w:hint="eastAsia" w:ascii="仿宋_GB2312" w:eastAsia="仿宋_GB2312"/>
          <w:sz w:val="32"/>
        </w:rPr>
        <w:t>综上所述，被申请人作出的上述行政处理决定认定事实清楚，证据确凿，适用法律正确，符合法定程序，处理恰当，请予以维持。</w:t>
      </w:r>
    </w:p>
    <w:p>
      <w:pPr>
        <w:spacing w:line="570" w:lineRule="exact"/>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仿宋" w:eastAsia="仿宋_GB2312"/>
          <w:sz w:val="32"/>
          <w:szCs w:val="32"/>
        </w:rPr>
        <w:t>2018年9月，</w:t>
      </w:r>
      <w:r>
        <w:rPr>
          <w:rFonts w:hint="eastAsia" w:ascii="仿宋_GB2312" w:eastAsia="仿宋_GB2312"/>
          <w:sz w:val="32"/>
        </w:rPr>
        <w:t>杨某</w:t>
      </w:r>
      <w:r>
        <w:rPr>
          <w:rFonts w:hint="eastAsia" w:ascii="仿宋_GB2312" w:hAnsi="仿宋" w:eastAsia="仿宋_GB2312"/>
          <w:sz w:val="32"/>
          <w:szCs w:val="32"/>
        </w:rPr>
        <w:t>向被申请人投诉并提交有关证据材料，称申请人少缴住房公积金。随后，被申请人向申请人作出《核查通知书》，该《核查通知书》载明被申请人请申请人核实涉案职工与申请人是否存在劳动关系、申请人是否为涉案职工缴存了住房公积金以及涉案职工相关年度住房公积金缴存基数和缴存比例是否正确等情况。被</w:t>
      </w:r>
      <w:r>
        <w:rPr>
          <w:rFonts w:ascii="仿宋_GB2312" w:hAnsi="仿宋" w:eastAsia="仿宋_GB2312"/>
          <w:sz w:val="32"/>
          <w:szCs w:val="32"/>
        </w:rPr>
        <w:t>申请人在该《</w:t>
      </w:r>
      <w:r>
        <w:rPr>
          <w:rFonts w:hint="eastAsia" w:ascii="仿宋_GB2312" w:hAnsi="仿宋" w:eastAsia="仿宋_GB2312"/>
          <w:sz w:val="32"/>
          <w:szCs w:val="32"/>
        </w:rPr>
        <w:t>核查通知书</w:t>
      </w:r>
      <w:r>
        <w:rPr>
          <w:rFonts w:ascii="仿宋_GB2312" w:hAnsi="仿宋" w:eastAsia="仿宋_GB2312"/>
          <w:sz w:val="32"/>
          <w:szCs w:val="32"/>
        </w:rPr>
        <w:t>》</w:t>
      </w:r>
      <w:r>
        <w:rPr>
          <w:rFonts w:hint="eastAsia" w:ascii="仿宋_GB2312" w:hAnsi="仿宋" w:eastAsia="仿宋_GB2312"/>
          <w:sz w:val="32"/>
          <w:szCs w:val="32"/>
        </w:rPr>
        <w:t>中</w:t>
      </w:r>
      <w:r>
        <w:rPr>
          <w:rFonts w:ascii="仿宋_GB2312" w:hAnsi="仿宋" w:eastAsia="仿宋_GB2312"/>
          <w:sz w:val="32"/>
          <w:szCs w:val="32"/>
        </w:rPr>
        <w:t>亦告知申请人</w:t>
      </w:r>
      <w:r>
        <w:rPr>
          <w:rFonts w:hint="eastAsia" w:ascii="仿宋_GB2312" w:hAnsi="仿宋" w:eastAsia="仿宋_GB2312"/>
          <w:sz w:val="32"/>
          <w:szCs w:val="32"/>
        </w:rPr>
        <w:t>：“若你</w:t>
      </w:r>
      <w:r>
        <w:rPr>
          <w:rFonts w:ascii="仿宋_GB2312" w:hAnsi="仿宋" w:eastAsia="仿宋_GB2312"/>
          <w:sz w:val="32"/>
          <w:szCs w:val="32"/>
        </w:rPr>
        <w:t>单位对职工所</w:t>
      </w:r>
      <w:r>
        <w:rPr>
          <w:rFonts w:hint="eastAsia" w:ascii="仿宋_GB2312" w:hAnsi="仿宋" w:eastAsia="仿宋_GB2312"/>
          <w:sz w:val="32"/>
          <w:szCs w:val="32"/>
        </w:rPr>
        <w:t>反映</w:t>
      </w:r>
      <w:r>
        <w:rPr>
          <w:rFonts w:ascii="仿宋_GB2312" w:hAnsi="仿宋" w:eastAsia="仿宋_GB2312"/>
          <w:sz w:val="32"/>
          <w:szCs w:val="32"/>
        </w:rPr>
        <w:t>的事实、</w:t>
      </w:r>
      <w:r>
        <w:rPr>
          <w:rFonts w:hint="eastAsia" w:ascii="仿宋_GB2312" w:hAnsi="仿宋" w:eastAsia="仿宋_GB2312"/>
          <w:sz w:val="32"/>
          <w:szCs w:val="32"/>
        </w:rPr>
        <w:t>补缴</w:t>
      </w:r>
      <w:r>
        <w:rPr>
          <w:rFonts w:ascii="仿宋_GB2312" w:hAnsi="仿宋" w:eastAsia="仿宋_GB2312"/>
          <w:sz w:val="32"/>
          <w:szCs w:val="32"/>
        </w:rPr>
        <w:t>数额有异议，请于收到本通知书之日起</w:t>
      </w:r>
      <w:r>
        <w:rPr>
          <w:rFonts w:hint="eastAsia" w:ascii="仿宋_GB2312" w:hAnsi="仿宋" w:eastAsia="仿宋_GB2312"/>
          <w:sz w:val="32"/>
          <w:szCs w:val="32"/>
        </w:rPr>
        <w:t>10日</w:t>
      </w:r>
      <w:r>
        <w:rPr>
          <w:rFonts w:ascii="仿宋_GB2312" w:hAnsi="仿宋" w:eastAsia="仿宋_GB2312"/>
          <w:sz w:val="32"/>
          <w:szCs w:val="32"/>
        </w:rPr>
        <w:t>内提出异议并附上加盖</w:t>
      </w:r>
      <w:r>
        <w:rPr>
          <w:rFonts w:hint="eastAsia" w:ascii="仿宋_GB2312" w:hAnsi="仿宋" w:eastAsia="仿宋_GB2312"/>
          <w:sz w:val="32"/>
          <w:szCs w:val="32"/>
        </w:rPr>
        <w:t>公章</w:t>
      </w:r>
      <w:r>
        <w:rPr>
          <w:rFonts w:ascii="仿宋_GB2312" w:hAnsi="仿宋" w:eastAsia="仿宋_GB2312"/>
          <w:sz w:val="32"/>
          <w:szCs w:val="32"/>
        </w:rPr>
        <w:t>的证明资料</w:t>
      </w:r>
      <w:r>
        <w:rPr>
          <w:rFonts w:hint="eastAsia" w:ascii="仿宋_GB2312" w:hAnsi="仿宋" w:eastAsia="仿宋_GB2312"/>
          <w:sz w:val="32"/>
          <w:szCs w:val="32"/>
        </w:rPr>
        <w:t>。未在规定</w:t>
      </w:r>
      <w:r>
        <w:rPr>
          <w:rFonts w:ascii="仿宋_GB2312" w:hAnsi="仿宋" w:eastAsia="仿宋_GB2312"/>
          <w:sz w:val="32"/>
          <w:szCs w:val="32"/>
        </w:rPr>
        <w:t>时间内提出异议并提交相应证据材料的，视为承认职工主张的事实和诉求，并承担相应法律后果</w:t>
      </w:r>
      <w:r>
        <w:rPr>
          <w:rFonts w:hint="eastAsia" w:ascii="仿宋_GB2312" w:hAnsi="仿宋" w:eastAsia="仿宋_GB2312"/>
          <w:sz w:val="32"/>
          <w:szCs w:val="32"/>
        </w:rPr>
        <w:t>。</w:t>
      </w:r>
      <w:r>
        <w:rPr>
          <w:rFonts w:ascii="仿宋_GB2312" w:hAnsi="仿宋" w:eastAsia="仿宋_GB2312"/>
          <w:sz w:val="32"/>
          <w:szCs w:val="32"/>
        </w:rPr>
        <w:t>……</w:t>
      </w:r>
      <w:r>
        <w:rPr>
          <w:rFonts w:hint="eastAsia" w:ascii="仿宋_GB2312" w:hAnsi="仿宋" w:eastAsia="仿宋_GB2312"/>
          <w:sz w:val="32"/>
          <w:szCs w:val="32"/>
        </w:rPr>
        <w:t>逾期不</w:t>
      </w:r>
      <w:r>
        <w:rPr>
          <w:rFonts w:ascii="仿宋_GB2312" w:hAnsi="仿宋" w:eastAsia="仿宋_GB2312"/>
          <w:sz w:val="32"/>
          <w:szCs w:val="32"/>
        </w:rPr>
        <w:t>提出异议又不办理补缴手续的，我中心将按《</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有关</w:t>
      </w:r>
      <w:r>
        <w:rPr>
          <w:rFonts w:ascii="仿宋_GB2312" w:hAnsi="仿宋" w:eastAsia="仿宋_GB2312"/>
          <w:sz w:val="32"/>
          <w:szCs w:val="32"/>
        </w:rPr>
        <w:t>规定处理。</w:t>
      </w:r>
      <w:r>
        <w:rPr>
          <w:rFonts w:hint="eastAsia" w:ascii="仿宋_GB2312" w:hAnsi="仿宋" w:eastAsia="仿宋_GB2312"/>
          <w:sz w:val="32"/>
          <w:szCs w:val="32"/>
        </w:rPr>
        <w:t>”2018年9月至10月，申请人先后向被申请人提交《补缴异议及延期举证申请书》《关于住房公积金核查事宜的异议书》、员工履历、劳动合同期限变更及劳动合同终止协议、协商解除劳动合同协议补充协议等材料。2018年10月，被申请人向</w:t>
      </w:r>
      <w:r>
        <w:rPr>
          <w:rFonts w:ascii="仿宋_GB2312" w:hAnsi="仿宋" w:eastAsia="仿宋_GB2312"/>
          <w:sz w:val="32"/>
          <w:szCs w:val="32"/>
        </w:rPr>
        <w:t>申请人</w:t>
      </w:r>
      <w:r>
        <w:rPr>
          <w:rFonts w:hint="eastAsia" w:ascii="仿宋_GB2312" w:hAnsi="仿宋" w:eastAsia="仿宋_GB2312"/>
          <w:sz w:val="32"/>
          <w:szCs w:val="32"/>
        </w:rPr>
        <w:t>作出《责令限期缴存决定书》，责令申请人自收到决定书之日起10日内为杨某补缴2011年1月至2014年6月期间的住房公积金合计12616元。申请人对此不服而向本机关申请行政复议，要求撤销《责令限期缴存决定书》。</w:t>
      </w:r>
    </w:p>
    <w:p>
      <w:pPr>
        <w:spacing w:line="570" w:lineRule="exact"/>
        <w:ind w:firstLine="640" w:firstLineChars="200"/>
        <w:rPr>
          <w:rFonts w:ascii="仿宋_GB2312" w:hAnsi="仿宋"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被申请人依据</w:t>
      </w:r>
      <w:r>
        <w:rPr>
          <w:rFonts w:hint="eastAsia" w:ascii="仿宋_GB2312" w:hAnsi="仿宋" w:eastAsia="仿宋_GB2312"/>
          <w:sz w:val="32"/>
          <w:szCs w:val="32"/>
        </w:rPr>
        <w:t>《住房公积金管理条例》和《深圳市住房公积金管理暂行办法》的规定受理</w:t>
      </w:r>
      <w:r>
        <w:rPr>
          <w:rFonts w:hint="eastAsia" w:ascii="仿宋_GB2312" w:eastAsia="仿宋_GB2312"/>
          <w:sz w:val="32"/>
        </w:rPr>
        <w:t>涉案职工</w:t>
      </w:r>
      <w:r>
        <w:rPr>
          <w:rFonts w:hint="eastAsia" w:ascii="仿宋_GB2312" w:hAnsi="仿宋" w:eastAsia="仿宋_GB2312"/>
          <w:sz w:val="32"/>
          <w:szCs w:val="32"/>
        </w:rPr>
        <w:t>的投诉后，依法就投诉的事项进行调查取证，但被申请人核算涉案职工的缴存基数明显有误，故被申请人向申请人作出的《责令限期缴存决定书》主要事实不清、证据不足，依法应予撤销。因此，根据《中华人民共和国行政复议法》第二十八条第一款第（三）项的规定，本机关作出复议决定如下：</w:t>
      </w:r>
    </w:p>
    <w:p>
      <w:pPr>
        <w:spacing w:line="570" w:lineRule="exact"/>
        <w:ind w:firstLine="640" w:firstLineChars="200"/>
        <w:rPr>
          <w:rFonts w:ascii="仿宋_GB2312" w:hAnsi="仿宋" w:eastAsia="仿宋_GB2312"/>
          <w:sz w:val="32"/>
          <w:szCs w:val="32"/>
        </w:rPr>
      </w:pPr>
      <w:r>
        <w:rPr>
          <w:rFonts w:hint="eastAsia" w:ascii="仿宋_GB2312" w:hAnsi="仿宋" w:eastAsia="仿宋_GB2312"/>
          <w:sz w:val="32"/>
          <w:szCs w:val="32"/>
        </w:rPr>
        <w:t>撤销被申请人深圳市住房公积金管理中心以深公积金责限〔2018〕</w:t>
      </w:r>
      <w:r>
        <w:rPr>
          <w:rFonts w:hint="eastAsia" w:ascii="仿宋_GB2312" w:eastAsia="仿宋_GB2312"/>
          <w:sz w:val="32"/>
          <w:szCs w:val="32"/>
        </w:rPr>
        <w:t>××</w:t>
      </w:r>
      <w:r>
        <w:rPr>
          <w:rFonts w:hint="eastAsia" w:ascii="仿宋_GB2312" w:hAnsi="仿宋" w:eastAsia="仿宋_GB2312"/>
          <w:sz w:val="32"/>
          <w:szCs w:val="32"/>
        </w:rPr>
        <w:t>号《责令限期缴存决定书》作出的具体行政行为。</w:t>
      </w:r>
    </w:p>
    <w:p>
      <w:pPr>
        <w:spacing w:line="570" w:lineRule="exact"/>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有管辖权的</w:t>
      </w:r>
      <w:r>
        <w:rPr>
          <w:rFonts w:ascii="仿宋_GB2312" w:eastAsia="仿宋_GB2312"/>
          <w:kern w:val="2"/>
          <w:sz w:val="32"/>
          <w:szCs w:val="32"/>
        </w:rPr>
        <w:t>人民法院提起诉讼。</w:t>
      </w:r>
    </w:p>
    <w:p>
      <w:pPr>
        <w:spacing w:line="570" w:lineRule="exact"/>
        <w:ind w:firstLine="640" w:firstLineChars="200"/>
        <w:rPr>
          <w:rFonts w:ascii="仿宋_GB2312" w:eastAsia="仿宋_GB2312"/>
          <w:kern w:val="2"/>
          <w:sz w:val="32"/>
          <w:szCs w:val="32"/>
        </w:rPr>
      </w:pPr>
    </w:p>
    <w:p>
      <w:pPr>
        <w:suppressAutoHyphens w:val="0"/>
        <w:spacing w:line="570" w:lineRule="exact"/>
        <w:ind w:firstLine="5440" w:firstLineChars="1700"/>
        <w:rPr>
          <w:rFonts w:ascii="仿宋_GB2312" w:eastAsia="仿宋_GB2312"/>
          <w:kern w:val="2"/>
          <w:sz w:val="32"/>
          <w:szCs w:val="32"/>
        </w:rPr>
      </w:pPr>
    </w:p>
    <w:p>
      <w:pPr>
        <w:suppressAutoHyphens w:val="0"/>
        <w:spacing w:line="57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spacing w:line="570" w:lineRule="exact"/>
        <w:ind w:firstLine="640" w:firstLineChars="200"/>
        <w:rPr>
          <w:rFonts w:ascii="仿宋_GB2312"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2019</w:t>
      </w:r>
      <w:r>
        <w:rPr>
          <w:rFonts w:ascii="仿宋_GB2312" w:eastAsia="仿宋_GB2312"/>
          <w:kern w:val="2"/>
          <w:sz w:val="32"/>
          <w:szCs w:val="32"/>
        </w:rPr>
        <w:t>年</w:t>
      </w:r>
      <w:r>
        <w:rPr>
          <w:rFonts w:hint="eastAsia" w:ascii="仿宋_GB2312" w:eastAsia="仿宋_GB2312"/>
          <w:kern w:val="2"/>
          <w:sz w:val="32"/>
          <w:szCs w:val="32"/>
        </w:rPr>
        <w:t>2</w:t>
      </w:r>
      <w:r>
        <w:rPr>
          <w:rFonts w:ascii="仿宋_GB2312" w:eastAsia="仿宋_GB2312"/>
          <w:kern w:val="2"/>
          <w:sz w:val="32"/>
          <w:szCs w:val="32"/>
        </w:rPr>
        <w:t>月</w:t>
      </w:r>
      <w:r>
        <w:rPr>
          <w:rFonts w:hint="eastAsia" w:ascii="仿宋_GB2312" w:eastAsia="仿宋_GB2312"/>
          <w:kern w:val="2"/>
          <w:sz w:val="32"/>
          <w:szCs w:val="32"/>
        </w:rPr>
        <w:t>20</w:t>
      </w:r>
      <w:r>
        <w:rPr>
          <w:rFonts w:ascii="仿宋_GB2312" w:eastAsia="仿宋_GB2312"/>
          <w:kern w:val="2"/>
          <w:sz w:val="32"/>
          <w:szCs w:val="32"/>
        </w:rPr>
        <w:t>日</w:t>
      </w: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2"/>
          <w:jc w:val="center"/>
        </w:pPr>
        <w:r>
          <w:fldChar w:fldCharType="begin"/>
        </w:r>
        <w:r>
          <w:instrText xml:space="preserve"> PAGE   \* MERGEFORMAT </w:instrText>
        </w:r>
        <w:r>
          <w:fldChar w:fldCharType="separate"/>
        </w:r>
        <w:r>
          <w:rPr>
            <w:lang w:val="zh-CN"/>
          </w:rPr>
          <w:t>8</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4FB2"/>
    <w:rsid w:val="00001B50"/>
    <w:rsid w:val="00007CE3"/>
    <w:rsid w:val="00012E70"/>
    <w:rsid w:val="00025D73"/>
    <w:rsid w:val="00035FEB"/>
    <w:rsid w:val="00051E90"/>
    <w:rsid w:val="0005726C"/>
    <w:rsid w:val="00062321"/>
    <w:rsid w:val="000677DE"/>
    <w:rsid w:val="00073916"/>
    <w:rsid w:val="00097B6E"/>
    <w:rsid w:val="00182ECC"/>
    <w:rsid w:val="001A728D"/>
    <w:rsid w:val="001D03B6"/>
    <w:rsid w:val="001D4341"/>
    <w:rsid w:val="001D79AD"/>
    <w:rsid w:val="001E66FE"/>
    <w:rsid w:val="0021519C"/>
    <w:rsid w:val="00222E5F"/>
    <w:rsid w:val="00222FE7"/>
    <w:rsid w:val="00245371"/>
    <w:rsid w:val="002C1AE7"/>
    <w:rsid w:val="00326578"/>
    <w:rsid w:val="00326589"/>
    <w:rsid w:val="00345139"/>
    <w:rsid w:val="0035767F"/>
    <w:rsid w:val="003749A3"/>
    <w:rsid w:val="00393C5A"/>
    <w:rsid w:val="003A1579"/>
    <w:rsid w:val="003C21CD"/>
    <w:rsid w:val="003C6CEB"/>
    <w:rsid w:val="003E1CC3"/>
    <w:rsid w:val="003E3556"/>
    <w:rsid w:val="00424DFB"/>
    <w:rsid w:val="004409C2"/>
    <w:rsid w:val="004448D8"/>
    <w:rsid w:val="0046721D"/>
    <w:rsid w:val="00475B11"/>
    <w:rsid w:val="00484FB2"/>
    <w:rsid w:val="004859B3"/>
    <w:rsid w:val="00487852"/>
    <w:rsid w:val="00491364"/>
    <w:rsid w:val="00496602"/>
    <w:rsid w:val="004C0776"/>
    <w:rsid w:val="004F1E0F"/>
    <w:rsid w:val="004F54BB"/>
    <w:rsid w:val="005119E5"/>
    <w:rsid w:val="00542DB0"/>
    <w:rsid w:val="005473E3"/>
    <w:rsid w:val="005476AC"/>
    <w:rsid w:val="005625DB"/>
    <w:rsid w:val="00576223"/>
    <w:rsid w:val="005D7A22"/>
    <w:rsid w:val="005E3660"/>
    <w:rsid w:val="005E6B52"/>
    <w:rsid w:val="005E6F85"/>
    <w:rsid w:val="005F554F"/>
    <w:rsid w:val="006043E6"/>
    <w:rsid w:val="00620A77"/>
    <w:rsid w:val="00643FE7"/>
    <w:rsid w:val="00644863"/>
    <w:rsid w:val="00646C44"/>
    <w:rsid w:val="00667A4B"/>
    <w:rsid w:val="00675273"/>
    <w:rsid w:val="006A3328"/>
    <w:rsid w:val="006C5046"/>
    <w:rsid w:val="006C7AFB"/>
    <w:rsid w:val="006F2E73"/>
    <w:rsid w:val="006F59A7"/>
    <w:rsid w:val="00711C1D"/>
    <w:rsid w:val="00720095"/>
    <w:rsid w:val="00722CD4"/>
    <w:rsid w:val="007301E9"/>
    <w:rsid w:val="0073525E"/>
    <w:rsid w:val="00751773"/>
    <w:rsid w:val="00760301"/>
    <w:rsid w:val="00761982"/>
    <w:rsid w:val="007716D1"/>
    <w:rsid w:val="007839D8"/>
    <w:rsid w:val="007C386D"/>
    <w:rsid w:val="007C6A9D"/>
    <w:rsid w:val="007E0E70"/>
    <w:rsid w:val="007F5845"/>
    <w:rsid w:val="007F6A1D"/>
    <w:rsid w:val="00806A56"/>
    <w:rsid w:val="00814516"/>
    <w:rsid w:val="00815B0B"/>
    <w:rsid w:val="00832660"/>
    <w:rsid w:val="008335FF"/>
    <w:rsid w:val="00835B98"/>
    <w:rsid w:val="0083786B"/>
    <w:rsid w:val="00857D96"/>
    <w:rsid w:val="00892EC5"/>
    <w:rsid w:val="0089480F"/>
    <w:rsid w:val="008A5660"/>
    <w:rsid w:val="008C3EE0"/>
    <w:rsid w:val="008E2B32"/>
    <w:rsid w:val="0092068F"/>
    <w:rsid w:val="00927F4A"/>
    <w:rsid w:val="00947DCB"/>
    <w:rsid w:val="00973546"/>
    <w:rsid w:val="00993497"/>
    <w:rsid w:val="009B2CBC"/>
    <w:rsid w:val="009B4D36"/>
    <w:rsid w:val="009E294F"/>
    <w:rsid w:val="009E496C"/>
    <w:rsid w:val="009F32F3"/>
    <w:rsid w:val="009F4DD9"/>
    <w:rsid w:val="00A50BC4"/>
    <w:rsid w:val="00A51344"/>
    <w:rsid w:val="00A671B6"/>
    <w:rsid w:val="00A82A84"/>
    <w:rsid w:val="00A85520"/>
    <w:rsid w:val="00A87BEB"/>
    <w:rsid w:val="00AB4FF0"/>
    <w:rsid w:val="00AC4AB1"/>
    <w:rsid w:val="00AD38AF"/>
    <w:rsid w:val="00AF509A"/>
    <w:rsid w:val="00B11707"/>
    <w:rsid w:val="00B23A78"/>
    <w:rsid w:val="00B738D7"/>
    <w:rsid w:val="00B8232E"/>
    <w:rsid w:val="00B84B37"/>
    <w:rsid w:val="00B87501"/>
    <w:rsid w:val="00B932F5"/>
    <w:rsid w:val="00BA2C9E"/>
    <w:rsid w:val="00BE12F2"/>
    <w:rsid w:val="00BE32B4"/>
    <w:rsid w:val="00BF22F6"/>
    <w:rsid w:val="00C37F43"/>
    <w:rsid w:val="00C466D9"/>
    <w:rsid w:val="00C54D11"/>
    <w:rsid w:val="00C63673"/>
    <w:rsid w:val="00C65FB8"/>
    <w:rsid w:val="00C82E80"/>
    <w:rsid w:val="00CB20C6"/>
    <w:rsid w:val="00CC053B"/>
    <w:rsid w:val="00CE07D4"/>
    <w:rsid w:val="00CE69DE"/>
    <w:rsid w:val="00D13932"/>
    <w:rsid w:val="00D5624D"/>
    <w:rsid w:val="00D613FB"/>
    <w:rsid w:val="00D87319"/>
    <w:rsid w:val="00D945F7"/>
    <w:rsid w:val="00DA55C3"/>
    <w:rsid w:val="00DC387E"/>
    <w:rsid w:val="00DD5915"/>
    <w:rsid w:val="00DF1835"/>
    <w:rsid w:val="00DF64A9"/>
    <w:rsid w:val="00E036EB"/>
    <w:rsid w:val="00E15680"/>
    <w:rsid w:val="00E162A1"/>
    <w:rsid w:val="00E401DD"/>
    <w:rsid w:val="00E43E99"/>
    <w:rsid w:val="00E44F69"/>
    <w:rsid w:val="00E51260"/>
    <w:rsid w:val="00E67EAD"/>
    <w:rsid w:val="00E83268"/>
    <w:rsid w:val="00E94492"/>
    <w:rsid w:val="00EB79D2"/>
    <w:rsid w:val="00EE146F"/>
    <w:rsid w:val="00EF1ABC"/>
    <w:rsid w:val="00EF51B7"/>
    <w:rsid w:val="00F0487E"/>
    <w:rsid w:val="00F524A6"/>
    <w:rsid w:val="00F72573"/>
    <w:rsid w:val="00F826D8"/>
    <w:rsid w:val="00F94C1F"/>
    <w:rsid w:val="00FC136D"/>
    <w:rsid w:val="00FC314F"/>
    <w:rsid w:val="00FC3FFD"/>
    <w:rsid w:val="00FC6C60"/>
    <w:rsid w:val="00FF68E4"/>
    <w:rsid w:val="28A019D1"/>
    <w:rsid w:val="3E7E4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kern w:val="2"/>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ylmfeng.com</Company>
  <Pages>9</Pages>
  <Words>828</Words>
  <Characters>4721</Characters>
  <Lines>39</Lines>
  <Paragraphs>11</Paragraphs>
  <TotalTime>2</TotalTime>
  <ScaleCrop>false</ScaleCrop>
  <LinksUpToDate>false</LinksUpToDate>
  <CharactersWithSpaces>5538</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2019-03-14T09:47:00Z</dcterms:created>
  <dc:creator>liu</dc:creator>
  <cp:lastModifiedBy>好饭友</cp:lastModifiedBy>
  <cp:lastPrinted>2019-02-19T03:39:00Z</cp:lastPrinted>
  <dcterms:modified xsi:type="dcterms:W3CDTF">2019-10-15T07:33:17Z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