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  圳  市  人  民  政  府</w:t>
      </w:r>
    </w:p>
    <w:p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行政复议决定书</w:t>
      </w:r>
    </w:p>
    <w:p>
      <w:pPr>
        <w:spacing w:line="580" w:lineRule="exact"/>
        <w:jc w:val="center"/>
      </w:pPr>
    </w:p>
    <w:p>
      <w:pPr>
        <w:spacing w:line="580" w:lineRule="exact"/>
        <w:jc w:val="right"/>
        <w:rPr>
          <w:rFonts w:ascii="仿宋_GB2312" w:hAnsi="仿宋_GB2312" w:eastAsia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hint="eastAsia" w:ascii="仿宋_GB2312" w:hAnsi="仿宋_GB2312" w:eastAsia="仿宋_GB2312"/>
          <w:sz w:val="32"/>
        </w:rPr>
        <w:t>深府行复〔2020〕1292号</w:t>
      </w:r>
    </w:p>
    <w:p>
      <w:pPr>
        <w:spacing w:line="580" w:lineRule="exact"/>
        <w:rPr>
          <w:rFonts w:eastAsia="仿宋_GB2312"/>
          <w:sz w:val="32"/>
          <w:u w:val="single"/>
        </w:rPr>
      </w:pPr>
    </w:p>
    <w:p>
      <w:pPr>
        <w:spacing w:line="58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eastAsia="黑体"/>
          <w:sz w:val="32"/>
        </w:rPr>
        <w:t>申请人：</w:t>
      </w:r>
      <w:r>
        <w:rPr>
          <w:rFonts w:hint="eastAsia" w:ascii="仿宋_GB2312" w:hAnsi="仿宋_GB2312" w:eastAsia="仿宋_GB2312" w:cs="仿宋_GB2312"/>
          <w:sz w:val="32"/>
          <w:szCs w:val="32"/>
        </w:rPr>
        <w:t>深圳市</w:t>
      </w:r>
      <w:r>
        <w:rPr>
          <w:rFonts w:hint="eastAsia" w:eastAsia="仿宋_GB2312"/>
          <w:sz w:val="32"/>
        </w:rPr>
        <w:t>××</w:t>
      </w:r>
      <w:r>
        <w:rPr>
          <w:rStyle w:val="7"/>
          <w:rFonts w:hint="eastAsia" w:ascii="仿宋_GB2312" w:hAnsi="inherit" w:eastAsia="仿宋_GB2312"/>
          <w:sz w:val="32"/>
          <w:szCs w:val="32"/>
        </w:rPr>
        <w:t>珠宝首饰有限公司</w:t>
      </w:r>
    </w:p>
    <w:p>
      <w:pPr>
        <w:spacing w:line="580" w:lineRule="exact"/>
        <w:ind w:left="950" w:leftChars="300" w:hanging="320" w:hangingChars="1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法定代表人：</w:t>
      </w:r>
      <w:r>
        <w:rPr>
          <w:rFonts w:hint="eastAsia" w:ascii="仿宋_GB2312" w:eastAsia="仿宋_GB2312" w:cs="宋体" w:hAnsiTheme="minorEastAsia"/>
          <w:color w:val="353535"/>
          <w:sz w:val="32"/>
          <w:szCs w:val="32"/>
        </w:rPr>
        <w:t>方</w:t>
      </w:r>
      <w:r>
        <w:rPr>
          <w:rFonts w:hint="eastAsia" w:ascii="仿宋_GB2312" w:eastAsia="仿宋_GB2312" w:cs="宋体" w:hAnsiTheme="minorEastAsia"/>
          <w:color w:val="353535"/>
          <w:sz w:val="32"/>
          <w:szCs w:val="32"/>
          <w:lang w:eastAsia="zh-CN"/>
        </w:rPr>
        <w:t>某</w:t>
      </w:r>
      <w:r>
        <w:rPr>
          <w:rFonts w:hint="eastAsia" w:ascii="仿宋_GB2312" w:eastAsia="仿宋_GB2312" w:cs="宋体" w:hAnsiTheme="minorEastAsia"/>
          <w:color w:val="353535"/>
          <w:sz w:val="32"/>
          <w:szCs w:val="32"/>
        </w:rPr>
        <w:t>，总经理</w:t>
      </w:r>
    </w:p>
    <w:p>
      <w:pPr>
        <w:spacing w:line="580" w:lineRule="exact"/>
        <w:ind w:firstLine="624" w:firstLineChars="200"/>
        <w:rPr>
          <w:rFonts w:ascii="仿宋_GB2312" w:hAnsi="仿宋_GB2312" w:eastAsia="仿宋_GB2312"/>
          <w:spacing w:val="-4"/>
          <w:sz w:val="32"/>
          <w:szCs w:val="32"/>
        </w:rPr>
      </w:pPr>
      <w:r>
        <w:rPr>
          <w:rFonts w:hint="eastAsia" w:ascii="仿宋_GB2312" w:eastAsia="仿宋_GB2312"/>
          <w:spacing w:val="-4"/>
          <w:sz w:val="32"/>
        </w:rPr>
        <w:t>委托代理人：王</w:t>
      </w:r>
      <w:r>
        <w:rPr>
          <w:rFonts w:hint="eastAsia" w:ascii="仿宋_GB2312" w:eastAsia="仿宋_GB2312"/>
          <w:spacing w:val="-4"/>
          <w:sz w:val="32"/>
          <w:lang w:eastAsia="zh-CN"/>
        </w:rPr>
        <w:t>某</w:t>
      </w:r>
      <w:r>
        <w:rPr>
          <w:rFonts w:hint="eastAsia" w:ascii="仿宋_GB2312" w:eastAsia="仿宋_GB2312"/>
          <w:spacing w:val="-4"/>
          <w:sz w:val="32"/>
        </w:rPr>
        <w:t>，该公司员工</w:t>
      </w:r>
    </w:p>
    <w:p>
      <w:pPr>
        <w:spacing w:line="580" w:lineRule="exact"/>
        <w:ind w:firstLine="640" w:firstLineChars="200"/>
        <w:rPr>
          <w:rFonts w:eastAsia="仿宋_GB2312"/>
          <w:sz w:val="32"/>
        </w:rPr>
      </w:pPr>
      <w:r>
        <w:rPr>
          <w:rFonts w:hint="eastAsia" w:eastAsia="黑体"/>
          <w:sz w:val="32"/>
        </w:rPr>
        <w:t>被申请人：</w:t>
      </w:r>
      <w:r>
        <w:rPr>
          <w:rFonts w:hint="eastAsia" w:eastAsia="仿宋_GB2312"/>
          <w:sz w:val="32"/>
        </w:rPr>
        <w:t>深圳市人力资源和社会保障局</w:t>
      </w:r>
    </w:p>
    <w:p>
      <w:pPr>
        <w:spacing w:line="580" w:lineRule="exact"/>
        <w:ind w:firstLine="640" w:firstLineChars="200"/>
        <w:rPr>
          <w:rFonts w:eastAsia="仿宋_GB2312"/>
          <w:sz w:val="32"/>
        </w:rPr>
      </w:pP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eastAsia="仿宋_GB2312"/>
          <w:sz w:val="32"/>
        </w:rPr>
        <w:t>深圳市福田区深南大道</w:t>
      </w:r>
      <w:r>
        <w:rPr>
          <w:rFonts w:eastAsia="仿宋_GB2312"/>
          <w:sz w:val="32"/>
        </w:rPr>
        <w:t>8005</w:t>
      </w:r>
      <w:r>
        <w:rPr>
          <w:rFonts w:hint="eastAsia" w:eastAsia="仿宋_GB2312"/>
          <w:sz w:val="32"/>
        </w:rPr>
        <w:t>号深圳人才园</w:t>
      </w:r>
    </w:p>
    <w:p>
      <w:pPr>
        <w:spacing w:line="58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eastAsia="仿宋_GB2312"/>
          <w:sz w:val="32"/>
        </w:rPr>
        <w:t>法定代表人：孙福金</w:t>
      </w:r>
      <w:r>
        <w:rPr>
          <w:rFonts w:hint="eastAsia" w:ascii="仿宋_GB2312" w:hAnsi="仿宋_GB2312" w:eastAsia="仿宋_GB2312"/>
          <w:sz w:val="32"/>
          <w:szCs w:val="32"/>
        </w:rPr>
        <w:t>，局长</w:t>
      </w:r>
    </w:p>
    <w:p>
      <w:pPr>
        <w:spacing w:line="58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委托代理人：王璐楠、池俊斌，广东中全律师事务所律师</w:t>
      </w:r>
    </w:p>
    <w:p>
      <w:pPr>
        <w:spacing w:line="580" w:lineRule="exact"/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申请人不服被申请人于</w:t>
      </w:r>
      <w:r>
        <w:rPr>
          <w:rFonts w:hint="eastAsia" w:ascii="仿宋_GB2312" w:hAnsi="仿宋" w:eastAsia="仿宋_GB2312"/>
          <w:sz w:val="32"/>
          <w:szCs w:val="32"/>
        </w:rPr>
        <w:t>2020年7月22日作出的深人社工认决字</w:t>
      </w:r>
      <w:r>
        <w:rPr>
          <w:rFonts w:hint="eastAsia" w:ascii="仿宋_GB2312" w:hAnsi="仿宋" w:eastAsia="仿宋_GB2312" w:cs="仿宋"/>
          <w:sz w:val="32"/>
          <w:szCs w:val="32"/>
        </w:rPr>
        <w:t>〔2020〕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" w:eastAsia="仿宋_GB2312" w:cs="仿宋"/>
          <w:sz w:val="32"/>
          <w:szCs w:val="32"/>
        </w:rPr>
        <w:t>号《深圳市认定工伤决定书》</w:t>
      </w:r>
      <w:r>
        <w:rPr>
          <w:rFonts w:hint="eastAsia" w:ascii="仿宋_GB2312" w:eastAsia="仿宋_GB2312"/>
          <w:sz w:val="32"/>
          <w:szCs w:val="32"/>
        </w:rPr>
        <w:t>，向本机关申请行政复议，本机关依法受理。被申请人</w:t>
      </w:r>
      <w:r>
        <w:rPr>
          <w:rFonts w:hint="eastAsia" w:ascii="仿宋_GB2312" w:eastAsia="仿宋_GB2312"/>
          <w:bCs/>
          <w:sz w:val="32"/>
          <w:szCs w:val="32"/>
        </w:rPr>
        <w:t>向本机关提交了书面答复及作出该具体行政行为的有关证据和依据。</w:t>
      </w:r>
      <w:r>
        <w:rPr>
          <w:rFonts w:hint="eastAsia" w:ascii="仿宋_GB2312" w:eastAsia="仿宋_GB2312"/>
          <w:sz w:val="32"/>
          <w:szCs w:val="32"/>
        </w:rPr>
        <w:t>本案现已审理终结。</w:t>
      </w:r>
    </w:p>
    <w:p>
      <w:pPr>
        <w:widowControl/>
        <w:spacing w:line="580" w:lineRule="exact"/>
        <w:ind w:firstLine="640" w:firstLineChars="200"/>
        <w:jc w:val="left"/>
        <w:textAlignment w:val="baseline"/>
        <w:rPr>
          <w:rFonts w:ascii="仿宋_GB2312" w:eastAsia="仿宋_GB2312" w:cs="宋体" w:hAnsiTheme="minorEastAsia"/>
          <w:color w:val="353535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申请人称：</w:t>
      </w:r>
      <w:r>
        <w:rPr>
          <w:rFonts w:hint="eastAsia" w:ascii="仿宋_GB2312" w:hAnsi="仿宋" w:eastAsia="仿宋_GB2312" w:cs="仿宋"/>
          <w:sz w:val="32"/>
          <w:szCs w:val="32"/>
        </w:rPr>
        <w:t>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自称</w:t>
      </w:r>
      <w:r>
        <w:rPr>
          <w:rFonts w:hint="eastAsia" w:ascii="仿宋_GB2312" w:hAnsi="仿宋" w:eastAsia="仿宋_GB2312"/>
          <w:sz w:val="32"/>
          <w:szCs w:val="32"/>
        </w:rPr>
        <w:t>2020年3月4日在申请人处受伤，但未提供任何证据，而且</w:t>
      </w:r>
      <w:r>
        <w:rPr>
          <w:rFonts w:hint="eastAsia" w:ascii="仿宋_GB2312" w:hAnsi="仿宋" w:eastAsia="仿宋_GB2312" w:cs="仿宋"/>
          <w:sz w:val="32"/>
          <w:szCs w:val="32"/>
        </w:rPr>
        <w:t>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在3月、4月正常上班未提出异常。林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提出工伤申请，受伤的首次诊断时间为2020年5月1日，但受伤时间、地点、原因皆不明确，不应认定工伤。</w:t>
      </w:r>
      <w:r>
        <w:rPr>
          <w:rFonts w:hint="eastAsia" w:ascii="仿宋_GB2312" w:hAnsi="仿宋_GB2312" w:eastAsia="仿宋_GB2312" w:cs="仿宋_GB2312"/>
          <w:sz w:val="32"/>
          <w:szCs w:val="32"/>
        </w:rPr>
        <w:t>综上，</w:t>
      </w:r>
      <w:r>
        <w:rPr>
          <w:rFonts w:hint="eastAsia" w:ascii="仿宋_GB2312" w:eastAsia="仿宋_GB2312" w:cs="宋体" w:hAnsiTheme="minorEastAsia"/>
          <w:color w:val="353535"/>
          <w:sz w:val="32"/>
          <w:szCs w:val="32"/>
        </w:rPr>
        <w:t>被申请人《工伤决定书》事实不清，证据不足。请求：依法撤销深圳市人力资源和社会保障局作出的深人社工认决字</w:t>
      </w:r>
      <w:r>
        <w:rPr>
          <w:rFonts w:hint="eastAsia" w:ascii="仿宋_GB2312" w:hAnsi="仿宋" w:eastAsia="仿宋_GB2312" w:cs="仿宋"/>
          <w:sz w:val="32"/>
          <w:szCs w:val="32"/>
        </w:rPr>
        <w:t>〔2020〕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 w:cs="宋体" w:hAnsiTheme="minorEastAsia"/>
          <w:color w:val="353535"/>
          <w:sz w:val="32"/>
          <w:szCs w:val="32"/>
        </w:rPr>
        <w:t>号《工伤决定书》，重新作出工伤认定结论。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被申请人答复称：</w:t>
      </w:r>
      <w:r>
        <w:rPr>
          <w:rFonts w:hint="eastAsia" w:ascii="仿宋_GB2312" w:hAnsi="黑体" w:eastAsia="仿宋_GB2312" w:cs="黑体"/>
          <w:sz w:val="32"/>
          <w:szCs w:val="32"/>
        </w:rPr>
        <w:t>一、事实依据。</w:t>
      </w:r>
      <w:r>
        <w:rPr>
          <w:rFonts w:hint="eastAsia" w:ascii="仿宋_GB2312" w:hAnsi="楷体" w:eastAsia="仿宋_GB2312" w:cs="楷体"/>
          <w:bCs/>
          <w:sz w:val="32"/>
          <w:szCs w:val="32"/>
        </w:rPr>
        <w:t>（一）申请人承担林</w:t>
      </w:r>
      <w:r>
        <w:rPr>
          <w:rFonts w:hint="eastAsia" w:ascii="仿宋_GB2312" w:hAnsi="楷体" w:eastAsia="仿宋_GB2312" w:cs="楷体"/>
          <w:bCs/>
          <w:sz w:val="32"/>
          <w:szCs w:val="32"/>
          <w:lang w:eastAsia="zh-CN"/>
        </w:rPr>
        <w:t>某</w:t>
      </w:r>
      <w:r>
        <w:rPr>
          <w:rFonts w:hint="eastAsia" w:ascii="仿宋_GB2312" w:hAnsi="楷体" w:eastAsia="仿宋_GB2312" w:cs="楷体"/>
          <w:bCs/>
          <w:sz w:val="32"/>
          <w:szCs w:val="32"/>
        </w:rPr>
        <w:t>的工伤保险责任。</w:t>
      </w:r>
      <w:r>
        <w:rPr>
          <w:rFonts w:hint="eastAsia" w:ascii="仿宋_GB2312" w:hAnsi="仿宋" w:eastAsia="仿宋_GB2312" w:cs="仿宋"/>
          <w:sz w:val="32"/>
          <w:szCs w:val="32"/>
        </w:rPr>
        <w:t>职工主张其系申请人的员工，并提交了劳动合同、证人证言、承诺书等材料证实了双方之间存在着雇佣关系。对于雇佣关系，申请人予以确认，并称林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曾经是其公司的员工。经调查核实，结合双方的陈述材料，可以证实林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在达到法定退休年龄前入职企业，并在达龄后并未享受城镇职工基本养老保险待遇，继续在申请人处工作。依照《人力资源社会保障部关于执行&lt;工伤保险条例&gt;若干问题的意见（二）》（ 人社部发〔2016〕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" w:eastAsia="仿宋_GB2312" w:cs="仿宋"/>
          <w:sz w:val="32"/>
          <w:szCs w:val="32"/>
        </w:rPr>
        <w:t>号）第二条第一款的规定：达到或超过法定退休年龄，但未办理退休手续或者未依法享受城镇职工基本养老保险待遇,继续在原用人单位工作期间受到事故伤害或患职业病的，用人单位依法承担工伤保险责任。故依照上述规定，被申请人依法认定双方之间存在着工伤保险责任关系。</w:t>
      </w:r>
      <w:r>
        <w:rPr>
          <w:rFonts w:hint="eastAsia" w:ascii="仿宋_GB2312" w:hAnsi="楷体" w:eastAsia="仿宋_GB2312" w:cs="楷体"/>
          <w:bCs/>
          <w:sz w:val="32"/>
          <w:szCs w:val="32"/>
        </w:rPr>
        <w:t>（二）林</w:t>
      </w:r>
      <w:r>
        <w:rPr>
          <w:rFonts w:hint="eastAsia" w:ascii="仿宋_GB2312" w:hAnsi="楷体" w:eastAsia="仿宋_GB2312" w:cs="楷体"/>
          <w:bCs/>
          <w:sz w:val="32"/>
          <w:szCs w:val="32"/>
          <w:lang w:eastAsia="zh-CN"/>
        </w:rPr>
        <w:t>某</w:t>
      </w:r>
      <w:r>
        <w:rPr>
          <w:rFonts w:hint="eastAsia" w:ascii="仿宋_GB2312" w:hAnsi="楷体" w:eastAsia="仿宋_GB2312" w:cs="楷体"/>
          <w:bCs/>
          <w:sz w:val="32"/>
          <w:szCs w:val="32"/>
        </w:rPr>
        <w:t>系在工作时间和工作场所，因工作原因受伤。</w:t>
      </w:r>
      <w:r>
        <w:rPr>
          <w:rFonts w:hint="eastAsia" w:ascii="仿宋_GB2312" w:hAnsi="仿宋" w:eastAsia="仿宋_GB2312" w:cs="仿宋"/>
          <w:sz w:val="32"/>
          <w:szCs w:val="32"/>
        </w:rPr>
        <w:t>职工向被申请人主张，其系在上班时在公司从事清洁工作时扭伤左脚，并提交了病历、证人证言等材料予以证实其主张。对于职工的上述主张，申请人称受伤时间和受伤原因不明。围绕争议焦点，被申请人展开调查核实；被申请人依职权所作调查笔录证实，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在工作期间因工意外扭伤左脚。故被申请人依法认定林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属工伤，并详细认定了林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的受伤部位和诊断。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二、条例依据。</w:t>
      </w:r>
      <w:r>
        <w:rPr>
          <w:rFonts w:hint="eastAsia" w:ascii="仿宋_GB2312" w:hAnsi="仿宋" w:eastAsia="仿宋_GB2312" w:cs="仿宋"/>
          <w:sz w:val="32"/>
          <w:szCs w:val="32"/>
        </w:rPr>
        <w:t>根据以上事实，被申请人认为林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受伤之情形符合《工伤保险条例》第十四条第（一）项的规定，认定其属于工伤。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三、复议申请人的复议主张不成立。</w:t>
      </w:r>
      <w:r>
        <w:rPr>
          <w:rFonts w:hint="eastAsia" w:ascii="仿宋_GB2312" w:hAnsi="仿宋" w:eastAsia="仿宋_GB2312" w:cs="仿宋"/>
          <w:sz w:val="32"/>
          <w:szCs w:val="32"/>
        </w:rPr>
        <w:t>申请人申请复议时主张，林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的受伤时间、地点、原因皆不明确，不应认定工伤。被申请人认为，本案的病历材料、证人证言等材料，足以初步证实林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因工受伤。其次，用人单位依法承担职工不属工伤的举证责任；申请人不能证实林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因私受伤，其应承担举证不能的后果。</w:t>
      </w:r>
    </w:p>
    <w:p>
      <w:pPr>
        <w:spacing w:line="58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根据以上事实以及条例的依据，被申请人认为，申请人的请求没有依据,被申请人的具体行政行为符合条例的规定，依据充分，程序合法，表述适当，请求依法维持。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经查</w:t>
      </w:r>
      <w:r>
        <w:rPr>
          <w:rFonts w:hint="eastAsia" w:ascii="仿宋_GB2312" w:hAnsi="仿宋_GB2312" w:eastAsia="黑体"/>
          <w:bCs/>
          <w:sz w:val="32"/>
        </w:rPr>
        <w:t>：</w:t>
      </w:r>
      <w:r>
        <w:rPr>
          <w:rFonts w:hint="eastAsia" w:ascii="仿宋_GB2312" w:hAnsi="仿宋" w:eastAsia="仿宋_GB2312" w:cs="仿宋"/>
          <w:sz w:val="32"/>
          <w:szCs w:val="32"/>
        </w:rPr>
        <w:t>2020年6月30日，林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eastAsia="仿宋_GB2312"/>
          <w:color w:val="000000"/>
          <w:sz w:val="32"/>
          <w:szCs w:val="32"/>
        </w:rPr>
        <w:t>向被申请人申请工伤认定，称</w:t>
      </w:r>
      <w:r>
        <w:rPr>
          <w:rFonts w:hint="eastAsia" w:ascii="仿宋_GB2312" w:hAnsi="仿宋" w:eastAsia="仿宋_GB2312" w:cs="仿宋"/>
          <w:sz w:val="32"/>
          <w:szCs w:val="32"/>
        </w:rPr>
        <w:t>其系申请人的职工，任职保洁职位。2020年3月4日16：30许，其在申请人处从事清洁工作期间意外摔跤扭伤左脚。林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向被申请人提交的申报材料包括：工伤认定申请表、身份证、户口簿、劳动合同、病历等诊疗材料、证人证言及证人身份证、工商注册登记信息、未在深圳市内外享受城镇职工养老保险待遇承诺书等相关材料。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2020年7月2日，被申请人向申请人发出了《深圳市工伤保险协助调查通知书》。申请人向被申请人提交了《关于林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申请工伤认定的书面回复》，称林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曾经是其单位的员工，经调查受伤时间、受伤原因均不明确。</w:t>
      </w:r>
    </w:p>
    <w:p>
      <w:pPr>
        <w:spacing w:line="56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另外，被申请人在全国社会保险信息比对查询系统中进行核查，明确不存在林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待遇领取信息。</w:t>
      </w:r>
    </w:p>
    <w:p>
      <w:pPr>
        <w:spacing w:line="580" w:lineRule="exact"/>
        <w:ind w:firstLine="640" w:firstLineChars="200"/>
        <w:rPr>
          <w:rFonts w:ascii="仿宋_GB2312" w:hAnsi="仿宋" w:eastAsia="仿宋_GB2312" w:cs="仿宋"/>
          <w:sz w:val="32"/>
          <w:szCs w:val="32"/>
        </w:rPr>
      </w:pPr>
      <w:r>
        <w:rPr>
          <w:rFonts w:hint="eastAsia" w:ascii="仿宋_GB2312" w:hAnsi="仿宋" w:eastAsia="仿宋_GB2312" w:cs="仿宋"/>
          <w:sz w:val="32"/>
          <w:szCs w:val="32"/>
        </w:rPr>
        <w:t>2020年7月22日，被申请人作出</w:t>
      </w:r>
      <w:r>
        <w:rPr>
          <w:rFonts w:hint="eastAsia" w:ascii="仿宋_GB2312" w:hAnsi="仿宋" w:eastAsia="仿宋_GB2312"/>
          <w:sz w:val="32"/>
          <w:szCs w:val="32"/>
        </w:rPr>
        <w:t>深人社工认决字</w:t>
      </w:r>
      <w:r>
        <w:rPr>
          <w:rFonts w:hint="eastAsia" w:ascii="仿宋_GB2312" w:hAnsi="仿宋" w:eastAsia="仿宋_GB2312" w:cs="仿宋"/>
          <w:sz w:val="32"/>
          <w:szCs w:val="32"/>
        </w:rPr>
        <w:t>〔2020〕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" w:eastAsia="仿宋_GB2312" w:cs="仿宋"/>
          <w:sz w:val="32"/>
          <w:szCs w:val="32"/>
        </w:rPr>
        <w:t>号《深圳市认定工伤决定书》，认定林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系申请人的员工，该员工在工作时间工作岗位上，因工作原因受伤情形属工伤。</w:t>
      </w:r>
      <w:r>
        <w:rPr>
          <w:rFonts w:hint="eastAsia" w:ascii="仿宋_GB2312" w:hAnsi="宋体" w:eastAsia="仿宋_GB2312"/>
          <w:sz w:val="32"/>
          <w:szCs w:val="32"/>
        </w:rPr>
        <w:t>申请人不服，申请行政复议。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eastAsia="黑体"/>
          <w:sz w:val="32"/>
        </w:rPr>
        <w:t>本机关认为：</w:t>
      </w:r>
      <w:r>
        <w:rPr>
          <w:rFonts w:hint="eastAsia" w:ascii="仿宋_GB2312" w:hAnsi="仿宋" w:eastAsia="仿宋_GB2312"/>
          <w:sz w:val="32"/>
          <w:szCs w:val="32"/>
        </w:rPr>
        <w:t>《工伤保险条例》第十四条第（一）项：“</w:t>
      </w:r>
      <w:r>
        <w:rPr>
          <w:rFonts w:hint="eastAsia" w:ascii="仿宋_GB2312" w:eastAsia="仿宋_GB2312"/>
          <w:color w:val="2F2F2F"/>
          <w:sz w:val="32"/>
          <w:szCs w:val="32"/>
          <w:shd w:val="clear" w:color="auto" w:fill="FFFFFF"/>
        </w:rPr>
        <w:t>职工有下列情形之一的，应当认定为工伤：（一）在工作时间和工作场所内，因工作原因受到事故伤害的；</w:t>
      </w:r>
      <w:r>
        <w:rPr>
          <w:rFonts w:hint="eastAsia" w:ascii="微软雅黑" w:hAnsi="微软雅黑" w:eastAsia="微软雅黑"/>
          <w:color w:val="2F2F2F"/>
          <w:sz w:val="18"/>
          <w:szCs w:val="18"/>
          <w:shd w:val="clear" w:color="auto" w:fill="FFFFFF"/>
        </w:rPr>
        <w:t> </w:t>
      </w:r>
      <w:r>
        <w:rPr>
          <w:rFonts w:hint="eastAsia" w:ascii="仿宋_GB2312" w:hAnsi="仿宋" w:eastAsia="仿宋_GB2312"/>
          <w:sz w:val="32"/>
          <w:szCs w:val="32"/>
        </w:rPr>
        <w:t>”本案，</w:t>
      </w:r>
      <w:r>
        <w:rPr>
          <w:rFonts w:hint="eastAsia" w:ascii="仿宋_GB2312" w:eastAsia="仿宋_GB2312"/>
          <w:sz w:val="32"/>
        </w:rPr>
        <w:t xml:space="preserve"> 根据被申请人提供的证据及其阐述的理由，可以认定</w:t>
      </w:r>
      <w:r>
        <w:rPr>
          <w:rFonts w:hint="eastAsia" w:ascii="仿宋_GB2312" w:hAnsi="仿宋" w:eastAsia="仿宋_GB2312" w:cs="仿宋"/>
          <w:sz w:val="32"/>
          <w:szCs w:val="32"/>
        </w:rPr>
        <w:t>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/>
          <w:sz w:val="32"/>
          <w:szCs w:val="32"/>
        </w:rPr>
        <w:t>是</w:t>
      </w:r>
      <w:r>
        <w:rPr>
          <w:rFonts w:hint="eastAsia" w:ascii="仿宋_GB2312" w:hAnsi="Arial" w:eastAsia="仿宋_GB2312" w:cs="Arial"/>
          <w:color w:val="333333"/>
          <w:sz w:val="32"/>
          <w:szCs w:val="32"/>
        </w:rPr>
        <w:t>在工作时间和工作岗位，</w:t>
      </w:r>
      <w:r>
        <w:rPr>
          <w:rFonts w:hint="eastAsia" w:ascii="仿宋_GB2312" w:hAnsi="仿宋" w:eastAsia="仿宋_GB2312" w:cs="仿宋"/>
          <w:sz w:val="32"/>
          <w:szCs w:val="32"/>
        </w:rPr>
        <w:t>因工作原因受到事故伤害</w:t>
      </w:r>
      <w:r>
        <w:rPr>
          <w:rFonts w:hint="eastAsia" w:ascii="仿宋_GB2312" w:hAnsi="仿宋" w:eastAsia="仿宋_GB2312"/>
          <w:sz w:val="32"/>
          <w:szCs w:val="32"/>
        </w:rPr>
        <w:t>。</w:t>
      </w:r>
      <w:r>
        <w:rPr>
          <w:rFonts w:hint="eastAsia" w:ascii="仿宋" w:hAnsi="仿宋" w:eastAsia="仿宋_GB2312"/>
          <w:sz w:val="32"/>
          <w:szCs w:val="28"/>
        </w:rPr>
        <w:t>申请人主张</w:t>
      </w:r>
      <w:r>
        <w:rPr>
          <w:rFonts w:hint="eastAsia" w:ascii="仿宋_GB2312" w:hAnsi="仿宋" w:eastAsia="仿宋_GB2312" w:cs="仿宋"/>
          <w:sz w:val="32"/>
          <w:szCs w:val="32"/>
        </w:rPr>
        <w:t>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的受伤时间、地点、原因皆不明确，不应认定工伤</w:t>
      </w:r>
      <w:r>
        <w:rPr>
          <w:rFonts w:hint="eastAsia" w:ascii="仿宋" w:hAnsi="仿宋" w:eastAsia="仿宋_GB2312"/>
          <w:sz w:val="32"/>
          <w:szCs w:val="28"/>
        </w:rPr>
        <w:t>，本机关认为，根据</w:t>
      </w:r>
      <w:r>
        <w:rPr>
          <w:rFonts w:hint="eastAsia" w:ascii="仿宋_GB2312" w:hAnsi="仿宋" w:eastAsia="仿宋_GB2312" w:cs="仿宋"/>
          <w:sz w:val="32"/>
          <w:szCs w:val="32"/>
        </w:rPr>
        <w:t>病历材料、陈某、谢某等证人的证言等材料，可以初步证明林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因工受伤的事实，根据</w:t>
      </w:r>
      <w:r>
        <w:rPr>
          <w:rFonts w:hint="eastAsia" w:ascii="仿宋_GB2312" w:hAnsi="仿宋" w:eastAsia="仿宋_GB2312"/>
          <w:sz w:val="32"/>
          <w:szCs w:val="32"/>
        </w:rPr>
        <w:t>《工伤保险条例》第十九条第二款的规定，申请人不认为是工伤，</w:t>
      </w:r>
      <w:r>
        <w:rPr>
          <w:rFonts w:hint="eastAsia" w:ascii="仿宋" w:hAnsi="仿宋" w:eastAsia="仿宋_GB2312"/>
          <w:sz w:val="32"/>
          <w:szCs w:val="28"/>
        </w:rPr>
        <w:t>但未能举证予以证明，应依法承担举证不能的不利后果。</w:t>
      </w:r>
      <w:r>
        <w:rPr>
          <w:rFonts w:hint="eastAsia" w:ascii="仿宋_GB2312" w:hAnsi="仿宋_GB2312" w:eastAsia="仿宋_GB2312"/>
          <w:sz w:val="32"/>
        </w:rPr>
        <w:t>被申请人认定</w:t>
      </w:r>
      <w:r>
        <w:rPr>
          <w:rFonts w:hint="eastAsia" w:ascii="仿宋_GB2312" w:hAnsi="仿宋" w:eastAsia="仿宋_GB2312" w:cs="仿宋"/>
          <w:sz w:val="32"/>
          <w:szCs w:val="32"/>
        </w:rPr>
        <w:t>林</w:t>
      </w:r>
      <w:r>
        <w:rPr>
          <w:rFonts w:hint="eastAsia" w:ascii="仿宋_GB2312" w:hAnsi="仿宋" w:eastAsia="仿宋_GB2312" w:cs="仿宋"/>
          <w:sz w:val="32"/>
          <w:szCs w:val="32"/>
          <w:lang w:eastAsia="zh-CN"/>
        </w:rPr>
        <w:t>某</w:t>
      </w:r>
      <w:r>
        <w:rPr>
          <w:rFonts w:hint="eastAsia" w:ascii="仿宋_GB2312" w:hAnsi="仿宋" w:eastAsia="仿宋_GB2312" w:cs="仿宋"/>
          <w:sz w:val="32"/>
          <w:szCs w:val="32"/>
        </w:rPr>
        <w:t>属于</w:t>
      </w:r>
      <w:r>
        <w:rPr>
          <w:rFonts w:hint="eastAsia" w:ascii="仿宋_GB2312" w:hAnsi="仿宋_GB2312" w:eastAsia="仿宋_GB2312"/>
          <w:sz w:val="32"/>
        </w:rPr>
        <w:t>工伤并无违法或不当，依法应予维持</w:t>
      </w:r>
      <w:r>
        <w:rPr>
          <w:rFonts w:hint="eastAsia" w:ascii="仿宋_GB2312" w:eastAsia="仿宋_GB2312"/>
          <w:sz w:val="32"/>
        </w:rPr>
        <w:t>。</w:t>
      </w:r>
    </w:p>
    <w:p>
      <w:pPr>
        <w:spacing w:line="58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综上，根据《中华人民共和国行政复议法》</w:t>
      </w:r>
      <w:r>
        <w:rPr>
          <w:rFonts w:hint="eastAsia" w:ascii="仿宋_GB2312" w:hAnsi="仿宋_GB2312" w:eastAsia="仿宋_GB2312"/>
          <w:sz w:val="32"/>
          <w:szCs w:val="32"/>
        </w:rPr>
        <w:t>第二十八条第一款第（一）项</w:t>
      </w:r>
      <w:r>
        <w:rPr>
          <w:rFonts w:hint="eastAsia" w:ascii="仿宋_GB2312" w:hAnsi="仿宋_GB2312" w:eastAsia="仿宋_GB2312"/>
          <w:sz w:val="32"/>
        </w:rPr>
        <w:t>的规定，被申请人作出复议决定如下：</w:t>
      </w:r>
    </w:p>
    <w:p>
      <w:pPr>
        <w:spacing w:line="580" w:lineRule="exact"/>
        <w:ind w:right="-109" w:rightChars="-52" w:firstLine="672" w:firstLineChars="21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维持被申请人深圳市人力资源和社会保障局</w:t>
      </w:r>
      <w:r>
        <w:rPr>
          <w:rFonts w:hint="eastAsia" w:ascii="仿宋_GB2312" w:hAnsi="仿宋" w:eastAsia="仿宋_GB2312" w:cs="仿宋"/>
          <w:sz w:val="32"/>
          <w:szCs w:val="32"/>
        </w:rPr>
        <w:t>作出的</w:t>
      </w:r>
      <w:r>
        <w:rPr>
          <w:rFonts w:hint="eastAsia" w:ascii="仿宋_GB2312" w:hAnsi="仿宋" w:eastAsia="仿宋_GB2312"/>
          <w:sz w:val="32"/>
          <w:szCs w:val="32"/>
        </w:rPr>
        <w:t>深人社工认决字</w:t>
      </w:r>
      <w:r>
        <w:rPr>
          <w:rFonts w:hint="eastAsia" w:ascii="仿宋_GB2312" w:hAnsi="仿宋" w:eastAsia="仿宋_GB2312" w:cs="仿宋"/>
          <w:sz w:val="32"/>
          <w:szCs w:val="32"/>
        </w:rPr>
        <w:t>〔2020〕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" w:eastAsia="仿宋_GB2312" w:cs="仿宋"/>
          <w:sz w:val="32"/>
          <w:szCs w:val="32"/>
        </w:rPr>
        <w:t>号《深圳市认定工伤决定书》</w:t>
      </w:r>
      <w:r>
        <w:rPr>
          <w:rFonts w:hint="eastAsia" w:ascii="仿宋_GB2312" w:hAnsi="仿宋_GB2312" w:eastAsia="仿宋_GB2312"/>
          <w:sz w:val="32"/>
        </w:rPr>
        <w:t>。</w:t>
      </w:r>
    </w:p>
    <w:p>
      <w:pPr>
        <w:spacing w:line="580" w:lineRule="exact"/>
        <w:ind w:right="-109" w:rightChars="-52"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本复议决定书一经送达，即发生法律效力。申请人如对本复议决定不服，可自收到复议决定书之日起十五日内，向深圳市盐田区人民法院提起诉讼。</w:t>
      </w:r>
    </w:p>
    <w:p>
      <w:pPr>
        <w:spacing w:line="580" w:lineRule="exact"/>
        <w:ind w:firstLine="5760" w:firstLineChars="18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</w:t>
      </w:r>
    </w:p>
    <w:p>
      <w:pPr>
        <w:spacing w:line="580" w:lineRule="exact"/>
        <w:ind w:firstLine="5760" w:firstLineChars="1800"/>
        <w:rPr>
          <w:rFonts w:ascii="仿宋_GB2312" w:hAnsi="仿宋_GB2312" w:eastAsia="仿宋_GB2312"/>
          <w:sz w:val="32"/>
        </w:rPr>
      </w:pPr>
    </w:p>
    <w:p>
      <w:pPr>
        <w:spacing w:line="580" w:lineRule="exact"/>
        <w:ind w:firstLine="5600" w:firstLineChars="175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深圳市人民政府</w:t>
      </w:r>
    </w:p>
    <w:p>
      <w:pPr>
        <w:spacing w:line="580" w:lineRule="exact"/>
        <w:ind w:right="256"/>
      </w:pPr>
      <w:r>
        <w:rPr>
          <w:rFonts w:hint="eastAsia" w:ascii="仿宋_GB2312" w:hAnsi="仿宋_GB2312" w:eastAsia="仿宋_GB2312"/>
          <w:sz w:val="32"/>
        </w:rPr>
        <w:t xml:space="preserve">                                  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</w:rPr>
        <w:t>2020年11月</w:t>
      </w:r>
      <w:r>
        <w:rPr>
          <w:rFonts w:hint="eastAsia" w:ascii="仿宋_GB2312" w:hAnsi="仿宋_GB2312" w:eastAsia="仿宋_GB2312"/>
          <w:sz w:val="32"/>
          <w:lang w:val="en-US" w:eastAsia="zh-CN"/>
        </w:rPr>
        <w:t>15</w:t>
      </w:r>
      <w:r>
        <w:rPr>
          <w:rFonts w:hint="eastAsia" w:ascii="仿宋_GB2312" w:hAnsi="仿宋_GB2312" w:eastAsia="仿宋_GB2312"/>
          <w:sz w:val="32"/>
        </w:rPr>
        <w:t>日</w:t>
      </w:r>
    </w:p>
    <w:p/>
    <w:sectPr>
      <w:footerReference r:id="rId5" w:type="default"/>
      <w:footerReference r:id="rId6" w:type="even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28890146"/>
      <w:docPartObj>
        <w:docPartGallery w:val="autotext"/>
      </w:docPartObj>
    </w:sdtPr>
    <w:sdtContent>
      <w:p>
        <w:pPr>
          <w:pStyle w:val="2"/>
          <w:jc w:val="right"/>
        </w:pP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 PAGE   \* MERGEFORMAT 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-</w:t>
        </w:r>
        <w:r>
          <w:rPr>
            <w:rFonts w:ascii="仿宋_GB2312" w:eastAsia="仿宋_GB2312"/>
            <w:sz w:val="28"/>
            <w:szCs w:val="28"/>
          </w:rPr>
          <w:t xml:space="preserve"> 1 -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628890147"/>
      <w:docPartObj>
        <w:docPartGallery w:val="autotext"/>
      </w:docPartObj>
    </w:sdtPr>
    <w:sdtEndPr>
      <w:rPr>
        <w:rFonts w:hint="eastAsia" w:ascii="仿宋_GB2312" w:eastAsia="仿宋_GB2312"/>
        <w:sz w:val="28"/>
        <w:szCs w:val="28"/>
      </w:rPr>
    </w:sdtEndPr>
    <w:sdtContent>
      <w:p>
        <w:pPr>
          <w:pStyle w:val="2"/>
        </w:pP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 PAGE   \* MERGEFORMAT 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-</w:t>
        </w:r>
        <w:r>
          <w:rPr>
            <w:rFonts w:ascii="仿宋_GB2312" w:eastAsia="仿宋_GB2312"/>
            <w:sz w:val="28"/>
            <w:szCs w:val="28"/>
          </w:rPr>
          <w:t xml:space="preserve"> 6 -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251B3"/>
    <w:rsid w:val="001E5F1C"/>
    <w:rsid w:val="00287433"/>
    <w:rsid w:val="00410FB6"/>
    <w:rsid w:val="00542AB6"/>
    <w:rsid w:val="006251B3"/>
    <w:rsid w:val="006B3BCA"/>
    <w:rsid w:val="00751E84"/>
    <w:rsid w:val="00775178"/>
    <w:rsid w:val="008E7D70"/>
    <w:rsid w:val="009E05FE"/>
    <w:rsid w:val="00A53E16"/>
    <w:rsid w:val="00A646B9"/>
    <w:rsid w:val="00B144A1"/>
    <w:rsid w:val="00C178DE"/>
    <w:rsid w:val="00C36ECF"/>
    <w:rsid w:val="00C6561D"/>
    <w:rsid w:val="00CD30C6"/>
    <w:rsid w:val="00CE7BF3"/>
    <w:rsid w:val="00D3518D"/>
    <w:rsid w:val="1DD34F25"/>
    <w:rsid w:val="2ECC0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Char"/>
    <w:basedOn w:val="5"/>
    <w:link w:val="2"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列表1"/>
    <w:basedOn w:val="5"/>
    <w:uiPriority w:val="0"/>
  </w:style>
  <w:style w:type="character" w:customStyle="1" w:styleId="8">
    <w:name w:val="页眉 Char"/>
    <w:basedOn w:val="5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348</Words>
  <Characters>1988</Characters>
  <Lines>16</Lines>
  <Paragraphs>4</Paragraphs>
  <TotalTime>0</TotalTime>
  <ScaleCrop>false</ScaleCrop>
  <LinksUpToDate>false</LinksUpToDate>
  <CharactersWithSpaces>2332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2021-03-12T07:31:00Z</dcterms:created>
  <dc:creator>黄浩</dc:creator>
  <cp:lastModifiedBy>言＆忘~</cp:lastModifiedBy>
  <cp:lastPrinted>2020-10-17T05:45:00Z</cp:lastPrinted>
  <dcterms:modified xsi:type="dcterms:W3CDTF">2021-05-31T07:06:18Z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287A973E157A43C6BE428B3CE58298FD</vt:lpwstr>
  </property>
</Properties>
</file>