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360" w:lineRule="auto"/>
        <w:jc w:val="center"/>
      </w:pPr>
    </w:p>
    <w:p>
      <w:pPr>
        <w:wordWrap w:val="0"/>
        <w:spacing w:line="54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深府行复〔2020〕570号</w:t>
      </w:r>
    </w:p>
    <w:p>
      <w:pPr>
        <w:spacing w:line="560" w:lineRule="exact"/>
        <w:rPr>
          <w:rFonts w:eastAsia="仿宋_GB2312"/>
          <w:sz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申请人：</w:t>
      </w:r>
      <w:r>
        <w:rPr>
          <w:rFonts w:hint="eastAsia" w:ascii="仿宋_GB2312" w:hAnsi="宋体" w:eastAsia="仿宋_GB2312" w:cstheme="majorEastAsia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Fonts w:hint="eastAsia" w:ascii="仿宋" w:hAnsi="仿宋" w:eastAsia="仿宋" w:cs="仿宋"/>
          <w:sz w:val="32"/>
          <w:szCs w:val="32"/>
        </w:rPr>
        <w:t>速递</w:t>
      </w:r>
      <w:r>
        <w:rPr>
          <w:rFonts w:hint="eastAsia" w:ascii="仿宋_GB2312" w:hAnsi="宋体" w:eastAsia="仿宋_GB2312" w:cstheme="majorEastAsia"/>
          <w:sz w:val="32"/>
          <w:szCs w:val="32"/>
        </w:rPr>
        <w:t>有限公司</w:t>
      </w:r>
    </w:p>
    <w:p>
      <w:pPr>
        <w:spacing w:line="560" w:lineRule="exact"/>
        <w:ind w:firstLine="640" w:firstLineChars="200"/>
        <w:rPr>
          <w:rFonts w:ascii="仿宋_GB2312" w:hAnsi="宋体" w:eastAsia="仿宋_GB2312" w:cstheme="majorEastAsia"/>
          <w:sz w:val="32"/>
          <w:szCs w:val="32"/>
        </w:rPr>
      </w:pPr>
      <w:r>
        <w:rPr>
          <w:rFonts w:hint="eastAsia" w:eastAsia="仿宋_GB2312"/>
          <w:sz w:val="32"/>
        </w:rPr>
        <w:t>法定代表人：姚某，常务总经理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委托代理人：林某</w:t>
      </w: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eastAsia="仿宋_GB2312"/>
          <w:sz w:val="32"/>
        </w:rPr>
        <w:t>深圳市人力资源和社会保障局</w:t>
      </w:r>
    </w:p>
    <w:p>
      <w:pPr>
        <w:spacing w:line="560" w:lineRule="exact"/>
        <w:ind w:firstLine="640" w:firstLineChars="200"/>
        <w:rPr>
          <w:rFonts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hint="eastAsia" w:eastAsia="仿宋_GB2312"/>
          <w:sz w:val="32"/>
        </w:rPr>
        <w:t>号深圳人才园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eastAsia="仿宋_GB2312"/>
          <w:sz w:val="32"/>
        </w:rPr>
        <w:t>法定代表人：孙福金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6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委托代理人：叶振宏、池俊斌，广东中全律师事务所律师</w:t>
      </w:r>
    </w:p>
    <w:p>
      <w:pPr>
        <w:spacing w:line="560" w:lineRule="exact"/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仿宋" w:eastAsia="仿宋_GB2312"/>
          <w:sz w:val="32"/>
          <w:szCs w:val="32"/>
        </w:rPr>
        <w:t>2020年4月16日作出的深人社工认决字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hAnsi="仿宋" w:eastAsia="仿宋_GB2312"/>
          <w:sz w:val="32"/>
          <w:szCs w:val="32"/>
        </w:rPr>
        <w:t>一、该工伤认定书认定事实错误。被申请人表示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“口述”在2019年4月13日，申请人业务主管李某委派其向郑某讨要派件费而受到郑某暴力伤害，但并未向相关人员调查取证。就申请人向李某和郑某了解的事实情况为：李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某</w:t>
      </w:r>
      <w:r>
        <w:rPr>
          <w:rFonts w:hint="eastAsia" w:ascii="仿宋_GB2312" w:hAnsi="仿宋" w:eastAsia="仿宋_GB2312"/>
          <w:sz w:val="32"/>
          <w:szCs w:val="32"/>
        </w:rPr>
        <w:t>并未向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提上述委派要求，故属因私行为。申请人认为《决定书》中所述“该职工于2019年04月13日在福田区莲花二村39栋楼下快递柜前因履行工作职责受到暴力伤害受伤”认定事实有误。二、该工伤认定书认定法律错误。根据申请人向郑某了解到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受伤是因其主动挑起与郑某的矛盾，为4.13打架事件的发起者，他先殴郑某才导致在斗殴过程中受伤。故申请人认为根据《广东省工伤保险条例》第十一条第（一）项的规定，此事件不应认定为工伤。</w:t>
      </w:r>
    </w:p>
    <w:p>
      <w:pPr>
        <w:ind w:firstLine="800" w:firstLineChars="25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综上所述，被申请人认定该员工受伤的情形属于工伤，属于案件事实不清、适用法律错误。请求撤销被申请人作出的工伤认定。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 w:cs="黑体"/>
          <w:sz w:val="32"/>
          <w:szCs w:val="32"/>
        </w:rPr>
        <w:t>一、事实依据。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（一）</w:t>
      </w:r>
      <w:r>
        <w:rPr>
          <w:rFonts w:hint="eastAsia" w:ascii="仿宋_GB2312" w:hAnsi="楷体" w:eastAsia="仿宋_GB2312" w:cs="楷体"/>
          <w:bCs/>
          <w:sz w:val="32"/>
          <w:szCs w:val="32"/>
          <w:lang w:eastAsia="zh-CN"/>
        </w:rPr>
        <w:t>范某1</w:t>
      </w:r>
      <w:r>
        <w:rPr>
          <w:rFonts w:hint="eastAsia" w:ascii="仿宋_GB2312" w:hAnsi="楷体" w:eastAsia="仿宋_GB2312" w:cs="楷体"/>
          <w:bCs/>
          <w:sz w:val="32"/>
          <w:szCs w:val="32"/>
        </w:rPr>
        <w:t>与申请人之间存在劳动关系。</w:t>
      </w:r>
      <w:r>
        <w:rPr>
          <w:rFonts w:hint="eastAsia" w:ascii="仿宋" w:hAnsi="仿宋" w:eastAsia="仿宋" w:cs="仿宋"/>
          <w:sz w:val="32"/>
          <w:szCs w:val="32"/>
        </w:rPr>
        <w:t>依照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的申报，结合其提交的劳动仲裁裁决书，被申请人确认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与申请人之间存在劳动关系。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（二）</w:t>
      </w:r>
      <w:r>
        <w:rPr>
          <w:rFonts w:hint="eastAsia" w:ascii="仿宋_GB2312" w:hAnsi="楷体" w:eastAsia="仿宋_GB2312" w:cs="楷体"/>
          <w:bCs/>
          <w:sz w:val="32"/>
          <w:szCs w:val="32"/>
          <w:lang w:eastAsia="zh-CN"/>
        </w:rPr>
        <w:t>范某1</w:t>
      </w:r>
      <w:r>
        <w:rPr>
          <w:rFonts w:hint="eastAsia" w:ascii="仿宋_GB2312" w:hAnsi="楷体" w:eastAsia="仿宋_GB2312" w:cs="楷体"/>
          <w:bCs/>
          <w:sz w:val="32"/>
          <w:szCs w:val="32"/>
        </w:rPr>
        <w:t>系在工作期间，因履行工作职责遭受暴力等意外伤害。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向被申请人申报称，其在工作期间因追回派件费事宜被同事打伤，事前其向单位领导反映过同事错误收取其派件费的事情。对于上述申报，申请人不予认可，称打架事件发起人为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。针对争议焦点，被申请人展开调查核实，有关《刑事判决书》认定双方因“派件的费用问题”产生争执，而后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被对方打伤。被申请人综合上述情形，认为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系在工作时间和工作场所，因履行工作职责遭受暴力伤害。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二、条例依据。</w:t>
      </w:r>
      <w:r>
        <w:rPr>
          <w:rFonts w:hint="eastAsia" w:ascii="仿宋" w:hAnsi="仿宋" w:eastAsia="仿宋" w:cs="仿宋"/>
          <w:sz w:val="32"/>
          <w:szCs w:val="32"/>
        </w:rPr>
        <w:t>根据以上事实，被申请人认为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受伤之情形符合《广东省工伤保险条例》第九条第（三）项的规定，认定其属于工伤。</w:t>
      </w:r>
    </w:p>
    <w:p>
      <w:pPr>
        <w:spacing w:line="560" w:lineRule="exact"/>
        <w:ind w:firstLine="640" w:firstLineChars="200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三、申请人的复议主张不成立。</w:t>
      </w:r>
      <w:r>
        <w:rPr>
          <w:rFonts w:hint="eastAsia" w:ascii="仿宋" w:hAnsi="仿宋" w:eastAsia="仿宋" w:cs="仿宋"/>
          <w:sz w:val="32"/>
          <w:szCs w:val="32"/>
        </w:rPr>
        <w:t>申请人申请复议时主张：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并未向上司李某反映派件费事宜，其属因私行为；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是打架事件的发起者，其先动手殴打郑某，根据《广东省工伤保险条例》第十一条第（一）项的规定，不应认定为工伤。首先，根据《刑事判决书》所认定的事实，结合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的自述材料，足以证实本案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确因工作原因（派件费）找郑某理论，要求郑某返还派件费并要求其今后不要码错件。无论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是否向上司反映有关问题，上述行为（受指派或主动为之）均与工作相关，属因履行工作的范畴。</w:t>
      </w:r>
    </w:p>
    <w:p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其次，并无客观证据证实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存在着主要过错行为，且刑事判决书认定郑某违反国法而将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殴打至轻伤，郑某应承担主要过错责任。最后，申请人承担职工不属工伤的法定举证责任，其不能证实事件因私所致、不能证实其主张的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范某1</w:t>
      </w:r>
      <w:r>
        <w:rPr>
          <w:rFonts w:hint="eastAsia" w:ascii="仿宋" w:hAnsi="仿宋" w:eastAsia="仿宋" w:cs="仿宋"/>
          <w:sz w:val="32"/>
          <w:szCs w:val="32"/>
        </w:rPr>
        <w:t>存在主动挑起矛盾等主要过错，其应承担举证不能的后果。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根据以上事实以及条例的依据，被申请人认为，申请人的请求没有依据,被申请人的具体行政行为符合条例的规定，依据充分，程序合法，表述适当，请求依法维持。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2019年9月12日，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 w:cs="仿宋"/>
          <w:sz w:val="32"/>
          <w:szCs w:val="32"/>
        </w:rPr>
        <w:t>的母亲范某2向被申请人申请工伤认定，称：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系申请人的员工，任职业务员职位；2019年4月13日14:30许，</w:t>
      </w:r>
      <w:r>
        <w:rPr>
          <w:rFonts w:hint="eastAsia" w:ascii="仿宋_GB2312" w:hAnsi="仿宋" w:eastAsia="仿宋_GB2312" w:cs="仿宋"/>
          <w:sz w:val="32"/>
          <w:szCs w:val="32"/>
        </w:rPr>
        <w:t>其在向同事要回派件费时被对方殴打致伤，并提交申报材料包括：工伤认定申请表、身份证、户口簿、病历等诊疗材料、司法鉴定意见书、仲裁裁决书、报警回执、受案回执等相关材料。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2019年9月18日，被申请人向申请人发出《关于伤亡事故调查处理的通知》，要求申请人举证。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2019年10月11日，被申请人向深圳市公安局华富派出所发出《协查函》，请求公安机关协助调查。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2019年10月16日，申请人向被申请人提交《事故调查报告书》。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2019年10月22日，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 w:cs="仿宋"/>
          <w:sz w:val="32"/>
          <w:szCs w:val="32"/>
        </w:rPr>
        <w:t>向被申请人提交了《中止工伤申请书》。10月28日，被申请人作出《深圳市工伤认定时限中止决定书》。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2020年4月13日，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向被申请人</w:t>
      </w:r>
      <w:r>
        <w:rPr>
          <w:rFonts w:hint="eastAsia" w:ascii="仿宋_GB2312" w:hAnsi="仿宋" w:eastAsia="仿宋_GB2312" w:cs="仿宋"/>
          <w:sz w:val="32"/>
          <w:szCs w:val="32"/>
        </w:rPr>
        <w:t>提交《刑事判决书》、个人自述，被申请人作出《深圳市工伤认定时限恢复决定书》。</w:t>
      </w:r>
    </w:p>
    <w:p>
      <w:pPr>
        <w:spacing w:line="640" w:lineRule="atLeas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2020年4月16日，被申请人作出的深人社工认决字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〔2020〕号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《深圳市认定工伤决定书》</w:t>
      </w:r>
      <w:r>
        <w:rPr>
          <w:rFonts w:hint="eastAsia" w:ascii="仿宋_GB2312" w:eastAsia="仿宋_GB2312"/>
          <w:sz w:val="32"/>
          <w:szCs w:val="32"/>
        </w:rPr>
        <w:t>，认定</w:t>
      </w:r>
      <w:r>
        <w:rPr>
          <w:rFonts w:hint="eastAsia" w:ascii="仿宋_GB2312" w:eastAsia="仿宋_GB2312"/>
          <w:sz w:val="32"/>
          <w:szCs w:val="32"/>
          <w:lang w:eastAsia="zh-CN"/>
        </w:rPr>
        <w:t>范某1</w:t>
      </w:r>
      <w:r>
        <w:rPr>
          <w:rFonts w:hint="eastAsia" w:ascii="仿宋_GB2312" w:eastAsia="仿宋_GB2312"/>
          <w:sz w:val="32"/>
          <w:szCs w:val="32"/>
        </w:rPr>
        <w:t>受伤的情形为工伤。</w:t>
      </w:r>
      <w:r>
        <w:rPr>
          <w:rFonts w:hint="eastAsia" w:ascii="仿宋_GB2312" w:hAnsi="仿宋" w:eastAsia="仿宋_GB2312" w:cs="仿宋"/>
          <w:sz w:val="32"/>
          <w:szCs w:val="32"/>
        </w:rPr>
        <w:t>申请人不服，提出行政复议申请，请求撤销被申请人作出的该决定书。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hAnsi="仿宋" w:eastAsia="仿宋_GB2312"/>
          <w:sz w:val="32"/>
          <w:szCs w:val="32"/>
        </w:rPr>
        <w:t>本案，根据在案证据可以认定申请人与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 w:cs="仿宋"/>
          <w:sz w:val="32"/>
          <w:szCs w:val="32"/>
        </w:rPr>
        <w:t>存在劳动关系，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 w:cs="仿宋"/>
          <w:sz w:val="32"/>
          <w:szCs w:val="32"/>
        </w:rPr>
        <w:t>因工作原因被他人打伤。申请人提出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受伤系</w:t>
      </w:r>
      <w:r>
        <w:rPr>
          <w:rFonts w:hint="eastAsia" w:ascii="仿宋" w:hAnsi="仿宋" w:eastAsia="仿宋" w:cs="仿宋"/>
          <w:sz w:val="32"/>
          <w:szCs w:val="32"/>
        </w:rPr>
        <w:t>因私所致，且存在主动挑起矛盾等主要过错的主张</w:t>
      </w:r>
      <w:r>
        <w:rPr>
          <w:rFonts w:hint="eastAsia" w:ascii="仿宋_GB2312" w:hAnsi="仿宋" w:eastAsia="仿宋_GB2312" w:cs="仿宋"/>
          <w:sz w:val="32"/>
          <w:szCs w:val="32"/>
        </w:rPr>
        <w:t>，由于申请人未能提供充分证据予以证明，本机关对该主张不予支持。</w:t>
      </w:r>
      <w:r>
        <w:rPr>
          <w:rFonts w:hint="eastAsia" w:ascii="仿宋_GB2312" w:hAnsi="仿宋" w:eastAsia="仿宋_GB2312"/>
          <w:sz w:val="32"/>
          <w:szCs w:val="32"/>
        </w:rPr>
        <w:t>被申请人认为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范某1</w:t>
      </w:r>
      <w:r>
        <w:rPr>
          <w:rFonts w:hint="eastAsia" w:ascii="仿宋_GB2312" w:hAnsi="仿宋" w:eastAsia="仿宋_GB2312"/>
          <w:sz w:val="32"/>
          <w:szCs w:val="32"/>
        </w:rPr>
        <w:t>受伤之情形符合《广东省工伤保险条例》第九条第（三）项的规定，认定其为工伤，</w:t>
      </w:r>
      <w:r>
        <w:rPr>
          <w:rFonts w:hint="eastAsia" w:ascii="仿宋_GB2312" w:eastAsia="仿宋_GB2312"/>
          <w:sz w:val="32"/>
          <w:szCs w:val="32"/>
        </w:rPr>
        <w:t>并无违法或不当，依法应予维持</w:t>
      </w:r>
      <w:r>
        <w:rPr>
          <w:rFonts w:hint="eastAsia" w:ascii="仿宋_GB2312" w:eastAsia="仿宋_GB2312"/>
          <w:sz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综上，</w:t>
      </w:r>
      <w:r>
        <w:rPr>
          <w:rFonts w:hint="eastAsia" w:ascii="仿宋_GB2312" w:hAnsi="仿宋_GB2312" w:eastAsia="仿宋_GB2312"/>
          <w:sz w:val="32"/>
        </w:rPr>
        <w:t>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第二十八条第一款第（一）项</w:t>
      </w:r>
      <w:r>
        <w:rPr>
          <w:rFonts w:hint="eastAsia" w:ascii="仿宋_GB2312" w:hAnsi="仿宋_GB2312" w:eastAsia="仿宋_GB2312"/>
          <w:sz w:val="32"/>
        </w:rPr>
        <w:t>的规定，本机关作出复议决定如下：</w:t>
      </w:r>
    </w:p>
    <w:p>
      <w:pPr>
        <w:spacing w:line="560" w:lineRule="exac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维持被申请人深圳市人力资源和社会保障局</w:t>
      </w:r>
      <w:r>
        <w:rPr>
          <w:rFonts w:hint="eastAsia" w:ascii="仿宋_GB2312" w:hAnsi="仿宋" w:eastAsia="仿宋_GB2312"/>
          <w:sz w:val="32"/>
          <w:szCs w:val="32"/>
        </w:rPr>
        <w:t>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6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本复议决定书一经送达，即发生法律效力。申请人如对本复议决定不服，可自收到复议决定书之日起十五日内，向盐田区人民法院提起诉讼。</w:t>
      </w:r>
    </w:p>
    <w:p>
      <w:pPr>
        <w:spacing w:line="56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6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60" w:lineRule="exact"/>
        <w:ind w:firstLine="5600" w:firstLineChars="175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60" w:lineRule="exact"/>
        <w:ind w:right="256"/>
      </w:pPr>
      <w:r>
        <w:rPr>
          <w:rFonts w:hint="eastAsia" w:ascii="仿宋_GB2312" w:hAnsi="仿宋_GB2312" w:eastAsia="仿宋_GB2312"/>
          <w:sz w:val="32"/>
        </w:rPr>
        <w:t xml:space="preserve">                                   2020年8</w:t>
      </w:r>
      <w:r>
        <w:rPr>
          <w:rFonts w:hint="eastAsia" w:ascii="仿宋_GB2312" w:hAnsi="仿宋_GB2312" w:eastAsia="仿宋_GB2312"/>
          <w:sz w:val="32"/>
          <w:lang w:eastAsia="zh-CN"/>
        </w:rPr>
        <w:t>月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3日</w:t>
      </w:r>
    </w:p>
    <w:p/>
    <w:p/>
    <w:sectPr>
      <w:footerReference r:id="rId3" w:type="default"/>
      <w:pgSz w:w="11906" w:h="16838"/>
      <w:pgMar w:top="1701" w:right="1418" w:bottom="992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86128641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20505"/>
    <w:rsid w:val="00342EFF"/>
    <w:rsid w:val="00410FB6"/>
    <w:rsid w:val="00467E3E"/>
    <w:rsid w:val="00530FEB"/>
    <w:rsid w:val="00540561"/>
    <w:rsid w:val="005649BB"/>
    <w:rsid w:val="005E6061"/>
    <w:rsid w:val="00652658"/>
    <w:rsid w:val="00697181"/>
    <w:rsid w:val="00847FF0"/>
    <w:rsid w:val="009554CD"/>
    <w:rsid w:val="00A20505"/>
    <w:rsid w:val="00A53E16"/>
    <w:rsid w:val="00B85500"/>
    <w:rsid w:val="00B914DA"/>
    <w:rsid w:val="00BA0304"/>
    <w:rsid w:val="00BA3A1F"/>
    <w:rsid w:val="00BD1513"/>
    <w:rsid w:val="00BE6DC9"/>
    <w:rsid w:val="00C43764"/>
    <w:rsid w:val="00CC46F2"/>
    <w:rsid w:val="00E04C60"/>
    <w:rsid w:val="00E8289D"/>
    <w:rsid w:val="00EC7AA7"/>
    <w:rsid w:val="00F74F13"/>
    <w:rsid w:val="00FA65E5"/>
    <w:rsid w:val="2B944257"/>
    <w:rsid w:val="4C0B1912"/>
    <w:rsid w:val="4C87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1"/>
    <w:qFormat/>
    <w:uiPriority w:val="0"/>
    <w:pPr>
      <w:suppressAutoHyphens w:val="0"/>
    </w:pPr>
    <w:rPr>
      <w:rFonts w:eastAsia="仿宋_GB2312"/>
      <w:kern w:val="2"/>
      <w:sz w:val="30"/>
      <w:szCs w:val="24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Char"/>
    <w:basedOn w:val="7"/>
    <w:link w:val="5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0">
    <w:name w:val="称呼 Char"/>
    <w:link w:val="2"/>
    <w:qFormat/>
    <w:uiPriority w:val="0"/>
    <w:rPr>
      <w:rFonts w:ascii="Times New Roman" w:hAnsi="Times New Roman" w:eastAsia="仿宋_GB2312" w:cs="Times New Roman"/>
      <w:sz w:val="30"/>
      <w:szCs w:val="24"/>
    </w:rPr>
  </w:style>
  <w:style w:type="character" w:customStyle="1" w:styleId="11">
    <w:name w:val="称呼 Char1"/>
    <w:basedOn w:val="7"/>
    <w:link w:val="2"/>
    <w:semiHidden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5</Pages>
  <Words>351</Words>
  <Characters>2002</Characters>
  <Lines>16</Lines>
  <Paragraphs>4</Paragraphs>
  <TotalTime>0</TotalTime>
  <ScaleCrop>false</ScaleCrop>
  <LinksUpToDate>false</LinksUpToDate>
  <CharactersWithSpaces>2349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2020-12-03T08:46:00Z</dcterms:created>
  <dc:creator>黄浩</dc:creator>
  <cp:lastModifiedBy>言＆忘~</cp:lastModifiedBy>
  <dcterms:modified xsi:type="dcterms:W3CDTF">2020-12-16T07:02:39Z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