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0" w:firstLineChars="0"/>
        <w:rPr>
          <w:rFonts w:hint="default" w:ascii="黑体" w:hAnsi="黑体" w:eastAsia="黑体"/>
          <w:bCs/>
          <w:szCs w:val="32"/>
          <w:lang w:val="en-US" w:eastAsia="zh-CN"/>
        </w:rPr>
      </w:pPr>
      <w:bookmarkStart w:id="0" w:name="_GoBack"/>
      <w:bookmarkEnd w:id="0"/>
      <w:r>
        <w:rPr>
          <w:rFonts w:hint="eastAsia" w:ascii="黑体" w:hAnsi="黑体" w:eastAsia="黑体"/>
          <w:bCs/>
          <w:szCs w:val="32"/>
        </w:rPr>
        <w:t>附件1</w:t>
      </w:r>
    </w:p>
    <w:p>
      <w:pPr>
        <w:widowControl/>
        <w:spacing w:line="240" w:lineRule="auto"/>
        <w:ind w:firstLine="0" w:firstLineChars="0"/>
        <w:rPr>
          <w:rFonts w:ascii="方正小标宋简体" w:eastAsia="方正小标宋简体"/>
          <w:szCs w:val="44"/>
        </w:rPr>
      </w:pPr>
    </w:p>
    <w:p>
      <w:pPr>
        <w:widowControl/>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深圳市住房和建设系统行政处罚</w:t>
      </w:r>
    </w:p>
    <w:p>
      <w:pPr>
        <w:widowControl/>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裁量权基准适用规则</w:t>
      </w:r>
    </w:p>
    <w:p>
      <w:pPr>
        <w:spacing w:line="560" w:lineRule="exact"/>
        <w:ind w:firstLine="640"/>
        <w:rPr>
          <w:rFonts w:ascii="仿宋_GB2312" w:eastAsia="仿宋_GB2312"/>
          <w:szCs w:val="32"/>
        </w:rPr>
      </w:pP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第一条</w:t>
      </w:r>
      <w:r>
        <w:rPr>
          <w:rFonts w:hint="eastAsia" w:ascii="仿宋_GB2312" w:hAnsi="Calibri" w:eastAsia="仿宋_GB2312"/>
          <w:szCs w:val="32"/>
        </w:rPr>
        <w:t xml:space="preserve"> 为了规范行使深圳市住房和建设系统行政处罚裁量权，确保依法行政、合理行政，维护公民、法人和其他组织的合法权益，根据《中华人民共和国行政处罚法》</w:t>
      </w:r>
      <w:r>
        <w:rPr>
          <w:rFonts w:hint="eastAsia" w:ascii="仿宋_GB2312" w:hAnsi="Calibri" w:eastAsia="仿宋_GB2312"/>
          <w:szCs w:val="32"/>
          <w:lang w:eastAsia="zh-CN"/>
        </w:rPr>
        <w:t>、</w:t>
      </w:r>
      <w:r>
        <w:rPr>
          <w:rFonts w:hint="eastAsia" w:ascii="仿宋_GB2312" w:hAnsi="Calibri" w:eastAsia="仿宋_GB2312"/>
          <w:szCs w:val="32"/>
        </w:rPr>
        <w:t>《国务院办公厅关于进一步规范行政裁量权基准规定和管理工作的意见》</w:t>
      </w:r>
      <w:r>
        <w:rPr>
          <w:rFonts w:hint="eastAsia" w:ascii="仿宋_GB2312" w:hAnsi="Calibri" w:eastAsia="仿宋_GB2312"/>
          <w:szCs w:val="32"/>
          <w:lang w:eastAsia="zh-CN"/>
        </w:rPr>
        <w:t>、</w:t>
      </w:r>
      <w:r>
        <w:rPr>
          <w:rFonts w:hint="eastAsia" w:ascii="仿宋_GB2312" w:hAnsi="Calibri" w:eastAsia="仿宋_GB2312"/>
          <w:szCs w:val="32"/>
        </w:rPr>
        <w:t>《广东省规范行政处罚裁量权规定》和《深圳市规范行政处罚裁量权若干规定》等有关规定，结合我市住房和建设系统执法工作实际，制定本规则。</w:t>
      </w: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第二条</w:t>
      </w:r>
      <w:r>
        <w:rPr>
          <w:rFonts w:hint="eastAsia" w:ascii="仿宋_GB2312" w:hAnsi="Calibri" w:eastAsia="仿宋_GB2312"/>
          <w:szCs w:val="32"/>
        </w:rPr>
        <w:t xml:space="preserve"> 深圳市住房和建设局负责指导、监督本行政区域内住房和建设领域行政处罚裁量工作。</w:t>
      </w:r>
    </w:p>
    <w:p>
      <w:pPr>
        <w:spacing w:line="560" w:lineRule="exact"/>
        <w:ind w:firstLine="640"/>
        <w:rPr>
          <w:rFonts w:ascii="仿宋_GB2312" w:hAnsi="Calibri" w:eastAsia="仿宋_GB2312"/>
          <w:szCs w:val="32"/>
        </w:rPr>
      </w:pPr>
      <w:r>
        <w:rPr>
          <w:rFonts w:hint="eastAsia" w:ascii="仿宋_GB2312" w:hAnsi="Calibri" w:eastAsia="仿宋_GB2312"/>
          <w:szCs w:val="32"/>
        </w:rPr>
        <w:t>市、区两级住房建设主管部门、城市更新主管部门根据本规则负责做好住房和建设领域行政处罚裁量工作。</w:t>
      </w:r>
    </w:p>
    <w:p>
      <w:pPr>
        <w:widowControl/>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 xml:space="preserve">第三条 </w:t>
      </w:r>
      <w:r>
        <w:rPr>
          <w:rFonts w:hint="eastAsia" w:ascii="仿宋_GB2312" w:hAnsi="Calibri" w:eastAsia="仿宋_GB2312"/>
          <w:szCs w:val="32"/>
        </w:rPr>
        <w:t>对于同一行政执法事项，上级行政机关已制定行政处罚裁量权基准的，原则上应直接适用该基准。</w:t>
      </w: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第四条</w:t>
      </w:r>
      <w:r>
        <w:rPr>
          <w:rFonts w:hint="eastAsia" w:ascii="仿宋_GB2312" w:hAnsi="Calibri" w:eastAsia="仿宋_GB2312"/>
          <w:szCs w:val="32"/>
        </w:rPr>
        <w:t xml:space="preserve"> 本规则所指的我市住房和建设系统行政处罚裁量权基准包括《深圳市住房和建设系统行政处罚裁量权基准（202</w:t>
      </w:r>
      <w:r>
        <w:rPr>
          <w:rFonts w:ascii="仿宋_GB2312" w:hAnsi="Calibri" w:eastAsia="仿宋_GB2312"/>
          <w:szCs w:val="32"/>
        </w:rPr>
        <w:t>5</w:t>
      </w:r>
      <w:r>
        <w:rPr>
          <w:rFonts w:hint="eastAsia" w:ascii="仿宋_GB2312" w:hAnsi="Calibri" w:eastAsia="仿宋_GB2312"/>
          <w:szCs w:val="32"/>
        </w:rPr>
        <w:t>年版）》和《深圳市住房和建设系统免予行政处罚清单（202</w:t>
      </w:r>
      <w:r>
        <w:rPr>
          <w:rFonts w:ascii="仿宋_GB2312" w:hAnsi="Calibri" w:eastAsia="仿宋_GB2312"/>
          <w:szCs w:val="32"/>
        </w:rPr>
        <w:t>5</w:t>
      </w:r>
      <w:r>
        <w:rPr>
          <w:rFonts w:hint="eastAsia" w:ascii="仿宋_GB2312" w:hAnsi="Calibri" w:eastAsia="仿宋_GB2312"/>
          <w:szCs w:val="32"/>
        </w:rPr>
        <w:t>年版）》。</w:t>
      </w:r>
    </w:p>
    <w:p>
      <w:pPr>
        <w:spacing w:line="560" w:lineRule="exact"/>
        <w:ind w:firstLine="640"/>
        <w:rPr>
          <w:rFonts w:ascii="仿宋_GB2312" w:hAnsi="Calibri" w:eastAsia="仿宋_GB2312"/>
          <w:szCs w:val="32"/>
          <w:u w:val="single"/>
        </w:rPr>
      </w:pPr>
      <w:r>
        <w:rPr>
          <w:rFonts w:hint="eastAsia" w:ascii="CESI黑体-GB2312" w:hAnsi="CESI黑体-GB2312" w:eastAsia="CESI黑体-GB2312" w:cs="CESI黑体-GB2312"/>
          <w:szCs w:val="32"/>
        </w:rPr>
        <w:t xml:space="preserve">第五条 </w:t>
      </w:r>
      <w:r>
        <w:rPr>
          <w:rFonts w:hint="eastAsia" w:ascii="仿宋_GB2312" w:hAnsi="Calibri" w:eastAsia="仿宋_GB2312"/>
          <w:szCs w:val="32"/>
        </w:rPr>
        <w:t>根据违法行为的具体情节，《深圳市住房和建设系统行政处罚裁量权基准（2025年版）》将裁量阶次分为“从轻”、“一般”、“从重”三个阶次，并细化相应处罚基准。裁量阶次综合考虑违法行为的性质、情节、社会危害程度等因素进行确定。</w:t>
      </w: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第六条</w:t>
      </w:r>
      <w:r>
        <w:rPr>
          <w:rFonts w:ascii="CESI黑体-GB2312" w:hAnsi="CESI黑体-GB2312" w:eastAsia="CESI黑体-GB2312" w:cs="CESI黑体-GB2312"/>
          <w:szCs w:val="32"/>
        </w:rPr>
        <w:t xml:space="preserve"> </w:t>
      </w:r>
      <w:r>
        <w:rPr>
          <w:rFonts w:hint="eastAsia" w:ascii="仿宋_GB2312" w:hAnsi="Calibri" w:eastAsia="仿宋_GB2312"/>
          <w:szCs w:val="32"/>
        </w:rPr>
        <w:t>对于依法应当给予行政处罚的违法行为，应当按照本规则适用行政处罚裁量权。对于初次违法且危害后果轻微并及时改正的违法行为，应当按照《深圳市住房和建设系统免予行政处罚清单（202</w:t>
      </w:r>
      <w:r>
        <w:rPr>
          <w:rFonts w:ascii="仿宋_GB2312" w:hAnsi="Calibri" w:eastAsia="仿宋_GB2312"/>
          <w:szCs w:val="32"/>
        </w:rPr>
        <w:t>5</w:t>
      </w:r>
      <w:r>
        <w:rPr>
          <w:rFonts w:hint="eastAsia" w:ascii="仿宋_GB2312" w:hAnsi="Calibri" w:eastAsia="仿宋_GB2312"/>
          <w:szCs w:val="32"/>
        </w:rPr>
        <w:t>年版）》适用不予行政处罚的自由裁量权。</w:t>
      </w: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第七条</w:t>
      </w:r>
      <w:r>
        <w:rPr>
          <w:rFonts w:ascii="CESI黑体-GB2312" w:hAnsi="CESI黑体-GB2312" w:eastAsia="CESI黑体-GB2312" w:cs="CESI黑体-GB2312"/>
          <w:szCs w:val="32"/>
        </w:rPr>
        <w:t xml:space="preserve"> </w:t>
      </w:r>
      <w:r>
        <w:rPr>
          <w:rFonts w:hint="eastAsia" w:ascii="仿宋_GB2312" w:hAnsi="Calibri" w:eastAsia="仿宋_GB2312"/>
          <w:szCs w:val="32"/>
        </w:rPr>
        <w:t xml:space="preserve"> 本规则中“以上”、“以下”，包含本数；“低于”、“少于”、“超过”，不包含本数。</w:t>
      </w: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第八条</w:t>
      </w:r>
      <w:r>
        <w:rPr>
          <w:rFonts w:hint="eastAsia" w:ascii="仿宋_GB2312" w:hAnsi="Calibri" w:eastAsia="仿宋_GB2312"/>
          <w:szCs w:val="32"/>
        </w:rPr>
        <w:t xml:space="preserve"> 本规则由深圳市住房和建设局负责解释。</w:t>
      </w:r>
    </w:p>
    <w:p>
      <w:pPr>
        <w:spacing w:line="560" w:lineRule="exact"/>
        <w:ind w:firstLine="640"/>
        <w:rPr>
          <w:rFonts w:ascii="仿宋_GB2312" w:hAnsi="Calibri" w:eastAsia="仿宋_GB2312"/>
          <w:szCs w:val="32"/>
        </w:rPr>
      </w:pPr>
      <w:r>
        <w:rPr>
          <w:rFonts w:hint="eastAsia" w:ascii="CESI黑体-GB2312" w:hAnsi="CESI黑体-GB2312" w:eastAsia="CESI黑体-GB2312" w:cs="CESI黑体-GB2312"/>
          <w:szCs w:val="32"/>
        </w:rPr>
        <w:t>第九条</w:t>
      </w:r>
      <w:r>
        <w:rPr>
          <w:rFonts w:hint="eastAsia" w:ascii="仿宋_GB2312" w:hAnsi="Calibri" w:eastAsia="仿宋_GB2312"/>
          <w:szCs w:val="32"/>
        </w:rPr>
        <w:t xml:space="preserve"> 本规则自202</w:t>
      </w:r>
      <w:r>
        <w:rPr>
          <w:rFonts w:ascii="仿宋_GB2312" w:hAnsi="Calibri" w:eastAsia="仿宋_GB2312"/>
          <w:szCs w:val="32"/>
        </w:rPr>
        <w:t>5</w:t>
      </w:r>
      <w:r>
        <w:rPr>
          <w:rFonts w:hint="eastAsia" w:ascii="仿宋_GB2312" w:hAnsi="Calibri" w:eastAsia="仿宋_GB2312"/>
          <w:szCs w:val="32"/>
        </w:rPr>
        <w:t>年</w:t>
      </w:r>
      <w:r>
        <w:rPr>
          <w:rFonts w:hint="eastAsia" w:ascii="仿宋_GB2312" w:hAnsi="Calibri" w:eastAsia="仿宋_GB2312"/>
          <w:szCs w:val="32"/>
          <w:lang w:val="en-US" w:eastAsia="zh-CN"/>
        </w:rPr>
        <w:t>6</w:t>
      </w:r>
      <w:r>
        <w:rPr>
          <w:rFonts w:hint="eastAsia" w:ascii="仿宋_GB2312" w:hAnsi="Calibri" w:eastAsia="仿宋_GB2312"/>
          <w:szCs w:val="32"/>
        </w:rPr>
        <w:t>月</w:t>
      </w:r>
      <w:r>
        <w:rPr>
          <w:rFonts w:hint="eastAsia" w:ascii="仿宋_GB2312" w:hAnsi="Calibri" w:eastAsia="仿宋_GB2312"/>
          <w:szCs w:val="32"/>
          <w:lang w:val="en-US" w:eastAsia="zh-CN"/>
        </w:rPr>
        <w:t>1</w:t>
      </w:r>
      <w:r>
        <w:rPr>
          <w:rFonts w:hint="default" w:ascii="仿宋_GB2312" w:hAnsi="Calibri" w:eastAsia="仿宋_GB2312"/>
          <w:szCs w:val="32"/>
          <w:lang w:val="en" w:eastAsia="zh-CN"/>
        </w:rPr>
        <w:t>0</w:t>
      </w:r>
      <w:r>
        <w:rPr>
          <w:rFonts w:hint="eastAsia" w:ascii="仿宋_GB2312" w:hAnsi="Calibri" w:eastAsia="仿宋_GB2312"/>
          <w:szCs w:val="32"/>
        </w:rPr>
        <w:t>日起施行，有效期5年。</w:t>
      </w:r>
    </w:p>
    <w:p>
      <w:pPr>
        <w:spacing w:line="560" w:lineRule="exact"/>
        <w:ind w:firstLine="640"/>
        <w:rPr>
          <w:rFonts w:ascii="仿宋_GB2312" w:hAnsi="Calibri" w:eastAsia="仿宋_GB2312"/>
          <w:szCs w:val="32"/>
        </w:rPr>
      </w:pPr>
    </w:p>
    <w:p>
      <w:pPr>
        <w:spacing w:line="560" w:lineRule="exact"/>
        <w:ind w:firstLine="0" w:firstLineChars="0"/>
        <w:rPr>
          <w:rFonts w:hint="eastAsia" w:ascii="黑体" w:hAnsi="黑体" w:eastAsia="黑体"/>
          <w:b/>
          <w:szCs w:val="32"/>
        </w:rPr>
      </w:pPr>
    </w:p>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22644819"/>
                          </w:sdtPr>
                          <w:sdtContent>
                            <w:p>
                              <w:pPr>
                                <w:pStyle w:val="6"/>
                                <w:ind w:firstLine="360"/>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p>
                          </w:sdtContent>
                        </w:sdt>
                        <w:p>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sdt>
                    <w:sdtPr>
                      <w:id w:val="1222644819"/>
                    </w:sdtPr>
                    <w:sdtContent>
                      <w:p>
                        <w:pPr>
                          <w:pStyle w:val="6"/>
                          <w:ind w:firstLine="360"/>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p>
                    </w:sdtContent>
                  </w:sdt>
                  <w:p>
                    <w:pPr>
                      <w:ind w:firstLine="64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ZGJiOGU3YmUzZTYxMjcwM2NlOGY5ZjNlYmExMGMifQ=="/>
  </w:docVars>
  <w:rsids>
    <w:rsidRoot w:val="003043E3"/>
    <w:rsid w:val="00020163"/>
    <w:rsid w:val="00046C0F"/>
    <w:rsid w:val="00051B7A"/>
    <w:rsid w:val="00054C80"/>
    <w:rsid w:val="00063675"/>
    <w:rsid w:val="0008560B"/>
    <w:rsid w:val="000968D5"/>
    <w:rsid w:val="000A601E"/>
    <w:rsid w:val="000C7629"/>
    <w:rsid w:val="000E3284"/>
    <w:rsid w:val="00115D52"/>
    <w:rsid w:val="00121D06"/>
    <w:rsid w:val="00121ECD"/>
    <w:rsid w:val="00123B1E"/>
    <w:rsid w:val="00125E94"/>
    <w:rsid w:val="00126E18"/>
    <w:rsid w:val="00133C37"/>
    <w:rsid w:val="00142A4B"/>
    <w:rsid w:val="00161C96"/>
    <w:rsid w:val="00162E02"/>
    <w:rsid w:val="0017568D"/>
    <w:rsid w:val="001C29F9"/>
    <w:rsid w:val="001C431D"/>
    <w:rsid w:val="001C626D"/>
    <w:rsid w:val="001D48C6"/>
    <w:rsid w:val="001D72CF"/>
    <w:rsid w:val="001F5A0B"/>
    <w:rsid w:val="001F7EC6"/>
    <w:rsid w:val="00202FEE"/>
    <w:rsid w:val="00212958"/>
    <w:rsid w:val="00216193"/>
    <w:rsid w:val="0022516F"/>
    <w:rsid w:val="00233F29"/>
    <w:rsid w:val="002500B8"/>
    <w:rsid w:val="00251E97"/>
    <w:rsid w:val="002609DE"/>
    <w:rsid w:val="00275ECF"/>
    <w:rsid w:val="002A2A2B"/>
    <w:rsid w:val="002B105F"/>
    <w:rsid w:val="002B241C"/>
    <w:rsid w:val="002B5736"/>
    <w:rsid w:val="002C41C9"/>
    <w:rsid w:val="002D018A"/>
    <w:rsid w:val="002D5EA5"/>
    <w:rsid w:val="002E1782"/>
    <w:rsid w:val="002E2463"/>
    <w:rsid w:val="003043E3"/>
    <w:rsid w:val="00311AC3"/>
    <w:rsid w:val="00326DDF"/>
    <w:rsid w:val="00336950"/>
    <w:rsid w:val="0034129F"/>
    <w:rsid w:val="00382389"/>
    <w:rsid w:val="0038310B"/>
    <w:rsid w:val="003838A5"/>
    <w:rsid w:val="00386081"/>
    <w:rsid w:val="003B1A8D"/>
    <w:rsid w:val="003B3992"/>
    <w:rsid w:val="003C3FCF"/>
    <w:rsid w:val="003D4F69"/>
    <w:rsid w:val="00402AA7"/>
    <w:rsid w:val="004060C4"/>
    <w:rsid w:val="00412AF9"/>
    <w:rsid w:val="00414BB6"/>
    <w:rsid w:val="004173E9"/>
    <w:rsid w:val="00421A75"/>
    <w:rsid w:val="00436480"/>
    <w:rsid w:val="00457111"/>
    <w:rsid w:val="0045726B"/>
    <w:rsid w:val="004E5CE0"/>
    <w:rsid w:val="004F0084"/>
    <w:rsid w:val="004F0857"/>
    <w:rsid w:val="00500347"/>
    <w:rsid w:val="00515212"/>
    <w:rsid w:val="0051672E"/>
    <w:rsid w:val="0052104B"/>
    <w:rsid w:val="005258E6"/>
    <w:rsid w:val="00525AB3"/>
    <w:rsid w:val="00533CC8"/>
    <w:rsid w:val="0054647F"/>
    <w:rsid w:val="00557BB7"/>
    <w:rsid w:val="005612BD"/>
    <w:rsid w:val="005632C8"/>
    <w:rsid w:val="0058401E"/>
    <w:rsid w:val="005A3492"/>
    <w:rsid w:val="005B3F03"/>
    <w:rsid w:val="005B68F6"/>
    <w:rsid w:val="005C64B5"/>
    <w:rsid w:val="005D2B32"/>
    <w:rsid w:val="00606948"/>
    <w:rsid w:val="00610660"/>
    <w:rsid w:val="00616D75"/>
    <w:rsid w:val="0062377C"/>
    <w:rsid w:val="00623A15"/>
    <w:rsid w:val="00652FCB"/>
    <w:rsid w:val="0065484A"/>
    <w:rsid w:val="00657F95"/>
    <w:rsid w:val="00663D38"/>
    <w:rsid w:val="00672125"/>
    <w:rsid w:val="00684A31"/>
    <w:rsid w:val="006A01CC"/>
    <w:rsid w:val="006B770F"/>
    <w:rsid w:val="006C45CE"/>
    <w:rsid w:val="006D0CB6"/>
    <w:rsid w:val="006F5EF9"/>
    <w:rsid w:val="00700286"/>
    <w:rsid w:val="00701DFE"/>
    <w:rsid w:val="007139E3"/>
    <w:rsid w:val="007200A6"/>
    <w:rsid w:val="007221E0"/>
    <w:rsid w:val="00723554"/>
    <w:rsid w:val="0072359B"/>
    <w:rsid w:val="00732AFA"/>
    <w:rsid w:val="007355C0"/>
    <w:rsid w:val="00765105"/>
    <w:rsid w:val="00767C86"/>
    <w:rsid w:val="00772ADD"/>
    <w:rsid w:val="00781D04"/>
    <w:rsid w:val="007911BE"/>
    <w:rsid w:val="00796E6A"/>
    <w:rsid w:val="007C7531"/>
    <w:rsid w:val="007E7950"/>
    <w:rsid w:val="007E7D80"/>
    <w:rsid w:val="00803054"/>
    <w:rsid w:val="00814158"/>
    <w:rsid w:val="00821AEF"/>
    <w:rsid w:val="00840F9C"/>
    <w:rsid w:val="008D1084"/>
    <w:rsid w:val="008D40AF"/>
    <w:rsid w:val="008E30CB"/>
    <w:rsid w:val="0091342E"/>
    <w:rsid w:val="009204DE"/>
    <w:rsid w:val="00944826"/>
    <w:rsid w:val="00952C8C"/>
    <w:rsid w:val="009649D0"/>
    <w:rsid w:val="00965B2E"/>
    <w:rsid w:val="00990D31"/>
    <w:rsid w:val="00992DB6"/>
    <w:rsid w:val="009A4FA9"/>
    <w:rsid w:val="009C3A98"/>
    <w:rsid w:val="009F7C9C"/>
    <w:rsid w:val="00A0708D"/>
    <w:rsid w:val="00A23285"/>
    <w:rsid w:val="00A4521D"/>
    <w:rsid w:val="00A5720E"/>
    <w:rsid w:val="00A711E1"/>
    <w:rsid w:val="00AA5865"/>
    <w:rsid w:val="00AC3245"/>
    <w:rsid w:val="00AE6988"/>
    <w:rsid w:val="00AE6EF2"/>
    <w:rsid w:val="00AF00FF"/>
    <w:rsid w:val="00AF5381"/>
    <w:rsid w:val="00B04B80"/>
    <w:rsid w:val="00B10FFD"/>
    <w:rsid w:val="00B44E05"/>
    <w:rsid w:val="00B67F88"/>
    <w:rsid w:val="00B774C9"/>
    <w:rsid w:val="00B81D1C"/>
    <w:rsid w:val="00B952E4"/>
    <w:rsid w:val="00BA1650"/>
    <w:rsid w:val="00BB50B1"/>
    <w:rsid w:val="00BB72A6"/>
    <w:rsid w:val="00BC3C0F"/>
    <w:rsid w:val="00BC4DC4"/>
    <w:rsid w:val="00BC6750"/>
    <w:rsid w:val="00C1305A"/>
    <w:rsid w:val="00C26497"/>
    <w:rsid w:val="00C509B7"/>
    <w:rsid w:val="00C940C1"/>
    <w:rsid w:val="00CA12BE"/>
    <w:rsid w:val="00D17746"/>
    <w:rsid w:val="00D32B68"/>
    <w:rsid w:val="00D34111"/>
    <w:rsid w:val="00D3680E"/>
    <w:rsid w:val="00D37110"/>
    <w:rsid w:val="00D433F9"/>
    <w:rsid w:val="00D45C04"/>
    <w:rsid w:val="00D5043B"/>
    <w:rsid w:val="00D54CAD"/>
    <w:rsid w:val="00D74BDA"/>
    <w:rsid w:val="00DB3DD4"/>
    <w:rsid w:val="00DC7C88"/>
    <w:rsid w:val="00DD4254"/>
    <w:rsid w:val="00DD7E69"/>
    <w:rsid w:val="00DE36D2"/>
    <w:rsid w:val="00E0241D"/>
    <w:rsid w:val="00E110D6"/>
    <w:rsid w:val="00E35BB1"/>
    <w:rsid w:val="00E4269A"/>
    <w:rsid w:val="00E63A75"/>
    <w:rsid w:val="00E81F88"/>
    <w:rsid w:val="00EA29E3"/>
    <w:rsid w:val="00EB1FCB"/>
    <w:rsid w:val="00EB71F7"/>
    <w:rsid w:val="00ED016A"/>
    <w:rsid w:val="00ED14B7"/>
    <w:rsid w:val="00ED229E"/>
    <w:rsid w:val="00EE7403"/>
    <w:rsid w:val="00EF6861"/>
    <w:rsid w:val="00F15C0A"/>
    <w:rsid w:val="00F223ED"/>
    <w:rsid w:val="00F248E2"/>
    <w:rsid w:val="00F6577C"/>
    <w:rsid w:val="00F81094"/>
    <w:rsid w:val="00FE0F2B"/>
    <w:rsid w:val="00FE29C2"/>
    <w:rsid w:val="00FF2A1A"/>
    <w:rsid w:val="01B76F87"/>
    <w:rsid w:val="025564A2"/>
    <w:rsid w:val="036E70AF"/>
    <w:rsid w:val="04554A22"/>
    <w:rsid w:val="0ED79796"/>
    <w:rsid w:val="139BCE66"/>
    <w:rsid w:val="14B458A1"/>
    <w:rsid w:val="15B84674"/>
    <w:rsid w:val="16576460"/>
    <w:rsid w:val="1FD3D637"/>
    <w:rsid w:val="274744CF"/>
    <w:rsid w:val="2777AAA8"/>
    <w:rsid w:val="277C3214"/>
    <w:rsid w:val="27F92817"/>
    <w:rsid w:val="281E30BF"/>
    <w:rsid w:val="29FF5D2E"/>
    <w:rsid w:val="2ADD9E03"/>
    <w:rsid w:val="2B831BA2"/>
    <w:rsid w:val="2BDAE718"/>
    <w:rsid w:val="2DD2B962"/>
    <w:rsid w:val="2FDA814C"/>
    <w:rsid w:val="31FBDAB9"/>
    <w:rsid w:val="34AF99B6"/>
    <w:rsid w:val="35202887"/>
    <w:rsid w:val="37DFC413"/>
    <w:rsid w:val="37FFFB77"/>
    <w:rsid w:val="3DAF1027"/>
    <w:rsid w:val="3FF63C66"/>
    <w:rsid w:val="4771F9DD"/>
    <w:rsid w:val="481E5052"/>
    <w:rsid w:val="4AC75630"/>
    <w:rsid w:val="4EDDD0E6"/>
    <w:rsid w:val="52D7FB1F"/>
    <w:rsid w:val="566E6FEA"/>
    <w:rsid w:val="576B22AB"/>
    <w:rsid w:val="5778F6FB"/>
    <w:rsid w:val="57BE79A4"/>
    <w:rsid w:val="57F95B42"/>
    <w:rsid w:val="5BBF760E"/>
    <w:rsid w:val="5DA435F3"/>
    <w:rsid w:val="5DDECE5E"/>
    <w:rsid w:val="5DEB3D22"/>
    <w:rsid w:val="5F7EA5E9"/>
    <w:rsid w:val="5FDF812D"/>
    <w:rsid w:val="616C6FE3"/>
    <w:rsid w:val="62FDB820"/>
    <w:rsid w:val="657F71B1"/>
    <w:rsid w:val="67096AE8"/>
    <w:rsid w:val="6754472C"/>
    <w:rsid w:val="679BFED8"/>
    <w:rsid w:val="67FF6AD1"/>
    <w:rsid w:val="69B14F0C"/>
    <w:rsid w:val="6A7627E7"/>
    <w:rsid w:val="6DD5A7F1"/>
    <w:rsid w:val="6F6F18A1"/>
    <w:rsid w:val="6F8D17F0"/>
    <w:rsid w:val="6FBF925D"/>
    <w:rsid w:val="6FC33EBB"/>
    <w:rsid w:val="6FEBB650"/>
    <w:rsid w:val="705A5C36"/>
    <w:rsid w:val="70FF710A"/>
    <w:rsid w:val="74A37CE6"/>
    <w:rsid w:val="77B67063"/>
    <w:rsid w:val="77DF687E"/>
    <w:rsid w:val="77FF3782"/>
    <w:rsid w:val="7B6B6F91"/>
    <w:rsid w:val="7BDCDEBE"/>
    <w:rsid w:val="7CFB451C"/>
    <w:rsid w:val="7EBF4FD2"/>
    <w:rsid w:val="7EFD7908"/>
    <w:rsid w:val="7F7FF57F"/>
    <w:rsid w:val="7FF77102"/>
    <w:rsid w:val="7FFF393C"/>
    <w:rsid w:val="8EBC7042"/>
    <w:rsid w:val="9B377C3C"/>
    <w:rsid w:val="A1D4FCFB"/>
    <w:rsid w:val="A6FF9443"/>
    <w:rsid w:val="A957FC34"/>
    <w:rsid w:val="AF5AABBB"/>
    <w:rsid w:val="B4CA5C5A"/>
    <w:rsid w:val="B77300F4"/>
    <w:rsid w:val="B7FA39F3"/>
    <w:rsid w:val="B7FD796F"/>
    <w:rsid w:val="BEDE53DE"/>
    <w:rsid w:val="BEFF3A77"/>
    <w:rsid w:val="BF3FBDA5"/>
    <w:rsid w:val="BFBF9981"/>
    <w:rsid w:val="CEB71260"/>
    <w:rsid w:val="CF7FB8A4"/>
    <w:rsid w:val="D6FA676C"/>
    <w:rsid w:val="D9FAD8AB"/>
    <w:rsid w:val="DCFBB248"/>
    <w:rsid w:val="DD5D9FC6"/>
    <w:rsid w:val="DFFD7321"/>
    <w:rsid w:val="DFFEAF10"/>
    <w:rsid w:val="DFFECAEB"/>
    <w:rsid w:val="E37F006C"/>
    <w:rsid w:val="E3FFF5F3"/>
    <w:rsid w:val="E57AED2B"/>
    <w:rsid w:val="E7DDF616"/>
    <w:rsid w:val="F36EF463"/>
    <w:rsid w:val="F75EA6CB"/>
    <w:rsid w:val="F75F2CE4"/>
    <w:rsid w:val="F7768CB1"/>
    <w:rsid w:val="F7F90C84"/>
    <w:rsid w:val="F7FF6CE6"/>
    <w:rsid w:val="FBFFDDAE"/>
    <w:rsid w:val="FDF7966D"/>
    <w:rsid w:val="FF4F2DA8"/>
    <w:rsid w:val="FFBFAFE6"/>
    <w:rsid w:val="FFFFA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32"/>
      <w:szCs w:val="22"/>
      <w:lang w:val="en-US" w:eastAsia="zh-CN" w:bidi="ar-SA"/>
    </w:rPr>
  </w:style>
  <w:style w:type="paragraph" w:styleId="4">
    <w:name w:val="heading 1"/>
    <w:basedOn w:val="1"/>
    <w:next w:val="1"/>
    <w:link w:val="11"/>
    <w:qFormat/>
    <w:uiPriority w:val="9"/>
    <w:pPr>
      <w:keepNext/>
      <w:keepLines/>
      <w:spacing w:before="100" w:beforeAutospacing="1" w:after="100" w:afterAutospacing="1"/>
      <w:outlineLvl w:val="0"/>
    </w:pPr>
    <w:rPr>
      <w:b/>
      <w:bCs/>
      <w:kern w:val="44"/>
      <w:sz w:val="28"/>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36"/>
      <w:szCs w:val="36"/>
    </w:rPr>
  </w:style>
  <w:style w:type="paragraph" w:styleId="3">
    <w:name w:val="Title"/>
    <w:basedOn w:val="1"/>
    <w:next w:val="1"/>
    <w:qFormat/>
    <w:uiPriority w:val="0"/>
    <w:pPr>
      <w:spacing w:before="240" w:after="60"/>
      <w:jc w:val="center"/>
      <w:textAlignment w:val="baseline"/>
    </w:pPr>
    <w:rPr>
      <w:rFonts w:ascii="Cambria" w:hAnsi="Cambria"/>
      <w:b/>
      <w:bCs/>
      <w:szCs w:val="32"/>
    </w:rPr>
  </w:style>
  <w:style w:type="paragraph" w:styleId="5">
    <w:name w:val="Balloon Text"/>
    <w:basedOn w:val="1"/>
    <w:link w:val="16"/>
    <w:unhideWhenUsed/>
    <w:qFormat/>
    <w:uiPriority w:val="99"/>
    <w:pPr>
      <w:spacing w:line="240" w:lineRule="auto"/>
    </w:pPr>
    <w:rPr>
      <w:sz w:val="18"/>
      <w:szCs w:val="18"/>
    </w:rPr>
  </w:style>
  <w:style w:type="paragraph" w:styleId="6">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0">
    <w:name w:val="page number"/>
    <w:basedOn w:val="9"/>
    <w:qFormat/>
    <w:uiPriority w:val="0"/>
  </w:style>
  <w:style w:type="character" w:customStyle="1" w:styleId="11">
    <w:name w:val="标题 1 字符"/>
    <w:basedOn w:val="9"/>
    <w:link w:val="4"/>
    <w:qFormat/>
    <w:uiPriority w:val="9"/>
    <w:rPr>
      <w:rFonts w:eastAsia="仿宋"/>
      <w:b/>
      <w:bCs/>
      <w:kern w:val="44"/>
      <w:sz w:val="28"/>
      <w:szCs w:val="44"/>
    </w:rPr>
  </w:style>
  <w:style w:type="character" w:customStyle="1" w:styleId="12">
    <w:name w:val="页脚 字符"/>
    <w:link w:val="6"/>
    <w:qFormat/>
    <w:uiPriority w:val="99"/>
    <w:rPr>
      <w:sz w:val="18"/>
      <w:szCs w:val="18"/>
    </w:rPr>
  </w:style>
  <w:style w:type="character" w:customStyle="1" w:styleId="13">
    <w:name w:val="页脚 字符1"/>
    <w:basedOn w:val="9"/>
    <w:semiHidden/>
    <w:qFormat/>
    <w:uiPriority w:val="99"/>
    <w:rPr>
      <w:rFonts w:ascii="Calibri" w:hAnsi="Calibri" w:eastAsia="宋体" w:cs="Times New Roman"/>
      <w:sz w:val="18"/>
      <w:szCs w:val="18"/>
    </w:rPr>
  </w:style>
  <w:style w:type="paragraph" w:customStyle="1" w:styleId="14">
    <w:name w:val="列表段落1"/>
    <w:basedOn w:val="1"/>
    <w:qFormat/>
    <w:uiPriority w:val="34"/>
    <w:pPr>
      <w:ind w:firstLine="420"/>
    </w:pPr>
  </w:style>
  <w:style w:type="character" w:customStyle="1" w:styleId="15">
    <w:name w:val="页眉 字符"/>
    <w:basedOn w:val="9"/>
    <w:link w:val="7"/>
    <w:qFormat/>
    <w:uiPriority w:val="99"/>
    <w:rPr>
      <w:rFonts w:ascii="Times New Roman" w:hAnsi="Times New Roman" w:eastAsia="仿宋" w:cs="Times New Roman"/>
      <w:sz w:val="18"/>
      <w:szCs w:val="18"/>
    </w:rPr>
  </w:style>
  <w:style w:type="character" w:customStyle="1" w:styleId="16">
    <w:name w:val="批注框文本 字符"/>
    <w:basedOn w:val="9"/>
    <w:link w:val="5"/>
    <w:semiHidden/>
    <w:qFormat/>
    <w:uiPriority w:val="99"/>
    <w:rPr>
      <w:rFonts w:ascii="Times New Roman" w:hAnsi="Times New Roman" w:eastAsia="仿宋" w:cs="Times New Roman"/>
      <w:sz w:val="18"/>
      <w:szCs w:val="18"/>
    </w:rPr>
  </w:style>
  <w:style w:type="paragraph" w:customStyle="1" w:styleId="17">
    <w:name w:val="Revision"/>
    <w:hidden/>
    <w:unhideWhenUsed/>
    <w:qFormat/>
    <w:uiPriority w:val="99"/>
    <w:rPr>
      <w:rFonts w:ascii="Times New Roman" w:hAnsi="Times New Roman"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661</Words>
  <Characters>668</Characters>
  <Lines>6</Lines>
  <Paragraphs>1</Paragraphs>
  <TotalTime>1</TotalTime>
  <ScaleCrop>false</ScaleCrop>
  <LinksUpToDate>false</LinksUpToDate>
  <CharactersWithSpaces>674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2025-04-23T01:09:00Z</dcterms:created>
  <dc:creator>张晓静</dc:creator>
  <cp:lastModifiedBy>郑孟孟</cp:lastModifiedBy>
  <cp:lastPrinted>2024-08-10T09:45:00Z</cp:lastPrinted>
  <dcterms:modified xsi:type="dcterms:W3CDTF">2025-09-04T11:18:37Z</dcterms:modified>
  <dc:title>深圳市住房和建设行政处罚自由裁量权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FE234C3449D49DB30D05B9682D0FCFE6</vt:lpwstr>
  </property>
  <property fmtid="{D5CDD505-2E9C-101B-9397-08002B2CF9AE}" pid="4" name="KSOTemplateDocerSaveRecord">
    <vt:lpwstr>eyJoZGlkIjoiOGYzOTAyNTgxZGFkYjg1Y2VlYmZmODVhOWEzZmQzZjMiLCJ1c2VySWQiOiI3MjI3Mjk3OTIifQ==</vt:lpwstr>
  </property>
</Properties>
</file>