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BCB26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 w14:paraId="44C6171E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 w14:paraId="2074D761">
      <w:pPr>
        <w:spacing w:line="580" w:lineRule="exact"/>
        <w:jc w:val="center"/>
      </w:pPr>
    </w:p>
    <w:p w14:paraId="53C5CDCB"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深府行复〔2020〕1520号</w:t>
      </w:r>
    </w:p>
    <w:p w14:paraId="3DD22A92">
      <w:pPr>
        <w:spacing w:line="580" w:lineRule="exact"/>
        <w:rPr>
          <w:rFonts w:eastAsia="仿宋_GB2312"/>
          <w:sz w:val="32"/>
          <w:u w:val="single"/>
        </w:rPr>
      </w:pPr>
    </w:p>
    <w:p w14:paraId="768F65A1"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eastAsia="黑体"/>
          <w:sz w:val="32"/>
        </w:rPr>
        <w:t>申请人：</w:t>
      </w:r>
      <w:r>
        <w:rPr>
          <w:rStyle w:val="6"/>
          <w:rFonts w:hint="eastAsia" w:ascii="仿宋_GB2312" w:hAnsi="inherit" w:eastAsia="仿宋_GB2312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6"/>
          <w:rFonts w:hint="eastAsia" w:ascii="仿宋_GB2312" w:hAnsi="inherit" w:eastAsia="仿宋_GB2312"/>
          <w:sz w:val="32"/>
          <w:szCs w:val="32"/>
        </w:rPr>
        <w:t>人才服务外包有限公司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4BA8995E">
      <w:pPr>
        <w:spacing w:line="580" w:lineRule="exact"/>
        <w:ind w:left="950" w:leftChars="300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法定代表人：邓某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</w:rPr>
        <w:t>，总经理</w:t>
      </w:r>
    </w:p>
    <w:p w14:paraId="74AA672E"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eastAsia="仿宋_GB2312"/>
          <w:sz w:val="32"/>
        </w:rPr>
        <w:t>深圳市人力资源和社会保障局</w:t>
      </w:r>
    </w:p>
    <w:p w14:paraId="2B5BA2A5"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hint="eastAsia" w:eastAsia="仿宋_GB2312"/>
          <w:sz w:val="32"/>
        </w:rPr>
        <w:t>号深圳人才园</w:t>
      </w:r>
    </w:p>
    <w:p w14:paraId="0564E9E5"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eastAsia="仿宋_GB2312"/>
          <w:sz w:val="32"/>
        </w:rPr>
        <w:t>法定代表人：孙福金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 w14:paraId="780CCC40"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委托代理人：王璐楠、陈扬，广东中全律师事务所律师</w:t>
      </w:r>
    </w:p>
    <w:p w14:paraId="278C0307">
      <w:pPr>
        <w:spacing w:line="580" w:lineRule="exact"/>
      </w:pPr>
    </w:p>
    <w:p w14:paraId="268BB1F8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仿宋" w:eastAsia="仿宋_GB2312"/>
          <w:sz w:val="32"/>
          <w:szCs w:val="32"/>
        </w:rPr>
        <w:t>2020年10月15日作出的深人社工认决字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 w14:paraId="2820650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 xml:space="preserve">深人社工伤认定［2020］ 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号《认定工伤决定书》认定“李某同志是在上班期间，由于工作原因受到事故伤害”，属于认定事实错误。李某在广州市天河区高塘路新岑四路西10米送餐完成后与伍伟立驾驶粤A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小汽车发送碰撞，被交警判定次要责任。李某送餐完成后，属于下班路程中发生的交通事故。申请人为李某购买了60万商业险,因李某无票据进行我方商业险理赔,由于时间过了一年多,申请人当事管理人员已离职,当日档案都找不到了, 李某也在事故发生后没来上班,也从未与申请人进行沟通。请求：依法撤销被申请人作出的深人社工认决字〔2020〕××号《工伤决定书》，重新作出工伤认定结论。</w:t>
      </w:r>
    </w:p>
    <w:p w14:paraId="5BE038E3">
      <w:pPr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 w:cs="黑体"/>
          <w:sz w:val="32"/>
          <w:szCs w:val="32"/>
        </w:rPr>
        <w:t>一、事实依据。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1.李某与申请人之间存在劳动关系。</w:t>
      </w:r>
      <w:r>
        <w:rPr>
          <w:rFonts w:hint="eastAsia" w:ascii="仿宋_GB2312" w:hAnsi="仿宋" w:eastAsia="仿宋_GB2312" w:cs="仿宋"/>
          <w:sz w:val="32"/>
          <w:szCs w:val="32"/>
        </w:rPr>
        <w:t>依照职工、单位向被申请人提交的劳动合同等相关材料，被申请人确认双方对其之间存在的劳动关系没有异议。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2.李某系在工作时间和工作场所，因工作原因受伤。</w:t>
      </w:r>
      <w:r>
        <w:rPr>
          <w:rFonts w:hint="eastAsia" w:ascii="仿宋_GB2312" w:hAnsi="仿宋" w:eastAsia="仿宋_GB2312" w:cs="仿宋"/>
          <w:sz w:val="32"/>
          <w:szCs w:val="32"/>
        </w:rPr>
        <w:t>职工向被申请人申报工伤并主张，其系在工作期间（送餐期间）遭受交通事故意外伤害，并提交了病历、交通事故认定书、路线图、配送信息、微信记录等材料证实其主张；其中配送信息显示，事发前李某一直在从事有关配送快餐的工作，上述配送信息记载、路线图、交通事故认定书相互印证了其工伤申报的有关情形客观属实。对于上述申报，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予以否认，称李某已完成配送，属于下班途中交通违章。针对争议焦点，被申请人展开调查。有关调查笔录证实，李某系在配送完上一单快餐后，按规定应回到门店附近进行下一次配送工作，事发期间属于中午送餐高峰期，其属在工作时间内遭受车祸伤害。同时结合工伤认定的举证倒置原则，申请人未证明职工遭受车祸时不属于工作时间，被申请人依法认定李某属工伤。</w:t>
      </w:r>
    </w:p>
    <w:p w14:paraId="5CDF350E">
      <w:pPr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二、条例依据。</w:t>
      </w:r>
      <w:r>
        <w:rPr>
          <w:rFonts w:hint="eastAsia" w:ascii="仿宋_GB2312" w:hAnsi="仿宋" w:eastAsia="仿宋_GB2312" w:cs="仿宋"/>
          <w:sz w:val="32"/>
          <w:szCs w:val="32"/>
        </w:rPr>
        <w:t>根据以上事实，被申请人认为李某受伤之情形符合《广东省工伤保险条例》第九条第（一）项的规定，认定其属于工伤。</w:t>
      </w:r>
    </w:p>
    <w:p w14:paraId="34FEDEA5">
      <w:pPr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三、申请人的复议主张不成立。</w:t>
      </w:r>
      <w:r>
        <w:rPr>
          <w:rFonts w:hint="eastAsia" w:ascii="仿宋_GB2312" w:hAnsi="仿宋" w:eastAsia="仿宋_GB2312" w:cs="仿宋"/>
          <w:sz w:val="32"/>
          <w:szCs w:val="32"/>
        </w:rPr>
        <w:t>申请人申请复议时主张，李某系送餐完成后，在下班时间和下班路程中遭受交通事故伤害，不属工伤。被申请人认为，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主张的 “下班时间和下班路程”没有事实依据，其作为用人单位依法应承担职工不属工伤的举证责任。且经查实李某系在中午的送餐高峰期，完成一单配送工作后回到门店附近（拟再次开始下一次配送工作）时遭受车祸伤害，其仍属于工作时间和工作场所内，因工受伤的情形。另即便按照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的有关主张“下班途中遭受非本人主要责任的交通事故伤害”的，按照有关规定，仍应认定李某属工伤。</w:t>
      </w:r>
      <w:r>
        <w:rPr>
          <w:rFonts w:hint="eastAsia" w:ascii="仿宋_GB2312" w:hAnsi="仿宋" w:eastAsia="仿宋_GB2312"/>
          <w:sz w:val="32"/>
          <w:szCs w:val="32"/>
        </w:rPr>
        <w:t>根据以上事实以及条例的依据，被申请人认为，申请人的请求没有依据,被申请人的具体行政行为符合条例的规定，依据充分，程序合法，表述适当，请求依法维持。</w:t>
      </w:r>
    </w:p>
    <w:p w14:paraId="49D5EFFE"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2020年8月11日，李某向被申请人申请工伤认定，称其系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的职工，任职送餐员职位，2019年9月28日11：32许，其在上班期间在广州某路段不慎遭受车祸受伤。李某提交的申报材料包括：工伤认定申请表、身份证、病历等诊疗材料、劳动合同、交通事故认定书、交警大队事故基本信息、自述、工作绩效表、工商注册登记信息、微信记录、雇主责任险保单、配送信息、路线图等相关材料。</w:t>
      </w:r>
      <w:r>
        <w:rPr>
          <w:rFonts w:ascii="仿宋_GB2312" w:hAnsi="仿宋" w:eastAsia="仿宋_GB2312" w:cs="仿宋"/>
          <w:sz w:val="32"/>
          <w:szCs w:val="32"/>
        </w:rPr>
        <w:t xml:space="preserve"> </w:t>
      </w:r>
    </w:p>
    <w:p w14:paraId="70CA4106"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2020年8月24日，被申请人向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发出《工伤保险协助调查通知书》。</w:t>
      </w:r>
      <w:r>
        <w:rPr>
          <w:rFonts w:hint="eastAsia" w:ascii="仿宋_GB2312" w:hAnsi="仿宋" w:eastAsia="仿宋" w:cs="仿宋"/>
          <w:sz w:val="32"/>
          <w:szCs w:val="32"/>
        </w:rPr>
        <w:t>申请人</w:t>
      </w:r>
      <w:r>
        <w:rPr>
          <w:rFonts w:hint="eastAsia" w:ascii="仿宋_GB2312" w:hAnsi="仿宋" w:eastAsia="仿宋_GB2312" w:cs="仿宋"/>
          <w:sz w:val="32"/>
          <w:szCs w:val="32"/>
        </w:rPr>
        <w:t>提交了《事件陈述》《李某事故说明》，称李某是其单位的职工，公司已购买了雇主责任险，送餐过程中属于工作时间，其事发时已送完餐，属于在下班路程中发生交通事故不属工伤。</w:t>
      </w:r>
    </w:p>
    <w:p w14:paraId="6FEE625D">
      <w:pPr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2020年10月15日，被申请人作出</w:t>
      </w:r>
      <w:r>
        <w:rPr>
          <w:rFonts w:hint="eastAsia" w:ascii="仿宋_GB2312" w:hAnsi="仿宋" w:eastAsia="仿宋_GB2312"/>
          <w:sz w:val="32"/>
          <w:szCs w:val="32"/>
        </w:rPr>
        <w:t>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号《深圳市认定工伤决定书》，认定李某系申请人的员工，该员工在工作时间工作岗位上，因工作原因受伤情形属工伤。</w:t>
      </w:r>
      <w:r>
        <w:rPr>
          <w:rFonts w:hint="eastAsia" w:ascii="仿宋_GB2312" w:hAnsi="宋体" w:eastAsia="仿宋_GB2312"/>
          <w:sz w:val="32"/>
          <w:szCs w:val="32"/>
        </w:rPr>
        <w:t>申请人不服，申请行政复议。</w:t>
      </w:r>
    </w:p>
    <w:p w14:paraId="53F06876">
      <w:pPr>
        <w:spacing w:line="58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hAnsi="仿宋" w:eastAsia="仿宋_GB2312"/>
          <w:sz w:val="32"/>
          <w:szCs w:val="32"/>
        </w:rPr>
        <w:t>《</w:t>
      </w:r>
      <w:r>
        <w:rPr>
          <w:rFonts w:hint="eastAsia" w:ascii="仿宋_GB2312" w:hAnsi="仿宋" w:eastAsia="仿宋_GB2312" w:cs="仿宋"/>
          <w:sz w:val="32"/>
          <w:szCs w:val="32"/>
        </w:rPr>
        <w:t>广东省工伤保险条例》第九条第（一）项：“职工有下列情形之一的，应当认定为工伤：（一）在工作时间和工作场所内，因工作原因受到事故伤害的； ”本</w:t>
      </w:r>
      <w:r>
        <w:rPr>
          <w:rFonts w:hint="eastAsia" w:ascii="仿宋_GB2312" w:hAnsi="仿宋" w:eastAsia="仿宋_GB2312"/>
          <w:sz w:val="32"/>
          <w:szCs w:val="32"/>
        </w:rPr>
        <w:t>案，</w:t>
      </w:r>
      <w:r>
        <w:rPr>
          <w:rFonts w:hint="eastAsia" w:ascii="仿宋_GB2312" w:eastAsia="仿宋_GB2312"/>
          <w:sz w:val="32"/>
        </w:rPr>
        <w:t xml:space="preserve"> 根据被申请人提供的证据及其阐述的理由，可以认定</w:t>
      </w:r>
      <w:r>
        <w:rPr>
          <w:rFonts w:hint="eastAsia" w:ascii="仿宋_GB2312" w:hAnsi="仿宋" w:eastAsia="仿宋_GB2312" w:cs="仿宋"/>
          <w:sz w:val="32"/>
          <w:szCs w:val="32"/>
        </w:rPr>
        <w:t>李某</w:t>
      </w:r>
      <w:r>
        <w:rPr>
          <w:rFonts w:hint="eastAsia" w:ascii="仿宋_GB2312" w:hAnsi="仿宋" w:eastAsia="仿宋_GB2312"/>
          <w:sz w:val="32"/>
          <w:szCs w:val="32"/>
        </w:rPr>
        <w:t>是</w:t>
      </w:r>
      <w:r>
        <w:rPr>
          <w:rFonts w:hint="eastAsia" w:ascii="仿宋_GB2312" w:hAnsi="Arial" w:eastAsia="仿宋_GB2312" w:cs="Arial"/>
          <w:color w:val="333333"/>
          <w:sz w:val="32"/>
          <w:szCs w:val="32"/>
        </w:rPr>
        <w:t>在工作时间和工作岗位，</w:t>
      </w:r>
      <w:r>
        <w:rPr>
          <w:rFonts w:hint="eastAsia" w:ascii="仿宋_GB2312" w:hAnsi="仿宋" w:eastAsia="仿宋_GB2312" w:cs="仿宋"/>
          <w:sz w:val="32"/>
          <w:szCs w:val="32"/>
        </w:rPr>
        <w:t>因工作原因受到事故伤害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" w:hAnsi="仿宋" w:eastAsia="仿宋_GB2312"/>
          <w:sz w:val="32"/>
          <w:szCs w:val="28"/>
        </w:rPr>
        <w:t>申请人主张</w:t>
      </w:r>
      <w:r>
        <w:rPr>
          <w:rFonts w:hint="eastAsia" w:ascii="仿宋_GB2312" w:hAnsi="仿宋" w:eastAsia="仿宋_GB2312" w:cs="仿宋"/>
          <w:sz w:val="32"/>
          <w:szCs w:val="32"/>
        </w:rPr>
        <w:t>李某系下班路程中遭受交通事故伤害，不属工伤</w:t>
      </w:r>
      <w:r>
        <w:rPr>
          <w:rFonts w:hint="eastAsia" w:ascii="仿宋" w:hAnsi="仿宋" w:eastAsia="仿宋_GB2312"/>
          <w:sz w:val="32"/>
          <w:szCs w:val="28"/>
        </w:rPr>
        <w:t>，但根据《广东省工伤保险条例》第十四条第三款规定的举证规则，因其未能举证予以证明，应依法承担举证不能的不利后果。即使如申请人所称</w:t>
      </w:r>
      <w:r>
        <w:rPr>
          <w:rFonts w:hint="eastAsia" w:ascii="仿宋_GB2312" w:hAnsi="仿宋" w:eastAsia="仿宋_GB2312" w:cs="仿宋"/>
          <w:sz w:val="32"/>
          <w:szCs w:val="32"/>
        </w:rPr>
        <w:t>李某系下班路程中遭受交通事故伤害，李某亦符合</w:t>
      </w:r>
      <w:r>
        <w:rPr>
          <w:rFonts w:hint="eastAsia" w:ascii="仿宋_GB2312" w:hAnsi="仿宋" w:eastAsia="仿宋_GB2312"/>
          <w:sz w:val="32"/>
          <w:szCs w:val="32"/>
        </w:rPr>
        <w:t>《广东省工伤保险条例》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第九条第（六）项规定的应当认定为工伤的条件。至于申请人称其已为</w:t>
      </w:r>
      <w:r>
        <w:rPr>
          <w:rFonts w:hint="eastAsia" w:ascii="仿宋_GB2312" w:hAnsi="仿宋" w:eastAsia="仿宋_GB2312" w:cs="仿宋"/>
          <w:sz w:val="32"/>
          <w:szCs w:val="32"/>
        </w:rPr>
        <w:t>李某购买商业保险，因与本案无关，不属于本案审查范围。综上，</w:t>
      </w:r>
      <w:r>
        <w:rPr>
          <w:rFonts w:hint="eastAsia" w:ascii="仿宋_GB2312" w:hAnsi="仿宋_GB2312" w:eastAsia="仿宋_GB2312"/>
          <w:sz w:val="32"/>
        </w:rPr>
        <w:t xml:space="preserve"> 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第二十八条第一款第（一）项</w:t>
      </w:r>
      <w:r>
        <w:rPr>
          <w:rFonts w:hint="eastAsia" w:ascii="仿宋_GB2312" w:hAnsi="仿宋_GB2312" w:eastAsia="仿宋_GB2312"/>
          <w:sz w:val="32"/>
        </w:rPr>
        <w:t>的规定，本机关作出复议决定如下：</w:t>
      </w:r>
    </w:p>
    <w:p w14:paraId="352CB495">
      <w:pPr>
        <w:spacing w:line="580" w:lineRule="exac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维持被申请人深圳市人力资源和社会保障局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hAnsi="仿宋" w:eastAsia="仿宋_GB2312"/>
          <w:sz w:val="32"/>
          <w:szCs w:val="32"/>
        </w:rPr>
        <w:t>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hAnsi="仿宋_GB2312" w:eastAsia="仿宋_GB2312"/>
          <w:sz w:val="32"/>
        </w:rPr>
        <w:t>。</w:t>
      </w:r>
    </w:p>
    <w:p w14:paraId="50AA3643"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14:paraId="4FC0AA42"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</w:p>
    <w:p w14:paraId="30F82608"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 w14:paraId="03D374A0">
      <w:pPr>
        <w:spacing w:line="580" w:lineRule="exact"/>
        <w:ind w:firstLine="5600" w:firstLineChars="175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 w14:paraId="2ADD6E5F">
      <w:pPr>
        <w:spacing w:line="580" w:lineRule="exact"/>
        <w:ind w:right="256"/>
      </w:pPr>
      <w:r>
        <w:rPr>
          <w:rFonts w:hint="eastAsia" w:ascii="仿宋_GB2312" w:hAnsi="仿宋_GB2312" w:eastAsia="仿宋_GB2312"/>
          <w:sz w:val="32"/>
        </w:rPr>
        <w:t xml:space="preserve">                                  2020年12月29 日</w:t>
      </w:r>
    </w:p>
    <w:p w14:paraId="43B08999"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1376204"/>
    </w:sdtPr>
    <w:sdtContent>
      <w:p w14:paraId="1F070D54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0EEA1C9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4875"/>
    <w:rsid w:val="000475B2"/>
    <w:rsid w:val="00053F37"/>
    <w:rsid w:val="000857F4"/>
    <w:rsid w:val="00241049"/>
    <w:rsid w:val="00272782"/>
    <w:rsid w:val="002C459B"/>
    <w:rsid w:val="00364624"/>
    <w:rsid w:val="0037154C"/>
    <w:rsid w:val="00410FB6"/>
    <w:rsid w:val="00443D54"/>
    <w:rsid w:val="00451CD1"/>
    <w:rsid w:val="008C7B18"/>
    <w:rsid w:val="009B27F8"/>
    <w:rsid w:val="00A05B20"/>
    <w:rsid w:val="00A53E16"/>
    <w:rsid w:val="00AE1440"/>
    <w:rsid w:val="00C178DE"/>
    <w:rsid w:val="00C466A8"/>
    <w:rsid w:val="00C6561D"/>
    <w:rsid w:val="00CF235B"/>
    <w:rsid w:val="00D57BB4"/>
    <w:rsid w:val="00D67204"/>
    <w:rsid w:val="00E728BE"/>
    <w:rsid w:val="00F44875"/>
    <w:rsid w:val="00FB2259"/>
    <w:rsid w:val="3859262E"/>
    <w:rsid w:val="467860E9"/>
    <w:rsid w:val="50FE2117"/>
    <w:rsid w:val="5F16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列表1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2170</Words>
  <Characters>2227</Characters>
  <Lines>16</Lines>
  <Paragraphs>4</Paragraphs>
  <TotalTime>2</TotalTime>
  <ScaleCrop>false</ScaleCrop>
  <LinksUpToDate>false</LinksUpToDate>
  <CharactersWithSpaces>2309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2020-11-25T09:07:00Z</dcterms:created>
  <dc:creator>黄浩</dc:creator>
  <cp:lastModifiedBy>阿营</cp:lastModifiedBy>
  <cp:lastPrinted>2020-11-26T04:28:00Z</cp:lastPrinted>
  <dcterms:modified xsi:type="dcterms:W3CDTF">2025-08-29T01:10:27Z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F2004AAFAD08473481C62092256A81CA</vt:lpwstr>
  </property>
  <property fmtid="{D5CDD505-2E9C-101B-9397-08002B2CF9AE}" pid="4" name="KSOTemplateDocerSaveRecord">
    <vt:lpwstr>eyJoZGlkIjoiOTE5MGUyN2E3NzM2MGExODZlOWY3N2U1NWY5MzA5MTciLCJ1c2VySWQiOiI0MTE2MDgyODUifQ==</vt:lpwstr>
  </property>
</Properties>
</file>