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宋体" w:hAnsi="宋体"/>
          <w:sz w:val="44"/>
          <w:szCs w:val="44"/>
        </w:rPr>
      </w:pPr>
      <w:r>
        <w:rPr>
          <w:rFonts w:hint="eastAsia" w:ascii="宋体" w:hAnsi="宋体"/>
          <w:sz w:val="44"/>
          <w:szCs w:val="44"/>
        </w:rPr>
        <w:t>深  圳  市  人  民  政  府</w:t>
      </w:r>
    </w:p>
    <w:p>
      <w:pPr>
        <w:spacing w:line="900" w:lineRule="exact"/>
        <w:jc w:val="center"/>
        <w:rPr>
          <w:rFonts w:ascii="宋体" w:hAns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深府行复〔2020〕1899号</w:t>
      </w:r>
    </w:p>
    <w:p>
      <w:pPr>
        <w:spacing w:line="640" w:lineRule="exact"/>
        <w:rPr>
          <w:rFonts w:ascii="仿宋_GB2312" w:eastAsia="仿宋_GB2312"/>
          <w:sz w:val="32"/>
          <w:szCs w:val="32"/>
        </w:rPr>
      </w:pPr>
    </w:p>
    <w:p>
      <w:pPr>
        <w:spacing w:line="240" w:lineRule="atLeast"/>
        <w:ind w:firstLine="640" w:firstLineChars="200"/>
        <w:rPr>
          <w:rFonts w:hint="eastAsia" w:ascii="仿宋_GB2312" w:eastAsia="仿宋_GB2312"/>
          <w:sz w:val="32"/>
          <w:szCs w:val="32"/>
          <w:lang w:eastAsia="zh-CN"/>
        </w:rPr>
      </w:pPr>
      <w:r>
        <w:rPr>
          <w:rFonts w:hint="eastAsia" w:ascii="黑体" w:eastAsia="黑体"/>
          <w:bCs/>
          <w:color w:val="000000"/>
          <w:sz w:val="32"/>
          <w:szCs w:val="32"/>
        </w:rPr>
        <w:t>申请人：</w:t>
      </w:r>
      <w:r>
        <w:rPr>
          <w:rStyle w:val="6"/>
          <w:rFonts w:hint="eastAsia" w:ascii="仿宋_GB2312" w:hAnsi="inherit" w:eastAsia="仿宋_GB2312"/>
          <w:sz w:val="32"/>
          <w:szCs w:val="32"/>
        </w:rPr>
        <w:t>严</w:t>
      </w:r>
      <w:r>
        <w:rPr>
          <w:rStyle w:val="6"/>
          <w:rFonts w:hint="eastAsia" w:ascii="仿宋_GB2312" w:hAnsi="inherit" w:eastAsia="仿宋_GB2312"/>
          <w:sz w:val="32"/>
          <w:szCs w:val="32"/>
          <w:lang w:eastAsia="zh-CN"/>
        </w:rPr>
        <w:t>某</w:t>
      </w:r>
    </w:p>
    <w:p>
      <w:pPr>
        <w:spacing w:line="240" w:lineRule="atLeast"/>
        <w:ind w:firstLine="640" w:firstLineChars="200"/>
        <w:rPr>
          <w:rFonts w:ascii="仿宋_GB2312" w:hAnsi="仿宋" w:eastAsia="仿宋_GB2312"/>
          <w:color w:val="000000"/>
          <w:sz w:val="32"/>
          <w:szCs w:val="32"/>
        </w:rPr>
      </w:pPr>
      <w:r>
        <w:rPr>
          <w:rFonts w:hint="eastAsia" w:ascii="黑体" w:eastAsia="黑体"/>
          <w:bCs/>
          <w:color w:val="000000"/>
          <w:sz w:val="32"/>
          <w:szCs w:val="32"/>
        </w:rPr>
        <w:t>被申请人：</w:t>
      </w:r>
      <w:r>
        <w:rPr>
          <w:rFonts w:hint="eastAsia" w:ascii="仿宋_GB2312" w:hAnsi="仿宋" w:eastAsia="仿宋_GB2312"/>
          <w:color w:val="000000"/>
          <w:sz w:val="32"/>
          <w:szCs w:val="32"/>
        </w:rPr>
        <w:t>深圳市市场监督管理局</w:t>
      </w:r>
      <w:r>
        <w:rPr>
          <w:rFonts w:hint="eastAsia" w:ascii="仿宋_GB2312" w:eastAsia="仿宋_GB2312"/>
          <w:sz w:val="32"/>
          <w:szCs w:val="32"/>
        </w:rPr>
        <w:t>宝安</w:t>
      </w:r>
      <w:r>
        <w:rPr>
          <w:rFonts w:hint="eastAsia" w:ascii="仿宋_GB2312" w:hAnsi="仿宋" w:eastAsia="仿宋_GB2312"/>
          <w:color w:val="000000"/>
          <w:sz w:val="32"/>
          <w:szCs w:val="32"/>
        </w:rPr>
        <w:t>监管局</w:t>
      </w:r>
    </w:p>
    <w:p>
      <w:pPr>
        <w:spacing w:line="240" w:lineRule="atLeast"/>
        <w:ind w:firstLine="630"/>
        <w:rPr>
          <w:rFonts w:ascii="仿宋_GB2312" w:hAnsi="仿宋" w:eastAsia="仿宋_GB2312"/>
          <w:color w:val="000000"/>
          <w:sz w:val="32"/>
          <w:szCs w:val="32"/>
        </w:rPr>
      </w:pPr>
      <w:r>
        <w:rPr>
          <w:rFonts w:hint="eastAsia" w:ascii="仿宋_GB2312" w:hAnsi="仿宋" w:eastAsia="仿宋_GB2312"/>
          <w:color w:val="000000"/>
          <w:sz w:val="32"/>
          <w:szCs w:val="32"/>
        </w:rPr>
        <w:t>地址：</w:t>
      </w:r>
      <w:r>
        <w:rPr>
          <w:rFonts w:hint="eastAsia" w:ascii="仿宋_GB2312" w:hAnsi="仿宋_GB2312" w:eastAsia="仿宋_GB2312" w:cs="仿宋_GB2312"/>
          <w:sz w:val="32"/>
          <w:szCs w:val="32"/>
        </w:rPr>
        <w:t>深圳市宝安区42区翻身路75号</w:t>
      </w:r>
    </w:p>
    <w:p>
      <w:pPr>
        <w:spacing w:line="240" w:lineRule="atLeast"/>
        <w:ind w:firstLine="640" w:firstLineChars="200"/>
        <w:rPr>
          <w:rFonts w:ascii="仿宋_GB2312" w:eastAsia="仿宋_GB2312"/>
          <w:sz w:val="32"/>
          <w:szCs w:val="32"/>
        </w:rPr>
      </w:pPr>
      <w:r>
        <w:rPr>
          <w:rFonts w:hint="eastAsia" w:ascii="仿宋_GB2312" w:hAnsi="仿宋" w:eastAsia="仿宋_GB2312"/>
          <w:color w:val="000000"/>
          <w:sz w:val="32"/>
          <w:szCs w:val="32"/>
        </w:rPr>
        <w:t>法定代表人：</w:t>
      </w:r>
      <w:r>
        <w:rPr>
          <w:rFonts w:hint="eastAsia" w:ascii="仿宋_GB2312" w:hAnsi="仿宋_GB2312" w:eastAsia="仿宋_GB2312" w:cs="仿宋_GB2312"/>
          <w:sz w:val="32"/>
          <w:szCs w:val="32"/>
        </w:rPr>
        <w:t>欧阳卫国</w:t>
      </w:r>
      <w:r>
        <w:rPr>
          <w:rFonts w:hint="eastAsia" w:ascii="仿宋_GB2312" w:hAnsi="仿宋" w:eastAsia="仿宋_GB2312"/>
          <w:color w:val="000000"/>
          <w:sz w:val="32"/>
          <w:szCs w:val="32"/>
        </w:rPr>
        <w:t>，局长</w:t>
      </w:r>
    </w:p>
    <w:p>
      <w:pPr>
        <w:spacing w:line="240" w:lineRule="atLeast"/>
        <w:ind w:firstLine="640" w:firstLineChars="200"/>
        <w:rPr>
          <w:rFonts w:ascii="仿宋_GB2312" w:hAnsi="仿宋" w:eastAsia="仿宋_GB2312"/>
          <w:sz w:val="32"/>
          <w:szCs w:val="32"/>
        </w:rPr>
      </w:pPr>
    </w:p>
    <w:p>
      <w:pPr>
        <w:spacing w:line="240" w:lineRule="atLeast"/>
        <w:ind w:firstLine="640" w:firstLineChars="200"/>
        <w:rPr>
          <w:rFonts w:ascii="仿宋_GB2312" w:hAnsi="仿宋_GB2312" w:eastAsia="仿宋_GB2312"/>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请人不服被申请人对其关于</w:t>
      </w:r>
      <w:r>
        <w:rPr>
          <w:rFonts w:hint="eastAsia" w:eastAsia="仿宋_GB2312"/>
          <w:sz w:val="32"/>
        </w:rPr>
        <w:t>××</w:t>
      </w:r>
      <w:r>
        <w:rPr>
          <w:rFonts w:hint="eastAsia" w:ascii="仿宋_GB2312" w:hAnsi="仿宋_GB2312" w:eastAsia="仿宋_GB2312" w:cs="仿宋_GB2312"/>
          <w:sz w:val="32"/>
          <w:szCs w:val="32"/>
        </w:rPr>
        <w:t>国际产业（深圳）有限公司</w:t>
      </w:r>
      <w:r>
        <w:rPr>
          <w:rFonts w:hint="eastAsia" w:ascii="仿宋_GB2312" w:hAnsi="华文仿宋" w:eastAsia="仿宋_GB2312" w:cs="华文仿宋"/>
          <w:color w:val="000000"/>
          <w:sz w:val="32"/>
          <w:szCs w:val="32"/>
        </w:rPr>
        <w:t>的</w:t>
      </w:r>
      <w:r>
        <w:rPr>
          <w:rFonts w:hint="eastAsia" w:ascii="仿宋_GB2312" w:hAnsi="宋体" w:eastAsia="仿宋_GB2312" w:cs="宋体"/>
          <w:sz w:val="32"/>
          <w:szCs w:val="32"/>
        </w:rPr>
        <w:t>举报（编号：</w:t>
      </w:r>
      <w:r>
        <w:rPr>
          <w:rFonts w:hint="eastAsia" w:ascii="仿宋_GB2312" w:hAnsi="仿宋_GB2312" w:eastAsia="仿宋_GB2312" w:cs="仿宋_GB2312"/>
          <w:sz w:val="32"/>
          <w:szCs w:val="32"/>
        </w:rPr>
        <w:t>1440306002020101436799629</w:t>
      </w:r>
      <w:r>
        <w:rPr>
          <w:rFonts w:hint="eastAsia" w:ascii="仿宋_GB2312" w:hAnsi="宋体" w:eastAsia="仿宋_GB2312" w:cs="宋体"/>
          <w:sz w:val="32"/>
          <w:szCs w:val="32"/>
        </w:rPr>
        <w:t>）作出的不予立案决定</w:t>
      </w:r>
      <w:r>
        <w:rPr>
          <w:rFonts w:hint="eastAsia" w:ascii="仿宋_GB2312" w:hAnsi="仿宋" w:eastAsia="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w:t>
      </w:r>
      <w:r>
        <w:rPr>
          <w:rFonts w:hint="eastAsia" w:ascii="仿宋_GB2312" w:hAnsi="仿宋_GB2312" w:eastAsia="仿宋_GB2312"/>
          <w:sz w:val="32"/>
          <w:szCs w:val="32"/>
        </w:rPr>
        <w:t>作出该具体行政行为的</w:t>
      </w:r>
      <w:r>
        <w:rPr>
          <w:rFonts w:ascii="仿宋_GB2312" w:hAnsi="仿宋_GB2312" w:eastAsia="仿宋_GB2312"/>
          <w:sz w:val="32"/>
          <w:szCs w:val="32"/>
        </w:rPr>
        <w:t>证据</w:t>
      </w:r>
      <w:r>
        <w:rPr>
          <w:rFonts w:hint="eastAsia" w:ascii="仿宋_GB2312" w:hAnsi="仿宋_GB2312" w:eastAsia="仿宋_GB2312"/>
          <w:sz w:val="32"/>
          <w:szCs w:val="32"/>
        </w:rPr>
        <w:t>、</w:t>
      </w:r>
      <w:r>
        <w:rPr>
          <w:rFonts w:ascii="仿宋_GB2312" w:hAnsi="仿宋_GB2312" w:eastAsia="仿宋_GB2312"/>
          <w:sz w:val="32"/>
          <w:szCs w:val="32"/>
        </w:rPr>
        <w:t>依据</w:t>
      </w:r>
      <w:r>
        <w:rPr>
          <w:rFonts w:hint="eastAsia" w:ascii="仿宋_GB2312" w:hAnsi="仿宋_GB2312" w:eastAsia="仿宋_GB2312"/>
          <w:sz w:val="32"/>
          <w:szCs w:val="32"/>
        </w:rPr>
        <w:t>和其他</w:t>
      </w:r>
      <w:r>
        <w:rPr>
          <w:rFonts w:ascii="仿宋_GB2312" w:hAnsi="仿宋_GB2312" w:eastAsia="仿宋_GB2312"/>
          <w:sz w:val="32"/>
          <w:szCs w:val="32"/>
        </w:rPr>
        <w:t>有关</w:t>
      </w:r>
      <w:r>
        <w:rPr>
          <w:rFonts w:hint="eastAsia" w:ascii="仿宋_GB2312" w:hAnsi="仿宋_GB2312" w:eastAsia="仿宋_GB2312"/>
          <w:sz w:val="32"/>
          <w:szCs w:val="32"/>
        </w:rPr>
        <w:t>材料</w:t>
      </w:r>
      <w:r>
        <w:rPr>
          <w:rFonts w:ascii="仿宋_GB2312" w:hAnsi="仿宋_GB2312" w:eastAsia="仿宋_GB2312"/>
          <w:sz w:val="32"/>
          <w:szCs w:val="32"/>
        </w:rPr>
        <w:t>，本案现已审理终结。</w:t>
      </w:r>
    </w:p>
    <w:p>
      <w:pPr>
        <w:spacing w:line="240" w:lineRule="atLeast"/>
        <w:ind w:firstLine="640" w:firstLineChars="200"/>
        <w:rPr>
          <w:rFonts w:ascii="仿宋_GB2312" w:hAnsi="仿宋_GB2312" w:eastAsia="仿宋_GB2312"/>
          <w:sz w:val="32"/>
          <w:szCs w:val="32"/>
        </w:rPr>
      </w:pPr>
      <w:r>
        <w:rPr>
          <w:rFonts w:hint="eastAsia" w:ascii="黑体" w:eastAsia="黑体"/>
          <w:sz w:val="32"/>
          <w:szCs w:val="32"/>
        </w:rPr>
        <w:t>经查：</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20年10月14日，被申请人收到申请人的举报</w:t>
      </w:r>
      <w:r>
        <w:rPr>
          <w:rFonts w:hint="eastAsia" w:ascii="仿宋_GB2312" w:hAnsi="仿宋_GB2312" w:eastAsia="仿宋_GB2312"/>
          <w:sz w:val="32"/>
          <w:szCs w:val="32"/>
        </w:rPr>
        <w:t>（编号：</w:t>
      </w:r>
      <w:r>
        <w:rPr>
          <w:rFonts w:hint="eastAsia" w:ascii="仿宋_GB2312" w:hAnsi="仿宋_GB2312" w:eastAsia="仿宋_GB2312" w:cs="仿宋_GB2312"/>
          <w:sz w:val="32"/>
          <w:szCs w:val="32"/>
        </w:rPr>
        <w:t>1440306002020101436799629</w:t>
      </w:r>
      <w:r>
        <w:rPr>
          <w:rFonts w:hint="eastAsia" w:ascii="仿宋_GB2312" w:hAnsi="仿宋_GB2312" w:eastAsia="仿宋_GB2312"/>
          <w:sz w:val="32"/>
          <w:szCs w:val="32"/>
        </w:rPr>
        <w:t>），</w:t>
      </w:r>
      <w:r>
        <w:rPr>
          <w:rFonts w:hint="eastAsia" w:ascii="仿宋_GB2312" w:hAnsi="仿宋_GB2312" w:eastAsia="仿宋_GB2312" w:cs="仿宋_GB2312"/>
          <w:sz w:val="32"/>
          <w:szCs w:val="32"/>
        </w:rPr>
        <w:t>申请人</w:t>
      </w:r>
      <w:r>
        <w:rPr>
          <w:rFonts w:hint="eastAsia" w:ascii="仿宋_GB2312" w:hAnsi="仿宋_GB2312" w:eastAsia="仿宋_GB2312"/>
          <w:sz w:val="32"/>
          <w:szCs w:val="32"/>
        </w:rPr>
        <w:t>称其在</w:t>
      </w:r>
      <w:r>
        <w:rPr>
          <w:rFonts w:hint="eastAsia" w:ascii="仿宋_GB2312" w:hAnsi="仿宋_GB2312" w:eastAsia="仿宋_GB2312" w:cs="仿宋_GB2312"/>
          <w:sz w:val="32"/>
          <w:szCs w:val="32"/>
        </w:rPr>
        <w:t>天猫平台“</w:t>
      </w:r>
      <w:r>
        <w:rPr>
          <w:rFonts w:hint="eastAsia" w:eastAsia="仿宋_GB2312"/>
          <w:sz w:val="32"/>
        </w:rPr>
        <w:t>××</w:t>
      </w:r>
      <w:r>
        <w:rPr>
          <w:rFonts w:hint="eastAsia" w:ascii="仿宋_GB2312" w:hAnsi="仿宋_GB2312" w:eastAsia="仿宋_GB2312" w:cs="仿宋_GB2312"/>
          <w:sz w:val="32"/>
          <w:szCs w:val="32"/>
        </w:rPr>
        <w:t>国际产业（深圳）有限公司”开设的店铺“</w:t>
      </w:r>
      <w:r>
        <w:rPr>
          <w:rFonts w:hint="eastAsia" w:eastAsia="仿宋_GB2312"/>
          <w:sz w:val="32"/>
        </w:rPr>
        <w:t>××</w:t>
      </w:r>
      <w:r>
        <w:rPr>
          <w:rFonts w:hint="eastAsia" w:ascii="仿宋_GB2312" w:hAnsi="仿宋_GB2312" w:eastAsia="仿宋_GB2312" w:cs="仿宋_GB2312"/>
          <w:sz w:val="32"/>
          <w:szCs w:val="32"/>
        </w:rPr>
        <w:t>旗舰店”购买的标题产品为“一次性塑料杯”的产品为三无产品</w:t>
      </w:r>
      <w:r>
        <w:rPr>
          <w:rFonts w:hint="eastAsia" w:ascii="仿宋_GB2312" w:hAnsi="仿宋_GB2312" w:eastAsia="仿宋_GB2312"/>
          <w:sz w:val="32"/>
          <w:szCs w:val="32"/>
        </w:rPr>
        <w:t>涉嫌违法，请求查处并书面回复。2020年11月3日，被申请人对被举报人进行现场检查，</w:t>
      </w:r>
      <w:r>
        <w:rPr>
          <w:rFonts w:hint="eastAsia" w:ascii="仿宋_GB2312" w:hAnsi="华文仿宋" w:eastAsia="仿宋_GB2312" w:cs="华文仿宋"/>
          <w:color w:val="000000"/>
          <w:sz w:val="32"/>
          <w:szCs w:val="32"/>
        </w:rPr>
        <w:t>发现</w:t>
      </w:r>
      <w:r>
        <w:rPr>
          <w:rFonts w:hint="eastAsia" w:ascii="仿宋_GB2312" w:hAnsi="仿宋_GB2312" w:eastAsia="仿宋_GB2312" w:cs="仿宋_GB2312"/>
          <w:sz w:val="32"/>
          <w:szCs w:val="32"/>
        </w:rPr>
        <w:t>被举报的“一次性塑料杯”均有外包装，且标注了厂名厂址、执行标准及生产许可证号，被申请人制作了现场笔录，拍摄了现场检查照片。被举报人现场向被申请人提供了被举报产品的出厂检验报告和生产厂家资质资料。</w:t>
      </w:r>
      <w:r>
        <w:rPr>
          <w:rFonts w:hint="eastAsia" w:ascii="仿宋_GB2312" w:hAnsi="仿宋_GB2312" w:eastAsia="仿宋_GB2312"/>
          <w:sz w:val="32"/>
          <w:szCs w:val="32"/>
        </w:rPr>
        <w:t>同日，被申请人以被举报人违法事实不成立为由，对该举报不予立案。申请人不服，向本机关申请复议。</w:t>
      </w:r>
    </w:p>
    <w:p>
      <w:pPr>
        <w:widowControl/>
        <w:spacing w:line="240" w:lineRule="atLeast"/>
        <w:ind w:firstLine="640" w:firstLineChars="200"/>
        <w:jc w:val="left"/>
        <w:rPr>
          <w:rFonts w:ascii="仿宋_GB2312" w:hAnsi="华文仿宋" w:eastAsia="仿宋_GB2312" w:cs="华文仿宋"/>
          <w:sz w:val="32"/>
          <w:szCs w:val="32"/>
        </w:rPr>
      </w:pPr>
      <w:r>
        <w:rPr>
          <w:rFonts w:hint="eastAsia" w:ascii="黑体" w:eastAsia="黑体"/>
          <w:sz w:val="32"/>
          <w:szCs w:val="32"/>
        </w:rPr>
        <w:t>本机关认为：</w:t>
      </w:r>
      <w:r>
        <w:rPr>
          <w:rFonts w:hint="eastAsia" w:ascii="仿宋_GB2312" w:hAnsi="宋体" w:eastAsia="仿宋_GB2312"/>
          <w:color w:val="000000"/>
          <w:sz w:val="32"/>
          <w:szCs w:val="32"/>
        </w:rPr>
        <w:t>《市场监督管理行政处罚程序暂行规定》第十七条第一款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w:t>
      </w:r>
      <w:r>
        <w:rPr>
          <w:rFonts w:hint="eastAsia" w:ascii="仿宋_GB2312" w:hAnsi="华文仿宋" w:eastAsia="仿宋_GB2312" w:cs="华文仿宋"/>
          <w:sz w:val="32"/>
          <w:szCs w:val="32"/>
        </w:rPr>
        <w:t>。本案，根据</w:t>
      </w:r>
      <w:r>
        <w:rPr>
          <w:rFonts w:hint="eastAsia" w:ascii="仿宋_GB2312" w:hAnsi="仿宋_GB2312" w:eastAsia="仿宋_GB2312"/>
          <w:sz w:val="32"/>
          <w:szCs w:val="32"/>
        </w:rPr>
        <w:t>被申请人提供的</w:t>
      </w:r>
      <w:r>
        <w:rPr>
          <w:rFonts w:hint="eastAsia" w:ascii="仿宋_GB2312" w:hAnsi="仿宋_GB2312" w:eastAsia="仿宋_GB2312" w:cs="仿宋_GB2312"/>
          <w:sz w:val="32"/>
          <w:szCs w:val="32"/>
        </w:rPr>
        <w:t>现场笔录及现场检查照片，可以证明被申请人现场检查未发现被举报人存在违法行为。申请人虽然提供了邮寄单和照片等证据，但不足以证明被举报人存在违法行为。因此，被申请人经调查后</w:t>
      </w:r>
      <w:r>
        <w:rPr>
          <w:rFonts w:hint="eastAsia" w:ascii="仿宋_GB2312" w:hAnsi="仿宋_GB2312" w:eastAsia="仿宋_GB2312"/>
          <w:sz w:val="32"/>
          <w:szCs w:val="32"/>
        </w:rPr>
        <w:t>决定不予立案并无违法或不当，依法应予维持。</w:t>
      </w:r>
    </w:p>
    <w:p>
      <w:pPr>
        <w:widowControl/>
        <w:spacing w:line="240" w:lineRule="atLeast"/>
        <w:ind w:firstLine="640" w:firstLineChars="200"/>
        <w:jc w:val="left"/>
        <w:rPr>
          <w:rFonts w:ascii="仿宋_GB2312" w:eastAsia="仿宋_GB2312"/>
          <w:sz w:val="32"/>
        </w:rPr>
      </w:pPr>
      <w:r>
        <w:rPr>
          <w:rFonts w:hint="eastAsia" w:ascii="仿宋_GB2312" w:eastAsia="仿宋_GB2312"/>
          <w:sz w:val="32"/>
        </w:rPr>
        <w:t>根据《中华人民共和国行政复议法》第二十八条第一款第（一）项的规定，本机关作出复议决定如下：</w:t>
      </w:r>
    </w:p>
    <w:p>
      <w:pPr>
        <w:spacing w:line="56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w:t>
      </w:r>
      <w:r>
        <w:rPr>
          <w:rFonts w:hint="eastAsia" w:ascii="仿宋_GB2312" w:eastAsia="仿宋_GB2312"/>
          <w:sz w:val="32"/>
          <w:szCs w:val="32"/>
        </w:rPr>
        <w:t>市场监督管理局宝安监管局对申请人</w:t>
      </w:r>
      <w:r>
        <w:rPr>
          <w:rFonts w:hint="eastAsia" w:ascii="黑体" w:eastAsia="黑体"/>
          <w:bCs/>
          <w:color w:val="000000"/>
          <w:sz w:val="32"/>
          <w:szCs w:val="32"/>
        </w:rPr>
        <w:t>：</w:t>
      </w:r>
      <w:r>
        <w:rPr>
          <w:rStyle w:val="6"/>
          <w:rFonts w:hint="eastAsia" w:ascii="仿宋_GB2312" w:hAnsi="inherit" w:eastAsia="仿宋_GB2312"/>
          <w:sz w:val="32"/>
          <w:szCs w:val="32"/>
        </w:rPr>
        <w:t>严</w:t>
      </w:r>
      <w:r>
        <w:rPr>
          <w:rStyle w:val="6"/>
          <w:rFonts w:hint="eastAsia" w:ascii="仿宋_GB2312" w:hAnsi="inherit" w:eastAsia="仿宋_GB2312"/>
          <w:sz w:val="32"/>
          <w:szCs w:val="32"/>
          <w:lang w:eastAsia="zh-CN"/>
        </w:rPr>
        <w:t>某</w:t>
      </w:r>
      <w:bookmarkStart w:id="0" w:name="_GoBack"/>
      <w:bookmarkEnd w:id="0"/>
      <w:r>
        <w:rPr>
          <w:rFonts w:hint="eastAsia" w:ascii="仿宋_GB2312" w:eastAsia="仿宋_GB2312"/>
          <w:sz w:val="32"/>
          <w:szCs w:val="32"/>
        </w:rPr>
        <w:t>的举报（编号：</w:t>
      </w:r>
      <w:r>
        <w:rPr>
          <w:rFonts w:hint="eastAsia" w:ascii="仿宋_GB2312" w:hAnsi="仿宋_GB2312" w:eastAsia="仿宋_GB2312" w:cs="仿宋_GB2312"/>
          <w:sz w:val="32"/>
          <w:szCs w:val="32"/>
        </w:rPr>
        <w:t>1440306002020101436799629</w:t>
      </w:r>
      <w:r>
        <w:rPr>
          <w:rFonts w:hint="eastAsia" w:ascii="仿宋_GB2312" w:eastAsia="仿宋_GB2312"/>
          <w:sz w:val="32"/>
          <w:szCs w:val="32"/>
        </w:rPr>
        <w:t>）作出的不予立案决定</w:t>
      </w:r>
      <w:r>
        <w:rPr>
          <w:rFonts w:hint="eastAsia" w:ascii="仿宋_GB2312" w:hAnsi="仿宋_GB2312" w:eastAsia="仿宋_GB2312"/>
          <w:sz w:val="32"/>
        </w:rPr>
        <w:t>。</w:t>
      </w:r>
    </w:p>
    <w:p>
      <w:pPr>
        <w:spacing w:line="240" w:lineRule="atLeast"/>
        <w:ind w:firstLine="640" w:firstLineChars="200"/>
        <w:rPr>
          <w:rFonts w:ascii="仿宋_GB2312" w:hAnsi="仿宋" w:eastAsia="仿宋_GB2312"/>
          <w:sz w:val="32"/>
          <w:szCs w:val="32"/>
        </w:rPr>
      </w:pPr>
      <w:r>
        <w:rPr>
          <w:rFonts w:ascii="仿宋_GB2312" w:hAnsi="仿宋_GB2312" w:eastAsia="仿宋_GB2312"/>
          <w:sz w:val="32"/>
          <w:szCs w:val="32"/>
        </w:rPr>
        <w:t>本复议决定书一经送达，即发生法律效力。申请人如对本复议决定不服，可自收到复议决定书之日起十五日内向</w:t>
      </w:r>
      <w:r>
        <w:rPr>
          <w:rFonts w:hint="eastAsia" w:ascii="仿宋_GB2312" w:hAnsi="仿宋_GB2312" w:eastAsia="仿宋_GB2312"/>
          <w:sz w:val="32"/>
          <w:szCs w:val="32"/>
        </w:rPr>
        <w:t>深圳市盐田区</w:t>
      </w:r>
      <w:r>
        <w:rPr>
          <w:rFonts w:ascii="仿宋_GB2312" w:hAnsi="仿宋_GB2312" w:eastAsia="仿宋_GB2312"/>
          <w:sz w:val="32"/>
          <w:szCs w:val="32"/>
        </w:rPr>
        <w:t>人民法院提起诉讼。</w:t>
      </w:r>
    </w:p>
    <w:p>
      <w:pPr>
        <w:spacing w:line="240" w:lineRule="atLeast"/>
        <w:ind w:firstLine="6240" w:firstLineChars="1950"/>
        <w:rPr>
          <w:rFonts w:ascii="仿宋_GB2312" w:hAnsi="仿宋" w:eastAsia="仿宋_GB2312"/>
          <w:sz w:val="32"/>
          <w:szCs w:val="32"/>
        </w:rPr>
      </w:pPr>
    </w:p>
    <w:p>
      <w:pPr>
        <w:spacing w:line="640" w:lineRule="exact"/>
        <w:ind w:firstLine="6240" w:firstLineChars="1950"/>
        <w:rPr>
          <w:rFonts w:ascii="仿宋_GB2312" w:hAnsi="仿宋" w:eastAsia="仿宋_GB2312"/>
          <w:sz w:val="32"/>
          <w:szCs w:val="32"/>
        </w:rPr>
      </w:pPr>
    </w:p>
    <w:p>
      <w:pPr>
        <w:spacing w:line="640" w:lineRule="exact"/>
        <w:ind w:firstLine="6240" w:firstLineChars="1950"/>
        <w:rPr>
          <w:rFonts w:ascii="仿宋_GB2312" w:hAnsi="仿宋" w:eastAsia="仿宋_GB2312"/>
          <w:sz w:val="32"/>
          <w:szCs w:val="32"/>
        </w:rPr>
      </w:pPr>
    </w:p>
    <w:p>
      <w:pPr>
        <w:spacing w:line="640" w:lineRule="exact"/>
        <w:ind w:firstLine="5920" w:firstLineChars="1850"/>
        <w:rPr>
          <w:rFonts w:ascii="仿宋_GB2312" w:hAnsi="仿宋" w:eastAsia="仿宋_GB2312"/>
          <w:sz w:val="32"/>
          <w:szCs w:val="32"/>
        </w:rPr>
      </w:pPr>
      <w:r>
        <w:rPr>
          <w:rFonts w:hint="eastAsia" w:ascii="仿宋_GB2312" w:hAnsi="仿宋" w:eastAsia="仿宋_GB2312"/>
          <w:sz w:val="32"/>
          <w:szCs w:val="32"/>
        </w:rPr>
        <w:t>深圳市人民政府</w:t>
      </w:r>
    </w:p>
    <w:p>
      <w:pPr>
        <w:spacing w:line="640" w:lineRule="exact"/>
      </w:pPr>
      <w:r>
        <w:rPr>
          <w:rFonts w:hint="eastAsia" w:ascii="仿宋_GB2312" w:hAnsi="仿宋" w:eastAsia="仿宋_GB2312"/>
          <w:sz w:val="32"/>
          <w:szCs w:val="32"/>
        </w:rPr>
        <w:t xml:space="preserve">                                     2021年2月16日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441823"/>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2FF3"/>
    <w:rsid w:val="00153DFA"/>
    <w:rsid w:val="002D337F"/>
    <w:rsid w:val="00410FB6"/>
    <w:rsid w:val="00546A71"/>
    <w:rsid w:val="00697F45"/>
    <w:rsid w:val="006E4DB3"/>
    <w:rsid w:val="007268C0"/>
    <w:rsid w:val="009043EA"/>
    <w:rsid w:val="00992FF3"/>
    <w:rsid w:val="00A12517"/>
    <w:rsid w:val="00A2612E"/>
    <w:rsid w:val="00A53E16"/>
    <w:rsid w:val="00C178DE"/>
    <w:rsid w:val="00C6561D"/>
    <w:rsid w:val="7032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uiPriority w:val="0"/>
  </w:style>
  <w:style w:type="character" w:customStyle="1" w:styleId="7">
    <w:name w:val="页眉 Char"/>
    <w:basedOn w:val="5"/>
    <w:link w:val="3"/>
    <w:uiPriority w:val="99"/>
    <w:rPr>
      <w:rFonts w:ascii="Times New Roman" w:hAnsi="Times New Roman" w:eastAsia="宋体" w:cs="Times New Roman"/>
      <w:kern w:val="0"/>
      <w:sz w:val="18"/>
      <w:szCs w:val="18"/>
    </w:rPr>
  </w:style>
  <w:style w:type="character" w:customStyle="1" w:styleId="8">
    <w:name w:val="页脚 Char"/>
    <w:basedOn w:val="5"/>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168</Words>
  <Characters>964</Characters>
  <Lines>8</Lines>
  <Paragraphs>2</Paragraphs>
  <TotalTime>1</TotalTime>
  <ScaleCrop>false</ScaleCrop>
  <LinksUpToDate>false</LinksUpToDate>
  <CharactersWithSpaces>1130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2021-01-13T07:52:00Z</dcterms:created>
  <dc:creator>黄浩</dc:creator>
  <cp:lastModifiedBy>言＆忘~</cp:lastModifiedBy>
  <cp:lastPrinted>2021-01-13T08:25:00Z</cp:lastPrinted>
  <dcterms:modified xsi:type="dcterms:W3CDTF">2021-05-25T02:07:24Z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6D8B5CB5913A4DC9B590C0DBBABC21EC</vt:lpwstr>
  </property>
</Properties>
</file>