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spacing w:line="600" w:lineRule="exact"/>
        <w:ind w:right="25" w:firstLine="2640" w:firstLineChars="600"/>
        <w:jc w:val="both"/>
        <w:textAlignment w:val="auto"/>
        <w:rPr>
          <w:rFonts w:hint="eastAsia" w:ascii="方正小标宋简体" w:hAnsi="宋体" w:eastAsia="方正小标宋简体"/>
          <w:sz w:val="44"/>
        </w:rPr>
      </w:pPr>
      <w:r>
        <w:rPr>
          <w:rFonts w:hint="eastAsia" w:ascii="方正小标宋简体" w:hAnsi="宋体" w:eastAsia="方正小标宋简体"/>
          <w:sz w:val="44"/>
        </w:rPr>
        <w:t>深</w:t>
      </w:r>
      <w:r>
        <w:rPr>
          <w:rFonts w:hint="eastAsia" w:ascii="方正小标宋简体" w:hAnsi="宋体" w:eastAsia="方正小标宋简体"/>
          <w:sz w:val="44"/>
          <w:lang w:eastAsia="zh-CN"/>
        </w:rPr>
        <w:t xml:space="preserve"> </w:t>
      </w:r>
      <w:r>
        <w:rPr>
          <w:rFonts w:hint="eastAsia" w:ascii="方正小标宋简体" w:hAnsi="宋体" w:eastAsia="方正小标宋简体"/>
          <w:sz w:val="44"/>
        </w:rPr>
        <w:t>圳</w:t>
      </w:r>
      <w:r>
        <w:rPr>
          <w:rFonts w:hint="eastAsia" w:ascii="方正小标宋简体" w:hAnsi="宋体" w:eastAsia="方正小标宋简体"/>
          <w:sz w:val="44"/>
          <w:lang w:eastAsia="zh-CN"/>
        </w:rPr>
        <w:t xml:space="preserve"> </w:t>
      </w:r>
      <w:r>
        <w:rPr>
          <w:rFonts w:hint="eastAsia" w:ascii="方正小标宋简体" w:hAnsi="宋体" w:eastAsia="方正小标宋简体"/>
          <w:sz w:val="44"/>
        </w:rPr>
        <w:t>市</w:t>
      </w:r>
      <w:r>
        <w:rPr>
          <w:rFonts w:hint="eastAsia" w:ascii="方正小标宋简体" w:hAnsi="宋体" w:eastAsia="方正小标宋简体"/>
          <w:sz w:val="44"/>
          <w:lang w:eastAsia="zh-CN"/>
        </w:rPr>
        <w:t xml:space="preserve"> </w:t>
      </w:r>
      <w:r>
        <w:rPr>
          <w:rFonts w:hint="eastAsia" w:ascii="方正小标宋简体" w:hAnsi="宋体" w:eastAsia="方正小标宋简体"/>
          <w:sz w:val="44"/>
        </w:rPr>
        <w:t>人</w:t>
      </w:r>
      <w:r>
        <w:rPr>
          <w:rFonts w:hint="eastAsia" w:ascii="方正小标宋简体" w:hAnsi="宋体" w:eastAsia="方正小标宋简体"/>
          <w:sz w:val="44"/>
          <w:lang w:eastAsia="zh-CN"/>
        </w:rPr>
        <w:t xml:space="preserve"> </w:t>
      </w:r>
      <w:r>
        <w:rPr>
          <w:rFonts w:hint="eastAsia" w:ascii="方正小标宋简体" w:hAnsi="宋体" w:eastAsia="方正小标宋简体"/>
          <w:sz w:val="44"/>
        </w:rPr>
        <w:t>民</w:t>
      </w:r>
      <w:r>
        <w:rPr>
          <w:rFonts w:hint="eastAsia" w:ascii="方正小标宋简体" w:hAnsi="宋体" w:eastAsia="方正小标宋简体"/>
          <w:sz w:val="44"/>
          <w:lang w:eastAsia="zh-CN"/>
        </w:rPr>
        <w:t xml:space="preserve"> </w:t>
      </w:r>
      <w:r>
        <w:rPr>
          <w:rFonts w:hint="eastAsia" w:ascii="方正小标宋简体" w:hAnsi="宋体" w:eastAsia="方正小标宋简体"/>
          <w:sz w:val="44"/>
        </w:rPr>
        <w:t>政</w:t>
      </w:r>
      <w:r>
        <w:rPr>
          <w:rFonts w:hint="eastAsia" w:ascii="方正小标宋简体" w:hAnsi="宋体" w:eastAsia="方正小标宋简体"/>
          <w:sz w:val="44"/>
          <w:lang w:eastAsia="zh-CN"/>
        </w:rPr>
        <w:t xml:space="preserve"> </w:t>
      </w:r>
      <w:r>
        <w:rPr>
          <w:rFonts w:hint="eastAsia" w:ascii="方正小标宋简体" w:hAnsi="宋体" w:eastAsia="方正小标宋简体"/>
          <w:sz w:val="44"/>
        </w:rPr>
        <w:t>府</w:t>
      </w:r>
    </w:p>
    <w:p>
      <w:pPr>
        <w:keepNext w:val="0"/>
        <w:keepLines w:val="0"/>
        <w:pageBreakBefore w:val="0"/>
        <w:widowControl w:val="0"/>
        <w:kinsoku/>
        <w:overflowPunct/>
        <w:topLinePunct w:val="0"/>
        <w:autoSpaceDE/>
        <w:autoSpaceDN/>
        <w:bidi w:val="0"/>
        <w:spacing w:line="600" w:lineRule="exact"/>
        <w:ind w:firstLine="3522" w:firstLineChars="800"/>
        <w:jc w:val="both"/>
        <w:textAlignment w:val="auto"/>
        <w:rPr>
          <w:rFonts w:hint="eastAsia" w:ascii="方正小标宋简体" w:hAnsi="宋体" w:eastAsia="方正小标宋简体"/>
          <w:b/>
          <w:bCs/>
          <w:sz w:val="44"/>
          <w:lang w:eastAsia="zh-CN"/>
        </w:rPr>
      </w:pPr>
      <w:r>
        <w:rPr>
          <w:rFonts w:hint="eastAsia" w:ascii="方正小标宋简体" w:hAnsi="宋体" w:eastAsia="方正小标宋简体"/>
          <w:b/>
          <w:bCs/>
          <w:sz w:val="44"/>
        </w:rPr>
        <w:t>行政复议</w:t>
      </w:r>
      <w:r>
        <w:rPr>
          <w:rFonts w:hint="eastAsia" w:ascii="方正小标宋简体" w:hAnsi="宋体" w:eastAsia="方正小标宋简体"/>
          <w:b/>
          <w:bCs/>
          <w:sz w:val="44"/>
          <w:lang w:eastAsia="zh-CN"/>
        </w:rPr>
        <w:t>决定书</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eastAsia="仿宋_GB2312"/>
          <w:sz w:val="32"/>
          <w:szCs w:val="32"/>
          <w:lang w:eastAsia="zh-CN"/>
        </w:rPr>
      </w:pPr>
    </w:p>
    <w:p>
      <w:pPr>
        <w:keepNext w:val="0"/>
        <w:keepLines w:val="0"/>
        <w:pageBreakBefore w:val="0"/>
        <w:widowControl w:val="0"/>
        <w:kinsoku/>
        <w:overflowPunct/>
        <w:topLinePunct w:val="0"/>
        <w:autoSpaceDE/>
        <w:autoSpaceDN/>
        <w:bidi w:val="0"/>
        <w:spacing w:line="600" w:lineRule="exact"/>
        <w:ind w:firstLine="640" w:firstLineChars="200"/>
        <w:jc w:val="right"/>
        <w:textAlignment w:val="auto"/>
        <w:rPr>
          <w:rFonts w:hint="eastAsia" w:ascii="仿宋_GB2312" w:hAnsi="仿宋" w:eastAsia="仿宋_GB2312"/>
          <w:sz w:val="32"/>
          <w:szCs w:val="32"/>
        </w:rPr>
      </w:pPr>
      <w:r>
        <w:rPr>
          <w:rFonts w:hint="eastAsia" w:ascii="仿宋_GB2312" w:hAnsi="仿宋" w:eastAsia="仿宋_GB2312"/>
          <w:sz w:val="32"/>
          <w:szCs w:val="32"/>
        </w:rPr>
        <w:t>深府</w:t>
      </w:r>
      <w:r>
        <w:rPr>
          <w:rFonts w:hint="eastAsia" w:ascii="仿宋_GB2312" w:hAnsi="仿宋" w:eastAsia="仿宋_GB2312"/>
          <w:sz w:val="32"/>
          <w:szCs w:val="32"/>
          <w:lang w:eastAsia="zh-CN"/>
        </w:rPr>
        <w:t>行复</w:t>
      </w:r>
      <w:r>
        <w:rPr>
          <w:rFonts w:hint="eastAsia" w:ascii="仿宋_GB2312" w:hAnsi="仿宋" w:eastAsia="仿宋_GB2312"/>
          <w:sz w:val="32"/>
          <w:szCs w:val="32"/>
        </w:rPr>
        <w:t>〔201</w:t>
      </w:r>
      <w:r>
        <w:rPr>
          <w:rFonts w:hint="eastAsia" w:ascii="仿宋_GB2312" w:hAnsi="仿宋" w:eastAsia="仿宋_GB2312"/>
          <w:sz w:val="32"/>
          <w:szCs w:val="32"/>
          <w:lang w:val="en-US" w:eastAsia="zh-CN"/>
        </w:rPr>
        <w:t>8</w:t>
      </w:r>
      <w:r>
        <w:rPr>
          <w:rFonts w:hint="eastAsia" w:ascii="仿宋_GB2312" w:hAnsi="仿宋" w:eastAsia="仿宋_GB2312"/>
          <w:sz w:val="32"/>
          <w:szCs w:val="32"/>
        </w:rPr>
        <w:t>〕</w:t>
      </w:r>
      <w:r>
        <w:rPr>
          <w:rFonts w:hint="eastAsia" w:ascii="仿宋_GB2312" w:hAnsi="仿宋" w:eastAsia="仿宋_GB2312"/>
          <w:sz w:val="32"/>
          <w:szCs w:val="32"/>
          <w:lang w:val="en-US" w:eastAsia="zh-CN"/>
        </w:rPr>
        <w:t>146</w:t>
      </w:r>
      <w:r>
        <w:rPr>
          <w:rFonts w:hint="eastAsia" w:ascii="仿宋_GB2312" w:hAnsi="仿宋" w:eastAsia="仿宋_GB2312"/>
          <w:sz w:val="32"/>
          <w:szCs w:val="32"/>
        </w:rPr>
        <w:t>号</w:t>
      </w:r>
    </w:p>
    <w:p>
      <w:pPr>
        <w:keepNext w:val="0"/>
        <w:keepLines w:val="0"/>
        <w:pageBreakBefore w:val="0"/>
        <w:widowControl w:val="0"/>
        <w:kinsoku/>
        <w:overflowPunct/>
        <w:topLinePunct w:val="0"/>
        <w:autoSpaceDE/>
        <w:autoSpaceDN/>
        <w:bidi w:val="0"/>
        <w:spacing w:line="600" w:lineRule="exact"/>
        <w:ind w:firstLine="640" w:firstLineChars="200"/>
        <w:textAlignment w:val="auto"/>
        <w:rPr>
          <w:rFonts w:hint="eastAsia" w:ascii="仿宋_GB2312" w:eastAsia="仿宋_GB2312"/>
          <w:sz w:val="32"/>
          <w:szCs w:val="32"/>
          <w:lang w:eastAsia="zh-CN"/>
        </w:rPr>
      </w:pPr>
    </w:p>
    <w:p>
      <w:pPr>
        <w:keepNext w:val="0"/>
        <w:keepLines w:val="0"/>
        <w:pageBreakBefore w:val="0"/>
        <w:widowControl w:val="0"/>
        <w:kinsoku/>
        <w:overflowPunct/>
        <w:topLinePunct w:val="0"/>
        <w:autoSpaceDE/>
        <w:autoSpaceDN/>
        <w:bidi w:val="0"/>
        <w:adjustRightInd w:val="0"/>
        <w:snapToGrid w:val="0"/>
        <w:spacing w:line="600" w:lineRule="exact"/>
        <w:ind w:left="638" w:leftChars="304" w:firstLine="0" w:firstLineChars="0"/>
        <w:textAlignment w:val="auto"/>
        <w:rPr>
          <w:rFonts w:hint="eastAsia" w:ascii="仿宋_GB2312" w:hAnsi="仿宋" w:eastAsia="仿宋_GB2312"/>
          <w:sz w:val="32"/>
          <w:szCs w:val="32"/>
          <w:lang w:val="en-US" w:eastAsia="zh-CN"/>
        </w:rPr>
      </w:pPr>
      <w:r>
        <w:rPr>
          <w:rFonts w:hint="eastAsia" w:ascii="黑体" w:hAnsi="黑体" w:eastAsia="黑体"/>
          <w:bCs/>
          <w:sz w:val="32"/>
        </w:rPr>
        <w:t>申请人：</w:t>
      </w:r>
      <w:r>
        <w:rPr>
          <w:rFonts w:hint="eastAsia" w:ascii="仿宋_GB2312" w:hAnsi="仿宋" w:eastAsia="仿宋_GB2312"/>
          <w:sz w:val="32"/>
          <w:szCs w:val="32"/>
          <w:lang w:eastAsia="zh-CN"/>
        </w:rPr>
        <w:t>刘</w:t>
      </w:r>
      <w:r>
        <w:rPr>
          <w:rFonts w:hint="eastAsia" w:ascii="仿宋_GB2312" w:hAnsi="仿宋_GB2312" w:eastAsia="仿宋_GB2312" w:cs="Times New Roman"/>
          <w:kern w:val="0"/>
          <w:sz w:val="32"/>
          <w:szCs w:val="21"/>
        </w:rPr>
        <w:t>××</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sz w:val="32"/>
          <w:szCs w:val="32"/>
          <w:lang w:eastAsia="zh-CN"/>
        </w:rPr>
      </w:pPr>
      <w:r>
        <w:rPr>
          <w:rFonts w:hint="eastAsia" w:ascii="黑体" w:hAnsi="黑体" w:eastAsia="黑体"/>
          <w:bCs/>
          <w:sz w:val="32"/>
        </w:rPr>
        <w:t>被申请人：</w:t>
      </w:r>
      <w:r>
        <w:rPr>
          <w:rFonts w:hint="eastAsia" w:ascii="仿宋_GB2312" w:hAnsi="仿宋" w:eastAsia="仿宋_GB2312"/>
          <w:sz w:val="32"/>
          <w:szCs w:val="32"/>
        </w:rPr>
        <w:t>深圳市</w:t>
      </w:r>
      <w:r>
        <w:rPr>
          <w:rFonts w:hint="eastAsia" w:ascii="仿宋_GB2312" w:hAnsi="仿宋" w:eastAsia="仿宋_GB2312"/>
          <w:sz w:val="32"/>
          <w:szCs w:val="32"/>
          <w:lang w:eastAsia="zh-CN"/>
        </w:rPr>
        <w:t>人力资源和社会保障局</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委托代理人：曾海棠</w:t>
      </w:r>
      <w:r>
        <w:rPr>
          <w:rFonts w:hint="eastAsia" w:ascii="仿宋_GB2312" w:hAnsi="宋体" w:eastAsia="仿宋_GB2312"/>
          <w:sz w:val="32"/>
          <w:szCs w:val="32"/>
          <w:lang w:val="en-US" w:eastAsia="zh-CN"/>
        </w:rPr>
        <w:t>,叶振宏，广东中全律师事务所律师</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sz w:val="32"/>
          <w:szCs w:val="32"/>
        </w:rPr>
      </w:pP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sz w:val="32"/>
          <w:szCs w:val="32"/>
          <w:lang w:val="en-US" w:eastAsia="zh-CN"/>
        </w:rPr>
      </w:pPr>
      <w:r>
        <w:rPr>
          <w:rFonts w:ascii="仿宋_GB2312" w:hAnsi="仿宋" w:eastAsia="仿宋_GB2312"/>
          <w:sz w:val="32"/>
          <w:szCs w:val="32"/>
        </w:rPr>
        <w:t>申请人</w:t>
      </w:r>
      <w:r>
        <w:rPr>
          <w:rFonts w:hint="eastAsia" w:ascii="仿宋_GB2312" w:hAnsi="仿宋" w:eastAsia="仿宋_GB2312"/>
          <w:sz w:val="32"/>
          <w:szCs w:val="32"/>
          <w:lang w:eastAsia="zh-CN"/>
        </w:rPr>
        <w:t>不服被申请人于</w:t>
      </w:r>
      <w:r>
        <w:rPr>
          <w:rFonts w:hint="eastAsia" w:ascii="仿宋_GB2312" w:hAnsi="仿宋" w:eastAsia="仿宋_GB2312"/>
          <w:sz w:val="32"/>
          <w:szCs w:val="32"/>
          <w:lang w:val="en-US" w:eastAsia="zh-CN"/>
        </w:rPr>
        <w:t>2018年1月30日作出的深人社认字（宝）</w:t>
      </w:r>
      <w:r>
        <w:rPr>
          <w:rFonts w:hint="eastAsia" w:ascii="仿宋_GB2312" w:hAnsi="仿宋" w:eastAsia="仿宋_GB2312"/>
          <w:sz w:val="32"/>
          <w:szCs w:val="32"/>
          <w:lang w:eastAsia="zh-CN"/>
        </w:rPr>
        <w:t>[2018]</w:t>
      </w:r>
      <w:r>
        <w:rPr>
          <w:rFonts w:hint="eastAsia" w:ascii="仿宋_GB2312" w:hAnsi="仿宋" w:eastAsia="仿宋_GB2312"/>
          <w:sz w:val="32"/>
          <w:szCs w:val="32"/>
          <w:lang w:val="en-US" w:eastAsia="zh-CN"/>
        </w:rPr>
        <w:t>第</w:t>
      </w:r>
      <w:r>
        <w:rPr>
          <w:rFonts w:hint="eastAsia" w:ascii="仿宋_GB2312" w:hAnsi="仿宋_GB2312" w:eastAsia="仿宋_GB2312" w:cs="Times New Roman"/>
          <w:kern w:val="0"/>
          <w:sz w:val="32"/>
          <w:szCs w:val="21"/>
        </w:rPr>
        <w:t>××</w:t>
      </w:r>
      <w:r>
        <w:rPr>
          <w:rFonts w:hint="eastAsia" w:ascii="仿宋_GB2312" w:hAnsi="仿宋" w:eastAsia="仿宋_GB2312"/>
          <w:sz w:val="32"/>
          <w:szCs w:val="32"/>
          <w:lang w:val="en-US" w:eastAsia="zh-CN"/>
        </w:rPr>
        <w:t>号《深圳市工伤认定书》，向本机关申请行政复议，本机关依法受理。被申请人向本机关提交了书面答复及有关证据和依据，本案现已审理终结。</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sz w:val="32"/>
          <w:szCs w:val="32"/>
          <w:lang w:eastAsia="zh-CN"/>
        </w:rPr>
      </w:pPr>
      <w:r>
        <w:rPr>
          <w:rFonts w:hint="eastAsia" w:ascii="黑体" w:hAnsi="黑体" w:eastAsia="黑体"/>
          <w:bCs/>
          <w:sz w:val="32"/>
          <w:lang w:val="en-US" w:eastAsia="zh-CN"/>
        </w:rPr>
        <w:t>申请人称</w:t>
      </w:r>
      <w:r>
        <w:rPr>
          <w:rFonts w:hint="eastAsia" w:ascii="仿宋_GB2312" w:hAnsi="仿宋" w:eastAsia="仿宋_GB2312"/>
          <w:sz w:val="32"/>
          <w:szCs w:val="32"/>
          <w:lang w:val="en-US" w:eastAsia="zh-CN"/>
        </w:rPr>
        <w:t>：</w:t>
      </w:r>
      <w:r>
        <w:rPr>
          <w:rFonts w:hint="eastAsia" w:ascii="仿宋_GB2312" w:hAnsi="仿宋" w:eastAsia="仿宋_GB2312"/>
          <w:sz w:val="32"/>
          <w:szCs w:val="32"/>
          <w:lang w:eastAsia="zh-CN"/>
        </w:rPr>
        <w:t>申请人丈夫（陈</w:t>
      </w:r>
      <w:r>
        <w:rPr>
          <w:rFonts w:hint="eastAsia" w:ascii="仿宋_GB2312" w:hAnsi="仿宋_GB2312" w:eastAsia="仿宋_GB2312" w:cs="Times New Roman"/>
          <w:kern w:val="0"/>
          <w:sz w:val="32"/>
          <w:szCs w:val="21"/>
        </w:rPr>
        <w:t>××</w:t>
      </w:r>
      <w:r>
        <w:rPr>
          <w:rFonts w:hint="eastAsia" w:ascii="仿宋_GB2312" w:hAnsi="仿宋" w:eastAsia="仿宋_GB2312"/>
          <w:sz w:val="32"/>
          <w:szCs w:val="32"/>
          <w:lang w:eastAsia="zh-CN"/>
        </w:rPr>
        <w:t>）于</w:t>
      </w:r>
      <w:r>
        <w:rPr>
          <w:rFonts w:hint="eastAsia" w:ascii="仿宋_GB2312" w:hAnsi="仿宋" w:eastAsia="仿宋_GB2312"/>
          <w:sz w:val="32"/>
          <w:szCs w:val="32"/>
          <w:lang w:val="en-US" w:eastAsia="zh-CN"/>
        </w:rPr>
        <w:t>2017年10月12日在南山区南海大道北往南直升机场路段因交通事故死亡，交通事故发生于申请人丈夫加班期间，申请人请求认定其属于工伤。请求：</w:t>
      </w:r>
      <w:r>
        <w:rPr>
          <w:rFonts w:hint="eastAsia" w:ascii="仿宋_GB2312" w:hAnsi="仿宋" w:eastAsia="仿宋_GB2312"/>
          <w:sz w:val="32"/>
          <w:szCs w:val="32"/>
          <w:lang w:eastAsia="zh-CN"/>
        </w:rPr>
        <w:t>撤销</w:t>
      </w:r>
      <w:r>
        <w:rPr>
          <w:rFonts w:hint="eastAsia" w:ascii="仿宋_GB2312" w:hAnsi="仿宋" w:eastAsia="仿宋_GB2312"/>
          <w:sz w:val="32"/>
          <w:szCs w:val="32"/>
          <w:lang w:val="en-US" w:eastAsia="zh-CN"/>
        </w:rPr>
        <w:t>深人社认字（宝）</w:t>
      </w:r>
      <w:r>
        <w:rPr>
          <w:rFonts w:hint="eastAsia" w:ascii="仿宋_GB2312" w:hAnsi="仿宋" w:eastAsia="仿宋_GB2312"/>
          <w:sz w:val="32"/>
          <w:szCs w:val="32"/>
          <w:lang w:eastAsia="zh-CN"/>
        </w:rPr>
        <w:t>[2018]</w:t>
      </w:r>
      <w:r>
        <w:rPr>
          <w:rFonts w:hint="eastAsia" w:ascii="仿宋_GB2312" w:hAnsi="仿宋" w:eastAsia="仿宋_GB2312"/>
          <w:sz w:val="32"/>
          <w:szCs w:val="32"/>
          <w:lang w:val="en-US" w:eastAsia="zh-CN"/>
        </w:rPr>
        <w:t>第</w:t>
      </w:r>
      <w:r>
        <w:rPr>
          <w:rFonts w:hint="eastAsia" w:ascii="仿宋_GB2312" w:hAnsi="仿宋_GB2312" w:eastAsia="仿宋_GB2312" w:cs="Times New Roman"/>
          <w:kern w:val="0"/>
          <w:sz w:val="32"/>
          <w:szCs w:val="21"/>
        </w:rPr>
        <w:t>××</w:t>
      </w:r>
      <w:r>
        <w:rPr>
          <w:rFonts w:hint="eastAsia" w:ascii="仿宋_GB2312" w:hAnsi="仿宋" w:eastAsia="仿宋_GB2312"/>
          <w:sz w:val="32"/>
          <w:szCs w:val="32"/>
          <w:lang w:val="en-US" w:eastAsia="zh-CN"/>
        </w:rPr>
        <w:t>号《深圳市工伤认定书》。</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sz w:val="32"/>
          <w:szCs w:val="32"/>
          <w:lang w:eastAsia="zh-CN"/>
        </w:rPr>
      </w:pPr>
      <w:r>
        <w:rPr>
          <w:rFonts w:hint="eastAsia" w:ascii="黑体" w:hAnsi="黑体" w:eastAsia="黑体" w:cs="黑体"/>
          <w:sz w:val="32"/>
          <w:szCs w:val="32"/>
        </w:rPr>
        <w:t>被申请人答复称：</w:t>
      </w:r>
      <w:r>
        <w:rPr>
          <w:rFonts w:hint="eastAsia" w:ascii="仿宋_GB2312" w:hAnsi="仿宋" w:eastAsia="仿宋_GB2312"/>
          <w:sz w:val="32"/>
          <w:szCs w:val="32"/>
          <w:lang w:eastAsia="zh-CN"/>
        </w:rPr>
        <w:t>被申请人于2018年1月30日作出深人社认字（宝）[2018]第××号《深圳市工伤认定书》</w:t>
      </w:r>
      <w:r>
        <w:rPr>
          <w:rFonts w:hint="eastAsia" w:ascii="仿宋_GB2312" w:hAnsi="仿宋" w:eastAsia="仿宋_GB2312"/>
          <w:sz w:val="32"/>
          <w:szCs w:val="32"/>
        </w:rPr>
        <w:t>，</w:t>
      </w:r>
      <w:r>
        <w:rPr>
          <w:rFonts w:hint="eastAsia" w:ascii="仿宋_GB2312" w:hAnsi="仿宋" w:eastAsia="仿宋_GB2312"/>
          <w:sz w:val="32"/>
          <w:szCs w:val="32"/>
          <w:lang w:eastAsia="zh-CN"/>
        </w:rPr>
        <w:t>认定陈××系××街道办事处（以下简称××街道办）的员工，该员工在下班途中因本人全部责任遭受交通事故伤害之情形不属于或不视同工伤</w:t>
      </w:r>
      <w:r>
        <w:rPr>
          <w:rFonts w:hint="eastAsia" w:ascii="仿宋_GB2312" w:hAnsi="仿宋" w:eastAsia="仿宋_GB2312"/>
          <w:sz w:val="32"/>
          <w:szCs w:val="32"/>
        </w:rPr>
        <w:t>。</w:t>
      </w:r>
      <w:r>
        <w:rPr>
          <w:rFonts w:hint="eastAsia" w:ascii="仿宋_GB2312" w:hAnsi="仿宋" w:eastAsia="仿宋_GB2312"/>
          <w:sz w:val="32"/>
          <w:szCs w:val="32"/>
          <w:lang w:eastAsia="zh-CN"/>
        </w:rPr>
        <w:t>被申请人作出上述认定的依据如下：</w:t>
      </w:r>
    </w:p>
    <w:p>
      <w:pPr>
        <w:keepNext w:val="0"/>
        <w:keepLines w:val="0"/>
        <w:pageBreakBefore w:val="0"/>
        <w:widowControl w:val="0"/>
        <w:numPr>
          <w:ilvl w:val="0"/>
          <w:numId w:val="1"/>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事实依据：1、陈××与××街道办之间存在聘用关系。依照职工、单位向被申请人提交的相关材料，被申请人确认双方对其之间存在的聘用关系没有异议。因此，被申请人依法认定××街道办承担陈××的工伤保险责任。2、陈××系在下班途中因本人全部责任而遭受交通事故伤害。交警大队出具的交通事故认定书证实了陈××系有关行为被判定为导致事故的全部责任。依照职工亲属及所在单位提供的有关材料可以证实，陈××的工作地点为“××街道办事处”，而工伤认定申请表、考勤表、证人证言、调查笔录等材料，都证实陈××系日常居住在南山某小区，事发当晚系从日常工作场所前往南山居住地途中意外遭受交通事故，依法属于下班途中的情形。故被申请人综合考量本案证据材料，认定陈××在下班途中，因遭受本人全部责任的交通事故而伤害。</w:t>
      </w:r>
    </w:p>
    <w:p>
      <w:pPr>
        <w:keepNext w:val="0"/>
        <w:keepLines w:val="0"/>
        <w:pageBreakBefore w:val="0"/>
        <w:widowControl w:val="0"/>
        <w:numPr>
          <w:ilvl w:val="0"/>
          <w:numId w:val="1"/>
        </w:numPr>
        <w:kinsoku/>
        <w:overflowPunct/>
        <w:topLinePunct w:val="0"/>
        <w:autoSpaceDE/>
        <w:autoSpaceDN/>
        <w:bidi w:val="0"/>
        <w:adjustRightInd w:val="0"/>
        <w:snapToGrid w:val="0"/>
        <w:spacing w:line="600" w:lineRule="exact"/>
        <w:ind w:left="0" w:leftChars="0"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条例依据。根据以上事实，被申请人认为陈××死亡之情形不符合《广东省工伤保险条例》第九条、第十条的规定，认定其不属工伤。</w:t>
      </w:r>
    </w:p>
    <w:p>
      <w:pPr>
        <w:keepNext w:val="0"/>
        <w:keepLines w:val="0"/>
        <w:pageBreakBefore w:val="0"/>
        <w:widowControl w:val="0"/>
        <w:numPr>
          <w:ilvl w:val="0"/>
          <w:numId w:val="0"/>
        </w:numPr>
        <w:kinsoku/>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sz w:val="32"/>
          <w:szCs w:val="32"/>
          <w:lang w:eastAsia="zh-CN"/>
        </w:rPr>
      </w:pPr>
      <w:r>
        <w:rPr>
          <w:rFonts w:hint="eastAsia" w:ascii="仿宋_GB2312" w:hAnsi="仿宋" w:eastAsia="仿宋_GB2312"/>
          <w:sz w:val="32"/>
          <w:szCs w:val="32"/>
          <w:lang w:eastAsia="zh-CN"/>
        </w:rPr>
        <w:t>三、复议申请人的复议主张不成立。复议申请人申请复议时主张：陈××是在加班期间遭受交通事故而死亡，应属工伤。被申请人认为，本案的争议焦点为陈××遭受交通事故时是否处于工作状态。针对上述争议焦点，被申请人已展开了调查并制作了调查笔录，其中两名同事所称：陈××有时候在宝安居住，有时候在南山居住，上述情形与其妻子所称的“平时住在南山的家，不管多晚都会回家，××是他爸妈的家，但他不住那边”的有关情形相矛盾；由于涉及员工的个人生活习惯，故被申请人采信其妻子的陈述，认定陈××日常居住于南山某小区，事发当晚其加班后回南山，属于正常的下班情形。至于刘××主张的回家途中仍属于加班期间，没有事实依据。另对于所在单位主张的前往南山家中取一份所谓“第二天工作需要的重要文件”，上述情形毫无事实根据，都是所在单位及有关人员的口头陈述，并无客观证据（如书证、照片、视频资料）予以证实；即便如此，上述主张也不能否认该职工已经下班，且进一步证明了其当天工作已经结束，事发当时已属于下班回家途中（员工因避免麻烦而顺便携带公文包等工作生产资料回家的情形很常见，其仅属员工日常生活习惯；当然不能将上述行为无限延伸为所谓的“加班”，否则会造成劳动人事管理的混乱）。根据以上事实以及条例的依据，被申请人认为，复议申请人的请求没有依据,被申请人具体行政行为符合条例的规定，依据充分，程序合法，表述适当，请求依法维持。</w:t>
      </w:r>
    </w:p>
    <w:p>
      <w:pPr>
        <w:keepNext w:val="0"/>
        <w:keepLines w:val="0"/>
        <w:pageBreakBefore w:val="0"/>
        <w:widowControl w:val="0"/>
        <w:kinsoku/>
        <w:overflowPunct/>
        <w:topLinePunct w:val="0"/>
        <w:autoSpaceDE/>
        <w:autoSpaceDN/>
        <w:bidi w:val="0"/>
        <w:adjustRightInd w:val="0"/>
        <w:snapToGrid w:val="0"/>
        <w:spacing w:line="600" w:lineRule="exact"/>
        <w:ind w:firstLine="640" w:firstLineChars="200"/>
        <w:textAlignment w:val="auto"/>
        <w:rPr>
          <w:rFonts w:hint="eastAsia" w:ascii="仿宋_GB2312" w:hAnsi="仿宋" w:eastAsia="仿宋_GB2312"/>
          <w:sz w:val="32"/>
          <w:szCs w:val="32"/>
          <w:lang w:eastAsia="zh-CN"/>
        </w:rPr>
      </w:pPr>
      <w:r>
        <w:rPr>
          <w:rFonts w:hint="eastAsia" w:ascii="黑体" w:hAnsi="黑体" w:eastAsia="黑体" w:cs="黑体"/>
          <w:sz w:val="32"/>
          <w:szCs w:val="32"/>
          <w:lang w:val="en-US" w:eastAsia="zh-CN"/>
        </w:rPr>
        <w:t>经查：</w:t>
      </w:r>
      <w:r>
        <w:rPr>
          <w:rFonts w:hint="eastAsia" w:ascii="仿宋_GB2312" w:hAnsi="仿宋" w:eastAsia="仿宋_GB2312"/>
          <w:sz w:val="32"/>
          <w:szCs w:val="32"/>
          <w:lang w:eastAsia="zh-CN"/>
        </w:rPr>
        <w:t>2017年11月10日，申请人向被申请人申请工伤认定时称：其丈夫陈××系××街道办职员，于2017年10月12日0:41许，驾驶自己的车辆行驶至南海大道直升机场路段时与路中央铁护栏相撞，后经送院抢救无效死亡，并提交了工伤认定申请表、身份证、户口簿、病历等诊疗材料、司法鉴定意见书、工伤个人缴费记录等材料。</w:t>
      </w:r>
      <w:r>
        <w:rPr>
          <w:rFonts w:hint="eastAsia" w:ascii="仿宋_GB2312" w:hAnsi="仿宋" w:eastAsia="仿宋_GB2312"/>
          <w:sz w:val="32"/>
          <w:szCs w:val="32"/>
          <w:lang w:val="en-US" w:eastAsia="zh-CN"/>
        </w:rPr>
        <w:t>2017年11月20日，</w:t>
      </w:r>
      <w:r>
        <w:rPr>
          <w:rFonts w:hint="eastAsia" w:ascii="仿宋_GB2312" w:hAnsi="仿宋" w:eastAsia="仿宋_GB2312"/>
          <w:sz w:val="32"/>
          <w:szCs w:val="32"/>
          <w:lang w:eastAsia="zh-CN"/>
        </w:rPr>
        <w:t>被申请人向××街道办行政事务服务中心发出举证通知，要求该单位依法举证。××街道办行政事务服务中心向被申请人提交了《关于陈××情况书面回复》，称“</w:t>
      </w:r>
      <w:r>
        <w:rPr>
          <w:rFonts w:hint="eastAsia" w:ascii="仿宋_GB2312" w:hAnsi="仿宋" w:eastAsia="仿宋_GB2312"/>
          <w:sz w:val="32"/>
          <w:szCs w:val="32"/>
          <w:lang w:val="en-US" w:eastAsia="zh-CN"/>
        </w:rPr>
        <w:t>加班后陈××就从××街道办离开，回到他南山的住所，以便第二天一早把文件带回街道办。</w:t>
      </w:r>
      <w:r>
        <w:rPr>
          <w:rFonts w:hint="eastAsia" w:ascii="仿宋_GB2312" w:hAnsi="仿宋" w:eastAsia="仿宋_GB2312"/>
          <w:sz w:val="32"/>
          <w:szCs w:val="32"/>
          <w:lang w:eastAsia="zh-CN"/>
        </w:rPr>
        <w:t>”另还提交了工伤认定申请表、结婚证、病历、聘用合同、房地产买卖合同、交通事故认定书、路线图、居民死亡医学证明书、考勤表、证人证言及证人身份证等材料。其中，深公交（南山）认字[</w:t>
      </w:r>
      <w:r>
        <w:rPr>
          <w:rFonts w:hint="eastAsia" w:ascii="仿宋_GB2312" w:hAnsi="仿宋" w:eastAsia="仿宋_GB2312"/>
          <w:sz w:val="32"/>
          <w:szCs w:val="32"/>
          <w:lang w:val="en-US" w:eastAsia="zh-CN"/>
        </w:rPr>
        <w:t>2017</w:t>
      </w:r>
      <w:r>
        <w:rPr>
          <w:rFonts w:hint="eastAsia" w:ascii="仿宋_GB2312" w:hAnsi="仿宋" w:eastAsia="仿宋_GB2312"/>
          <w:sz w:val="32"/>
          <w:szCs w:val="32"/>
          <w:lang w:eastAsia="zh-CN"/>
        </w:rPr>
        <w:t>]第</w:t>
      </w:r>
      <w:r>
        <w:rPr>
          <w:rFonts w:hint="eastAsia" w:ascii="仿宋_GB2312" w:hAnsi="仿宋" w:eastAsia="仿宋_GB2312"/>
          <w:sz w:val="32"/>
          <w:szCs w:val="32"/>
          <w:lang w:val="en-US" w:eastAsia="zh-CN"/>
        </w:rPr>
        <w:t>××号《道路交通事故认定书》认定陈××应承担此交通事故的全部责任。</w:t>
      </w:r>
      <w:r>
        <w:rPr>
          <w:rFonts w:hint="eastAsia" w:ascii="仿宋_GB2312" w:hAnsi="仿宋" w:eastAsia="仿宋_GB2312"/>
          <w:sz w:val="32"/>
          <w:szCs w:val="32"/>
          <w:lang w:eastAsia="zh-CN"/>
        </w:rPr>
        <w:t>被申请人依职权对文</w:t>
      </w:r>
      <w:bookmarkStart w:id="0" w:name="_GoBack"/>
      <w:bookmarkEnd w:id="0"/>
      <w:r>
        <w:rPr>
          <w:rFonts w:hint="eastAsia" w:ascii="仿宋_GB2312" w:hAnsi="仿宋" w:eastAsia="仿宋_GB2312"/>
          <w:sz w:val="32"/>
          <w:szCs w:val="32"/>
          <w:lang w:eastAsia="zh-CN"/>
        </w:rPr>
        <w:t>××、蔡××、刘××进行调查并制作笔录。2018年1月30日，被申请人作出深人社认字（宝）[2018]第××号《深圳市工伤认定书》，认定陈××不属于或不视同工伤。申请人不服，向本机关申请行政复议。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仿宋_GB2312" w:hAnsi="仿宋" w:eastAsia="仿宋_GB2312"/>
          <w:sz w:val="32"/>
          <w:szCs w:val="32"/>
        </w:rPr>
      </w:pPr>
      <w:r>
        <w:rPr>
          <w:rFonts w:hint="eastAsia" w:ascii="黑体" w:hAnsi="黑体" w:eastAsia="黑体" w:cs="黑体"/>
          <w:sz w:val="32"/>
          <w:szCs w:val="32"/>
          <w:lang w:val="en-US" w:eastAsia="zh-CN"/>
        </w:rPr>
        <w:t>本机关认为：</w:t>
      </w:r>
      <w:r>
        <w:rPr>
          <w:rFonts w:hint="eastAsia" w:ascii="仿宋_GB2312" w:hAnsi="仿宋" w:eastAsia="仿宋_GB2312"/>
          <w:sz w:val="32"/>
          <w:szCs w:val="32"/>
          <w:lang w:val="en-US" w:eastAsia="zh-CN"/>
        </w:rPr>
        <w:t>本案，根据</w:t>
      </w:r>
      <w:r>
        <w:rPr>
          <w:rFonts w:hint="eastAsia" w:ascii="仿宋_GB2312" w:hAnsi="仿宋" w:eastAsia="仿宋_GB2312"/>
          <w:sz w:val="32"/>
          <w:szCs w:val="32"/>
          <w:lang w:eastAsia="zh-CN"/>
        </w:rPr>
        <w:t>××街道办行政事务服务中心提交的《关于陈××情况书面回复》以及被申请人对陈××的妻子即申请人所作的询问笔录，可以认定陈××在</w:t>
      </w:r>
      <w:r>
        <w:rPr>
          <w:rFonts w:hint="eastAsia" w:ascii="仿宋_GB2312" w:hAnsi="仿宋" w:eastAsia="仿宋_GB2312"/>
          <w:sz w:val="32"/>
          <w:szCs w:val="32"/>
          <w:lang w:val="en-US" w:eastAsia="zh-CN"/>
        </w:rPr>
        <w:t>2017年10月11日</w:t>
      </w:r>
      <w:r>
        <w:rPr>
          <w:rFonts w:hint="eastAsia" w:ascii="仿宋_GB2312" w:hAnsi="仿宋" w:eastAsia="仿宋_GB2312"/>
          <w:sz w:val="32"/>
          <w:szCs w:val="32"/>
          <w:lang w:eastAsia="zh-CN"/>
        </w:rPr>
        <w:t>当天已经完成加班工作，</w:t>
      </w:r>
      <w:r>
        <w:rPr>
          <w:rFonts w:hint="eastAsia" w:ascii="仿宋_GB2312" w:hAnsi="仿宋" w:eastAsia="仿宋_GB2312"/>
          <w:sz w:val="32"/>
          <w:szCs w:val="32"/>
          <w:lang w:val="en-US" w:eastAsia="zh-CN"/>
        </w:rPr>
        <w:t>次日0:30分许下班回南山</w:t>
      </w:r>
      <w:r>
        <w:rPr>
          <w:rFonts w:hint="eastAsia" w:ascii="仿宋_GB2312" w:hAnsi="仿宋" w:eastAsia="仿宋_GB2312"/>
          <w:sz w:val="32"/>
          <w:szCs w:val="32"/>
          <w:lang w:eastAsia="zh-CN"/>
        </w:rPr>
        <w:t>居住地途中遭受本人负全部责任的交通事故伤害死亡，其不属在工作时间和工作场所内,因工作原因受到事故伤害，亦不属于在下班途中受到非本人主要责任的交通事故伤害。故其死亡的情形</w:t>
      </w:r>
      <w:r>
        <w:rPr>
          <w:rFonts w:hint="eastAsia" w:ascii="仿宋_GB2312" w:hAnsi="仿宋" w:eastAsia="仿宋_GB2312" w:cs="仿宋_GB2312"/>
          <w:sz w:val="32"/>
          <w:szCs w:val="32"/>
          <w:lang w:eastAsia="zh-CN"/>
        </w:rPr>
        <w:t>不符合</w:t>
      </w:r>
      <w:r>
        <w:rPr>
          <w:rFonts w:hint="eastAsia" w:ascii="仿宋_GB2312" w:hAnsi="仿宋" w:eastAsia="仿宋_GB2312" w:cs="仿宋_GB2312"/>
          <w:sz w:val="32"/>
          <w:szCs w:val="32"/>
        </w:rPr>
        <w:t>《广东省工伤保险条例》第九条</w:t>
      </w:r>
      <w:r>
        <w:rPr>
          <w:rFonts w:hint="eastAsia" w:ascii="仿宋_GB2312" w:hAnsi="仿宋" w:eastAsia="仿宋_GB2312" w:cs="仿宋_GB2312"/>
          <w:sz w:val="32"/>
          <w:szCs w:val="32"/>
          <w:lang w:eastAsia="zh-CN"/>
        </w:rPr>
        <w:t>、第十条的规定。</w:t>
      </w:r>
      <w:r>
        <w:rPr>
          <w:rFonts w:hint="eastAsia" w:ascii="仿宋_GB2312" w:hAnsi="仿宋" w:eastAsia="仿宋_GB2312" w:cs="仿宋_GB2312"/>
          <w:sz w:val="32"/>
          <w:szCs w:val="32"/>
        </w:rPr>
        <w:t>被申请人</w:t>
      </w:r>
      <w:r>
        <w:rPr>
          <w:rFonts w:hint="eastAsia" w:ascii="仿宋_GB2312" w:hAnsi="仿宋" w:eastAsia="仿宋_GB2312" w:cs="仿宋_GB2312"/>
          <w:sz w:val="32"/>
          <w:szCs w:val="32"/>
          <w:lang w:eastAsia="zh-CN"/>
        </w:rPr>
        <w:t>关于</w:t>
      </w:r>
      <w:r>
        <w:rPr>
          <w:rFonts w:hint="eastAsia" w:ascii="仿宋_GB2312" w:hAnsi="仿宋" w:eastAsia="仿宋_GB2312"/>
          <w:sz w:val="32"/>
          <w:szCs w:val="32"/>
          <w:lang w:eastAsia="zh-CN"/>
        </w:rPr>
        <w:t>陈××</w:t>
      </w:r>
      <w:r>
        <w:rPr>
          <w:rFonts w:hint="eastAsia" w:ascii="仿宋_GB2312" w:hAnsi="仿宋" w:eastAsia="仿宋_GB2312" w:cs="仿宋_GB2312"/>
          <w:sz w:val="32"/>
          <w:szCs w:val="32"/>
        </w:rPr>
        <w:t>不属于或不视同工伤</w:t>
      </w:r>
      <w:r>
        <w:rPr>
          <w:rFonts w:hint="eastAsia" w:ascii="仿宋_GB2312" w:hAnsi="仿宋" w:eastAsia="仿宋_GB2312" w:cs="仿宋_GB2312"/>
          <w:sz w:val="32"/>
          <w:szCs w:val="32"/>
          <w:lang w:eastAsia="zh-CN"/>
        </w:rPr>
        <w:t>的决定</w:t>
      </w:r>
      <w:r>
        <w:rPr>
          <w:rFonts w:hint="eastAsia" w:ascii="仿宋_GB2312" w:hAnsi="仿宋" w:eastAsia="仿宋_GB2312" w:cs="仿宋_GB2312"/>
          <w:sz w:val="32"/>
          <w:szCs w:val="32"/>
        </w:rPr>
        <w:t>并无违法或不当，依法应予维持。</w:t>
      </w:r>
      <w:r>
        <w:rPr>
          <w:rFonts w:hint="eastAsia" w:ascii="仿宋_GB2312" w:hAnsi="仿宋" w:eastAsia="仿宋_GB2312" w:cs="仿宋_GB2312"/>
          <w:sz w:val="32"/>
          <w:szCs w:val="32"/>
          <w:lang w:eastAsia="zh-CN"/>
        </w:rPr>
        <w:t>申请人的主张无事实和法律依据，本机关不予支持。</w:t>
      </w:r>
      <w:r>
        <w:rPr>
          <w:rFonts w:hint="eastAsia" w:ascii="仿宋_GB2312" w:hAnsi="仿宋" w:eastAsia="仿宋_GB2312" w:cs="仿宋_GB2312"/>
          <w:sz w:val="32"/>
          <w:szCs w:val="32"/>
        </w:rPr>
        <w:t>综上，根据《中华人民共和国行政复议法》第二十八条第一款第（一）项的规定，本机关作出复议决定如下：</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0" w:firstLineChars="200"/>
        <w:textAlignment w:val="auto"/>
        <w:outlineLvl w:val="9"/>
        <w:rPr>
          <w:rFonts w:ascii="仿宋_GB2312" w:hAnsi="仿宋" w:eastAsia="仿宋_GB2312"/>
          <w:sz w:val="32"/>
          <w:szCs w:val="32"/>
        </w:rPr>
      </w:pPr>
      <w:r>
        <w:rPr>
          <w:rFonts w:hint="eastAsia" w:ascii="仿宋_GB2312" w:hAnsi="仿宋" w:eastAsia="仿宋_GB2312" w:cs="仿宋_GB2312"/>
          <w:sz w:val="32"/>
          <w:szCs w:val="32"/>
        </w:rPr>
        <w:t>维持被申请人深圳市人力资源和社会保障局以</w:t>
      </w:r>
      <w:r>
        <w:rPr>
          <w:rFonts w:hint="eastAsia" w:ascii="仿宋_GB2312" w:hAnsi="仿宋" w:eastAsia="仿宋_GB2312"/>
          <w:sz w:val="32"/>
          <w:szCs w:val="32"/>
          <w:lang w:eastAsia="zh-CN"/>
        </w:rPr>
        <w:t>深人社认字（宝）[2018]第××号</w:t>
      </w:r>
      <w:r>
        <w:rPr>
          <w:rFonts w:hint="eastAsia" w:ascii="仿宋_GB2312" w:hAnsi="仿宋" w:eastAsia="仿宋_GB2312"/>
          <w:sz w:val="32"/>
          <w:szCs w:val="32"/>
          <w:lang w:val="en-US" w:eastAsia="zh-CN"/>
        </w:rPr>
        <w:t>《深圳市工伤认定书》</w:t>
      </w:r>
      <w:r>
        <w:rPr>
          <w:rFonts w:hint="eastAsia" w:ascii="仿宋_GB2312" w:hAnsi="仿宋" w:eastAsia="仿宋_GB2312" w:cs="仿宋_GB2312"/>
          <w:sz w:val="32"/>
          <w:szCs w:val="32"/>
        </w:rPr>
        <w:t>作出的具体行政行为。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rPr>
        <w:t>本复议决定书一经送达，即发生法律效力。申请人如对本复议决定不服，可自收到复议决定书之日起十五日内，向有管辖权的人民法院提起诉讼</w:t>
      </w:r>
      <w:r>
        <w:rPr>
          <w:rFonts w:hint="eastAsia" w:ascii="仿宋_GB2312" w:hAnsi="仿宋"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 w:eastAsia="仿宋_GB2312"/>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 w:eastAsia="仿宋_GB2312"/>
          <w:sz w:val="32"/>
          <w:szCs w:val="32"/>
          <w:lang w:eastAsia="zh-CN"/>
        </w:rPr>
      </w:pPr>
    </w:p>
    <w:p>
      <w:pPr>
        <w:keepNext w:val="0"/>
        <w:keepLines w:val="0"/>
        <w:pageBreakBefore w:val="0"/>
        <w:widowControl w:val="0"/>
        <w:kinsoku/>
        <w:wordWrap w:val="0"/>
        <w:overflowPunct/>
        <w:topLinePunct w:val="0"/>
        <w:autoSpaceDE/>
        <w:autoSpaceDN/>
        <w:bidi w:val="0"/>
        <w:spacing w:line="600" w:lineRule="exact"/>
        <w:ind w:firstLine="640" w:firstLineChars="200"/>
        <w:jc w:val="center"/>
        <w:textAlignment w:val="auto"/>
        <w:rPr>
          <w:rFonts w:hint="eastAsia" w:ascii="仿宋_GB2312" w:hAnsi="仿宋" w:eastAsia="仿宋_GB2312"/>
          <w:sz w:val="32"/>
          <w:szCs w:val="32"/>
          <w:lang w:eastAsia="zh-CN"/>
        </w:rPr>
      </w:pP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深圳市人民政府</w:t>
      </w:r>
    </w:p>
    <w:p>
      <w:pPr>
        <w:keepNext w:val="0"/>
        <w:keepLines w:val="0"/>
        <w:pageBreakBefore w:val="0"/>
        <w:widowControl w:val="0"/>
        <w:kinsoku/>
        <w:wordWrap w:val="0"/>
        <w:overflowPunct/>
        <w:topLinePunct w:val="0"/>
        <w:autoSpaceDE/>
        <w:autoSpaceDN/>
        <w:bidi w:val="0"/>
        <w:spacing w:line="600" w:lineRule="exact"/>
        <w:ind w:firstLine="640" w:firstLineChars="200"/>
        <w:jc w:val="right"/>
        <w:textAlignment w:val="auto"/>
        <w:rPr>
          <w:rFonts w:hint="eastAsia"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 xml:space="preserve"> 201</w:t>
      </w:r>
      <w:r>
        <w:rPr>
          <w:rFonts w:hint="eastAsia" w:ascii="仿宋_GB2312" w:hAnsi="仿宋" w:eastAsia="仿宋_GB2312"/>
          <w:sz w:val="32"/>
          <w:szCs w:val="32"/>
          <w:lang w:val="en-US" w:eastAsia="zh-CN"/>
        </w:rPr>
        <w:t>8</w:t>
      </w:r>
      <w:r>
        <w:rPr>
          <w:rFonts w:hint="eastAsia" w:ascii="仿宋_GB2312" w:hAnsi="仿宋" w:eastAsia="仿宋_GB2312"/>
          <w:sz w:val="32"/>
          <w:szCs w:val="32"/>
        </w:rPr>
        <w:t>年</w:t>
      </w:r>
      <w:r>
        <w:rPr>
          <w:rFonts w:hint="eastAsia" w:ascii="仿宋_GB2312" w:hAnsi="仿宋" w:eastAsia="仿宋_GB2312"/>
          <w:sz w:val="32"/>
          <w:szCs w:val="32"/>
          <w:lang w:val="en-US" w:eastAsia="zh-CN"/>
        </w:rPr>
        <w:t>3月26</w:t>
      </w:r>
      <w:r>
        <w:rPr>
          <w:rFonts w:hint="eastAsia" w:ascii="仿宋_GB2312" w:hAnsi="仿宋" w:eastAsia="仿宋_GB2312"/>
          <w:sz w:val="32"/>
          <w:szCs w:val="32"/>
        </w:rPr>
        <w:t xml:space="preserve">日 </w:t>
      </w:r>
    </w:p>
    <w:p>
      <w:pPr>
        <w:keepNext w:val="0"/>
        <w:keepLines w:val="0"/>
        <w:pageBreakBefore w:val="0"/>
        <w:widowControl w:val="0"/>
        <w:kinsoku/>
        <w:overflowPunct/>
        <w:topLinePunct w:val="0"/>
        <w:autoSpaceDE/>
        <w:autoSpaceDN/>
        <w:bidi w:val="0"/>
        <w:spacing w:line="600" w:lineRule="exact"/>
        <w:ind w:firstLine="420" w:firstLineChars="200"/>
        <w:textAlignment w:val="auto"/>
      </w:pPr>
    </w:p>
    <w:p>
      <w:pPr>
        <w:keepNext w:val="0"/>
        <w:keepLines w:val="0"/>
        <w:pageBreakBefore w:val="0"/>
        <w:widowControl w:val="0"/>
        <w:kinsoku/>
        <w:overflowPunct/>
        <w:topLinePunct w:val="0"/>
        <w:autoSpaceDE/>
        <w:autoSpaceDN/>
        <w:bidi w:val="0"/>
        <w:spacing w:line="600" w:lineRule="exact"/>
        <w:ind w:firstLine="420" w:firstLineChars="200"/>
        <w:textAlignment w:val="auto"/>
      </w:pPr>
    </w:p>
    <w:p>
      <w:pPr>
        <w:keepNext w:val="0"/>
        <w:keepLines w:val="0"/>
        <w:pageBreakBefore w:val="0"/>
        <w:widowControl w:val="0"/>
        <w:kinsoku/>
        <w:overflowPunct/>
        <w:topLinePunct w:val="0"/>
        <w:autoSpaceDE/>
        <w:autoSpaceDN/>
        <w:bidi w:val="0"/>
        <w:spacing w:line="600" w:lineRule="exact"/>
        <w:ind w:firstLine="420" w:firstLineChars="200"/>
        <w:textAlignment w:val="auto"/>
      </w:pPr>
    </w:p>
    <w:p>
      <w:pPr>
        <w:keepNext w:val="0"/>
        <w:keepLines w:val="0"/>
        <w:pageBreakBefore w:val="0"/>
        <w:widowControl w:val="0"/>
        <w:kinsoku/>
        <w:overflowPunct/>
        <w:topLinePunct w:val="0"/>
        <w:autoSpaceDE/>
        <w:autoSpaceDN/>
        <w:bidi w:val="0"/>
        <w:spacing w:line="600" w:lineRule="exact"/>
        <w:ind w:firstLine="420" w:firstLineChars="200"/>
        <w:textAlignment w:val="auto"/>
      </w:pPr>
    </w:p>
    <w:p/>
    <w:p/>
    <w:sectPr>
      <w:headerReference r:id="rId3" w:type="default"/>
      <w:footerReference r:id="rId4" w:type="default"/>
      <w:footerReference r:id="rId5" w:type="even"/>
      <w:footnotePr>
        <w:pos w:val="beneathText"/>
      </w:footnotePr>
      <w:pgSz w:w="11905" w:h="16837"/>
      <w:pgMar w:top="1701" w:right="1417" w:bottom="992" w:left="1417" w:header="851" w:footer="1587" w:gutter="0"/>
      <w:pgNumType w:fmt="decimal"/>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adjustRightInd w:val="0"/>
                            <w:snapToGrid w:val="0"/>
                            <w:ind w:left="315" w:leftChars="150" w:right="315" w:rightChars="150"/>
                            <w:jc w:val="center"/>
                            <w:rPr>
                              <w:rFonts w:hint="eastAsia" w:ascii="宋体" w:hAnsi="宋体"/>
                              <w:sz w:val="28"/>
                              <w:szCs w:val="28"/>
                              <w:lang w:eastAsia="zh-CN"/>
                            </w:rPr>
                          </w:pPr>
                        </w:p>
                        <w:p>
                          <w:pPr>
                            <w:pStyle w:val="2"/>
                            <w:adjustRightInd w:val="0"/>
                            <w:snapToGrid w:val="0"/>
                            <w:ind w:left="315" w:leftChars="150" w:right="315" w:rightChars="150"/>
                            <w:jc w:val="center"/>
                            <w:rPr>
                              <w:rFonts w:ascii="仿宋" w:hAnsi="仿宋" w:eastAsia="仿宋"/>
                              <w:sz w:val="21"/>
                              <w:szCs w:val="21"/>
                            </w:rPr>
                          </w:pPr>
                          <w:r>
                            <w:rPr>
                              <w:rFonts w:hint="eastAsia" w:ascii="宋体" w:hAnsi="宋体"/>
                              <w:sz w:val="28"/>
                              <w:szCs w:val="28"/>
                              <w:lang w:eastAsia="zh-CN"/>
                            </w:rPr>
                            <w:t xml:space="preserve"> </w:t>
                          </w: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2</w:t>
                          </w:r>
                          <w:r>
                            <w:rPr>
                              <w:rFonts w:ascii="宋体" w:hAnsi="宋体"/>
                              <w:sz w:val="28"/>
                              <w:szCs w:val="28"/>
                            </w:rPr>
                            <w:fldChar w:fldCharType="end"/>
                          </w:r>
                          <w:r>
                            <w:rPr>
                              <w:rFonts w:hint="eastAsia" w:ascii="宋体" w:hAnsi="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adjustRightInd w:val="0"/>
                      <w:snapToGrid w:val="0"/>
                      <w:ind w:left="315" w:leftChars="150" w:right="315" w:rightChars="150"/>
                      <w:jc w:val="center"/>
                      <w:rPr>
                        <w:rFonts w:hint="eastAsia" w:ascii="宋体" w:hAnsi="宋体"/>
                        <w:sz w:val="28"/>
                        <w:szCs w:val="28"/>
                        <w:lang w:eastAsia="zh-CN"/>
                      </w:rPr>
                    </w:pPr>
                  </w:p>
                  <w:p>
                    <w:pPr>
                      <w:pStyle w:val="2"/>
                      <w:adjustRightInd w:val="0"/>
                      <w:snapToGrid w:val="0"/>
                      <w:ind w:left="315" w:leftChars="150" w:right="315" w:rightChars="150"/>
                      <w:jc w:val="center"/>
                      <w:rPr>
                        <w:rFonts w:ascii="仿宋" w:hAnsi="仿宋" w:eastAsia="仿宋"/>
                        <w:sz w:val="21"/>
                        <w:szCs w:val="21"/>
                      </w:rPr>
                    </w:pPr>
                    <w:r>
                      <w:rPr>
                        <w:rFonts w:hint="eastAsia" w:ascii="宋体" w:hAnsi="宋体"/>
                        <w:sz w:val="28"/>
                        <w:szCs w:val="28"/>
                        <w:lang w:eastAsia="zh-CN"/>
                      </w:rPr>
                      <w:t xml:space="preserve"> </w:t>
                    </w:r>
                    <w:r>
                      <w:rPr>
                        <w:rFonts w:ascii="宋体" w:hAnsi="宋体"/>
                        <w:sz w:val="28"/>
                        <w:szCs w:val="28"/>
                      </w:rPr>
                      <w:fldChar w:fldCharType="begin"/>
                    </w:r>
                    <w:r>
                      <w:rPr>
                        <w:rFonts w:ascii="宋体" w:hAnsi="宋体"/>
                        <w:sz w:val="28"/>
                        <w:szCs w:val="28"/>
                      </w:rPr>
                      <w:instrText xml:space="preserve"> PAGE \*ARABIC </w:instrText>
                    </w:r>
                    <w:r>
                      <w:rPr>
                        <w:rFonts w:ascii="宋体" w:hAnsi="宋体"/>
                        <w:sz w:val="28"/>
                        <w:szCs w:val="28"/>
                      </w:rPr>
                      <w:fldChar w:fldCharType="separate"/>
                    </w:r>
                    <w:r>
                      <w:rPr>
                        <w:rFonts w:ascii="宋体" w:hAnsi="宋体"/>
                        <w:sz w:val="28"/>
                        <w:szCs w:val="28"/>
                      </w:rPr>
                      <w:t>2</w:t>
                    </w:r>
                    <w:r>
                      <w:rPr>
                        <w:rFonts w:ascii="宋体" w:hAnsi="宋体"/>
                        <w:sz w:val="28"/>
                        <w:szCs w:val="28"/>
                      </w:rPr>
                      <w:fldChar w:fldCharType="end"/>
                    </w:r>
                    <w:r>
                      <w:rPr>
                        <w:rFonts w:hint="eastAsia" w:ascii="宋体" w:hAnsi="宋体"/>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fldChar w:fldCharType="begin"/>
    </w:r>
    <w:r>
      <w:rPr>
        <w:rStyle w:val="5"/>
      </w:rPr>
      <w:instrText xml:space="preserve">PAGE  </w:instrText>
    </w:r>
    <w: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EA9092"/>
    <w:multiLevelType w:val="singleLevel"/>
    <w:tmpl w:val="76EA909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7E1C1B"/>
    <w:rsid w:val="1F7E1C1B"/>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suppressLineNumbers/>
      <w:tabs>
        <w:tab w:val="center" w:pos="4153"/>
        <w:tab w:val="right" w:pos="8307"/>
      </w:tabs>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7</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2018-06-28T08:53:00Z</dcterms:created>
  <dc:creator>小兔子宝宝</dc:creator>
  <cp:lastModifiedBy>小兔子宝宝</cp:lastModifiedBy>
  <dcterms:modified xsi:type="dcterms:W3CDTF">2018-06-28T09:01:33Z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