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91" w:rsidRDefault="00CE4EB8">
      <w:pPr>
        <w:spacing w:line="276" w:lineRule="auto"/>
        <w:jc w:val="center"/>
        <w:rPr>
          <w:rFonts w:eastAsia="方正小标宋_GBK"/>
          <w:sz w:val="44"/>
        </w:rPr>
      </w:pPr>
      <w:r>
        <w:rPr>
          <w:rFonts w:eastAsia="方正小标宋_GBK" w:hint="eastAsia"/>
          <w:sz w:val="44"/>
        </w:rPr>
        <w:t>深</w:t>
      </w:r>
      <w:r>
        <w:rPr>
          <w:rFonts w:eastAsia="方正小标宋_GBK"/>
          <w:sz w:val="44"/>
        </w:rPr>
        <w:t xml:space="preserve">  </w:t>
      </w:r>
      <w:proofErr w:type="gramStart"/>
      <w:r>
        <w:rPr>
          <w:rFonts w:eastAsia="方正小标宋_GBK" w:hint="eastAsia"/>
          <w:sz w:val="44"/>
        </w:rPr>
        <w:t>圳</w:t>
      </w:r>
      <w:proofErr w:type="gramEnd"/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市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人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民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政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府</w:t>
      </w:r>
    </w:p>
    <w:p w:rsidR="005A0D91" w:rsidRDefault="00CE4EB8">
      <w:pPr>
        <w:spacing w:line="276" w:lineRule="auto"/>
        <w:jc w:val="center"/>
        <w:rPr>
          <w:rFonts w:eastAsia="方正小标宋_GBK"/>
          <w:b/>
          <w:bCs/>
          <w:sz w:val="44"/>
        </w:rPr>
      </w:pPr>
      <w:r>
        <w:rPr>
          <w:rFonts w:eastAsia="方正小标宋_GBK" w:hint="eastAsia"/>
          <w:b/>
          <w:bCs/>
          <w:sz w:val="44"/>
        </w:rPr>
        <w:t>不予受理决定书</w:t>
      </w:r>
    </w:p>
    <w:p w:rsidR="005A0D91" w:rsidRDefault="00CE4EB8">
      <w:pPr>
        <w:spacing w:line="520" w:lineRule="exact"/>
        <w:ind w:firstLineChars="1600" w:firstLine="5120"/>
        <w:rPr>
          <w:rFonts w:ascii="仿宋_GB2312" w:eastAsia="仿宋_GB2312" w:hAnsi="仿宋_GB2312" w:cs="仿宋_GB2312"/>
          <w:sz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</w:rPr>
        <w:t>深府行复</w:t>
      </w:r>
      <w:proofErr w:type="gramEnd"/>
      <w:r>
        <w:rPr>
          <w:rFonts w:ascii="仿宋_GB2312" w:eastAsia="仿宋_GB2312" w:hAnsi="仿宋_GB2312" w:cs="仿宋_GB2312" w:hint="eastAsia"/>
          <w:sz w:val="32"/>
        </w:rPr>
        <w:t>〔</w:t>
      </w:r>
      <w:r>
        <w:rPr>
          <w:rFonts w:ascii="仿宋_GB2312" w:eastAsia="仿宋_GB2312" w:hAnsi="仿宋_GB2312" w:cs="仿宋_GB2312" w:hint="eastAsia"/>
          <w:sz w:val="32"/>
        </w:rPr>
        <w:t>2018</w:t>
      </w:r>
      <w:r>
        <w:rPr>
          <w:rFonts w:ascii="仿宋_GB2312" w:eastAsia="仿宋_GB2312" w:hAnsi="仿宋_GB2312" w:cs="仿宋_GB2312" w:hint="eastAsia"/>
          <w:sz w:val="32"/>
        </w:rPr>
        <w:t>〕</w:t>
      </w:r>
      <w:r>
        <w:rPr>
          <w:rFonts w:ascii="仿宋_GB2312" w:eastAsia="仿宋_GB2312" w:hAnsi="仿宋_GB2312" w:cs="仿宋_GB2312" w:hint="eastAsia"/>
          <w:sz w:val="32"/>
        </w:rPr>
        <w:t>54</w:t>
      </w:r>
      <w:r>
        <w:rPr>
          <w:rFonts w:ascii="仿宋_GB2312" w:eastAsia="仿宋_GB2312" w:hAnsi="仿宋_GB2312" w:cs="仿宋_GB2312" w:hint="eastAsia"/>
          <w:sz w:val="32"/>
        </w:rPr>
        <w:t>号</w:t>
      </w:r>
    </w:p>
    <w:p w:rsidR="005A0D91" w:rsidRDefault="00CE4EB8">
      <w:pPr>
        <w:spacing w:line="52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</w:t>
      </w:r>
    </w:p>
    <w:p w:rsidR="005A0D91" w:rsidRDefault="00CE4EB8" w:rsidP="00A812F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申请人：</w:t>
      </w:r>
      <w:r>
        <w:rPr>
          <w:rFonts w:ascii="仿宋_GB2312" w:eastAsia="仿宋_GB2312" w:hAnsi="仿宋" w:hint="eastAsia"/>
          <w:sz w:val="32"/>
          <w:szCs w:val="32"/>
        </w:rPr>
        <w:t>吴</w:t>
      </w:r>
      <w:r w:rsidR="00A812F4" w:rsidRPr="00A812F4">
        <w:rPr>
          <w:rFonts w:ascii="仿宋_GB2312" w:eastAsia="仿宋_GB2312" w:hAnsi="仿宋" w:hint="eastAsia"/>
          <w:sz w:val="32"/>
          <w:szCs w:val="32"/>
        </w:rPr>
        <w:t>×</w:t>
      </w:r>
    </w:p>
    <w:p w:rsidR="005A0D91" w:rsidRDefault="005A0D91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A0D91" w:rsidRDefault="00CE4EB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bookmarkStart w:id="0" w:name="_Hlk503780441"/>
      <w:r>
        <w:rPr>
          <w:rFonts w:ascii="仿宋_GB2312" w:eastAsia="仿宋_GB2312" w:hAnsi="仿宋" w:hint="eastAsia"/>
          <w:sz w:val="32"/>
          <w:szCs w:val="32"/>
        </w:rPr>
        <w:t>认为</w:t>
      </w:r>
      <w:r>
        <w:rPr>
          <w:rFonts w:ascii="仿宋_GB2312" w:eastAsia="仿宋_GB2312" w:hAnsi="仿宋" w:hint="eastAsia"/>
          <w:sz w:val="32"/>
        </w:rPr>
        <w:t>深圳市市场和质量监督管理委员会</w:t>
      </w:r>
      <w:r>
        <w:rPr>
          <w:rFonts w:ascii="仿宋_GB2312" w:eastAsia="仿宋_GB2312" w:hAnsi="仿宋" w:hint="eastAsia"/>
          <w:sz w:val="32"/>
        </w:rPr>
        <w:t>龙岗</w:t>
      </w:r>
      <w:r>
        <w:rPr>
          <w:rFonts w:ascii="仿宋_GB2312" w:eastAsia="仿宋_GB2312" w:hAnsi="仿宋" w:hint="eastAsia"/>
          <w:sz w:val="32"/>
        </w:rPr>
        <w:t>分局</w:t>
      </w:r>
      <w:bookmarkEnd w:id="0"/>
      <w:r>
        <w:rPr>
          <w:rFonts w:ascii="仿宋_GB2312" w:eastAsia="仿宋_GB2312" w:hAnsi="仿宋" w:hint="eastAsia"/>
          <w:sz w:val="32"/>
          <w:szCs w:val="32"/>
        </w:rPr>
        <w:t>对其</w:t>
      </w:r>
      <w:r>
        <w:rPr>
          <w:rFonts w:ascii="仿宋_GB2312" w:eastAsia="仿宋_GB2312" w:hAnsi="仿宋" w:hint="eastAsia"/>
          <w:sz w:val="32"/>
        </w:rPr>
        <w:t>关于</w:t>
      </w:r>
      <w:r w:rsidR="00A812F4" w:rsidRPr="00A812F4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有限</w:t>
      </w:r>
      <w:r>
        <w:rPr>
          <w:rFonts w:ascii="仿宋_GB2312" w:eastAsia="仿宋_GB2312" w:hAnsi="仿宋" w:hint="eastAsia"/>
          <w:sz w:val="32"/>
          <w:szCs w:val="32"/>
        </w:rPr>
        <w:t>公司</w:t>
      </w:r>
      <w:r>
        <w:rPr>
          <w:rFonts w:ascii="仿宋_GB2312" w:eastAsia="仿宋_GB2312" w:hAnsi="仿宋" w:hint="eastAsia"/>
          <w:sz w:val="32"/>
          <w:szCs w:val="32"/>
        </w:rPr>
        <w:t>涉嫌广告违法的举报</w:t>
      </w:r>
      <w:r>
        <w:rPr>
          <w:rFonts w:ascii="仿宋_GB2312" w:eastAsia="仿宋_GB2312" w:hAnsi="仿宋" w:hint="eastAsia"/>
          <w:sz w:val="32"/>
          <w:szCs w:val="32"/>
        </w:rPr>
        <w:t>未在法定期限内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受理答复构成</w:t>
      </w:r>
      <w:r>
        <w:rPr>
          <w:rFonts w:ascii="仿宋_GB2312" w:eastAsia="仿宋_GB2312" w:hAnsi="仿宋" w:hint="eastAsia"/>
          <w:sz w:val="32"/>
          <w:szCs w:val="32"/>
        </w:rPr>
        <w:t>违法</w:t>
      </w:r>
      <w:r>
        <w:rPr>
          <w:rFonts w:ascii="仿宋_GB2312" w:eastAsia="仿宋_GB2312" w:hAnsi="仿宋" w:hint="eastAsia"/>
          <w:sz w:val="32"/>
        </w:rPr>
        <w:t>，向本机关申请行政复议，本机关行政复议工作机构于</w:t>
      </w:r>
      <w:r>
        <w:rPr>
          <w:rFonts w:ascii="仿宋_GB2312" w:eastAsia="仿宋_GB2312" w:hAnsi="仿宋" w:hint="eastAsia"/>
          <w:sz w:val="32"/>
        </w:rPr>
        <w:t>2018</w:t>
      </w:r>
      <w:r>
        <w:rPr>
          <w:rFonts w:ascii="仿宋_GB2312" w:eastAsia="仿宋_GB2312" w:hAnsi="仿宋" w:hint="eastAsia"/>
          <w:sz w:val="32"/>
        </w:rPr>
        <w:t>年</w:t>
      </w:r>
      <w:r>
        <w:rPr>
          <w:rFonts w:ascii="仿宋_GB2312" w:eastAsia="仿宋_GB2312" w:hAnsi="仿宋" w:hint="eastAsia"/>
          <w:sz w:val="32"/>
        </w:rPr>
        <w:t>1</w:t>
      </w:r>
      <w:r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15</w:t>
      </w:r>
      <w:r>
        <w:rPr>
          <w:rFonts w:ascii="仿宋_GB2312" w:eastAsia="仿宋_GB2312" w:hAnsi="仿宋" w:hint="eastAsia"/>
          <w:sz w:val="32"/>
        </w:rPr>
        <w:t>日收到行政复议申请材料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本机关认为，受理</w:t>
      </w:r>
      <w:r>
        <w:rPr>
          <w:rFonts w:ascii="仿宋_GB2312" w:eastAsia="仿宋_GB2312" w:hAnsi="仿宋" w:hint="eastAsia"/>
          <w:sz w:val="32"/>
          <w:szCs w:val="32"/>
        </w:rPr>
        <w:t>举报</w:t>
      </w:r>
      <w:r>
        <w:rPr>
          <w:rFonts w:ascii="仿宋_GB2312" w:eastAsia="仿宋_GB2312" w:hAnsi="仿宋" w:hint="eastAsia"/>
          <w:sz w:val="32"/>
          <w:szCs w:val="32"/>
        </w:rPr>
        <w:t>后</w:t>
      </w:r>
      <w:r>
        <w:rPr>
          <w:rFonts w:ascii="仿宋_GB2312" w:eastAsia="仿宋_GB2312" w:hAnsi="仿宋" w:hint="eastAsia"/>
          <w:sz w:val="32"/>
          <w:szCs w:val="32"/>
        </w:rPr>
        <w:t>作出的告知行为是行政程序中的过程性行为，不具有可诉性。申请人提出的上述行政复议申请不属于《中华人民共和国行政复议法》第六条规定的行政复议范围。根据《中华人民共和国行政复议法》第十七条第一款的规定，本机关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决定如下：</w:t>
      </w:r>
    </w:p>
    <w:p w:rsidR="005A0D91" w:rsidRDefault="00CE4EB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对申请人</w:t>
      </w:r>
      <w:r>
        <w:rPr>
          <w:rFonts w:ascii="仿宋_GB2312" w:eastAsia="仿宋_GB2312" w:hAnsi="仿宋" w:hint="eastAsia"/>
          <w:sz w:val="32"/>
        </w:rPr>
        <w:t>吴</w:t>
      </w:r>
      <w:r w:rsidR="00A812F4" w:rsidRPr="00A812F4">
        <w:rPr>
          <w:rFonts w:ascii="仿宋_GB2312" w:eastAsia="仿宋_GB2312" w:hAnsi="仿宋" w:hint="eastAsia"/>
          <w:sz w:val="32"/>
        </w:rPr>
        <w:t>×</w:t>
      </w:r>
      <w:r>
        <w:rPr>
          <w:rFonts w:ascii="仿宋_GB2312" w:eastAsia="仿宋_GB2312" w:hAnsi="仿宋" w:hint="eastAsia"/>
          <w:sz w:val="32"/>
        </w:rPr>
        <w:t>提出的上述行政复议申请不予受理。</w:t>
      </w:r>
    </w:p>
    <w:p w:rsidR="005A0D91" w:rsidRDefault="00CE4EB8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申请人如不服本决定，可自收到本决定书之日起十五日内向有管辖权的人民法院提起诉讼。</w:t>
      </w:r>
    </w:p>
    <w:p w:rsidR="005A0D91" w:rsidRDefault="00CE4EB8">
      <w:pPr>
        <w:adjustRightInd w:val="0"/>
        <w:snapToGrid w:val="0"/>
        <w:spacing w:line="560" w:lineRule="exact"/>
        <w:ind w:firstLineChars="1750" w:firstLine="560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深圳市人民政府</w:t>
      </w:r>
    </w:p>
    <w:p w:rsidR="005A0D91" w:rsidRDefault="00CE4EB8">
      <w:pPr>
        <w:spacing w:line="560" w:lineRule="atLeast"/>
        <w:ind w:left="-210" w:right="256"/>
        <w:rPr>
          <w:rFonts w:ascii="仿宋_GB2312" w:eastAsia="仿宋_GB2312"/>
        </w:rPr>
      </w:pPr>
      <w:r>
        <w:rPr>
          <w:rFonts w:ascii="仿宋_GB2312" w:eastAsia="仿宋_GB2312" w:hAnsi="仿宋" w:hint="eastAsia"/>
          <w:sz w:val="32"/>
        </w:rPr>
        <w:t xml:space="preserve">                                    </w:t>
      </w:r>
      <w:r>
        <w:rPr>
          <w:rFonts w:ascii="仿宋_GB2312" w:eastAsia="仿宋_GB2312" w:hAnsi="仿宋" w:hint="eastAsia"/>
          <w:sz w:val="32"/>
          <w:szCs w:val="32"/>
        </w:rPr>
        <w:t>2018</w:t>
      </w:r>
      <w:r>
        <w:rPr>
          <w:rFonts w:ascii="仿宋_GB2312" w:eastAsia="仿宋_GB2312" w:hAnsi="仿宋" w:hint="eastAsia"/>
          <w:sz w:val="32"/>
        </w:rPr>
        <w:t>年</w:t>
      </w:r>
      <w:r>
        <w:rPr>
          <w:rFonts w:ascii="仿宋_GB2312" w:eastAsia="仿宋_GB2312" w:hAnsi="仿宋" w:hint="eastAsia"/>
          <w:sz w:val="32"/>
        </w:rPr>
        <w:t>1</w:t>
      </w:r>
      <w:r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19</w:t>
      </w:r>
      <w:bookmarkStart w:id="1" w:name="_GoBack"/>
      <w:bookmarkEnd w:id="1"/>
      <w:r>
        <w:rPr>
          <w:rFonts w:ascii="仿宋_GB2312" w:eastAsia="仿宋_GB2312" w:hAnsi="仿宋" w:hint="eastAsia"/>
          <w:sz w:val="32"/>
        </w:rPr>
        <w:t>日</w:t>
      </w:r>
    </w:p>
    <w:sectPr w:rsidR="005A0D91" w:rsidSect="005A0D9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EB8" w:rsidRDefault="00CE4EB8" w:rsidP="00A812F4">
      <w:r>
        <w:separator/>
      </w:r>
    </w:p>
  </w:endnote>
  <w:endnote w:type="continuationSeparator" w:id="0">
    <w:p w:rsidR="00CE4EB8" w:rsidRDefault="00CE4EB8" w:rsidP="00A81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EB8" w:rsidRDefault="00CE4EB8" w:rsidP="00A812F4">
      <w:r>
        <w:separator/>
      </w:r>
    </w:p>
  </w:footnote>
  <w:footnote w:type="continuationSeparator" w:id="0">
    <w:p w:rsidR="00CE4EB8" w:rsidRDefault="00CE4EB8" w:rsidP="00A812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28FA"/>
    <w:rsid w:val="001A74E1"/>
    <w:rsid w:val="003603BD"/>
    <w:rsid w:val="005A0D91"/>
    <w:rsid w:val="006877AB"/>
    <w:rsid w:val="006E28FA"/>
    <w:rsid w:val="00876BD5"/>
    <w:rsid w:val="009E7961"/>
    <w:rsid w:val="00A812F4"/>
    <w:rsid w:val="00B00F6D"/>
    <w:rsid w:val="00CE4EB8"/>
    <w:rsid w:val="00D03561"/>
    <w:rsid w:val="00FF4EF4"/>
    <w:rsid w:val="0A202158"/>
    <w:rsid w:val="0A6D7D0A"/>
    <w:rsid w:val="2C74742A"/>
    <w:rsid w:val="4600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91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A0D91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A0D91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A0D9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A0D9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Chinese ORG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lilysqj</dc:creator>
  <cp:lastModifiedBy>Chinese User</cp:lastModifiedBy>
  <cp:revision>19</cp:revision>
  <cp:lastPrinted>2018-01-22T07:16:00Z</cp:lastPrinted>
  <dcterms:created xsi:type="dcterms:W3CDTF">2018-01-17T03:40:00Z</dcterms:created>
  <dcterms:modified xsi:type="dcterms:W3CDTF">2018-06-27T03:04:00Z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