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宋体" w:hAnsi="宋体"/>
          <w:sz w:val="44"/>
          <w:szCs w:val="44"/>
        </w:rPr>
      </w:pPr>
      <w:r>
        <w:rPr>
          <w:rFonts w:hint="eastAsia" w:ascii="宋体" w:hAnsi="宋体"/>
          <w:sz w:val="44"/>
          <w:szCs w:val="44"/>
        </w:rPr>
        <w:t>行政复议终止通知书</w:t>
      </w:r>
    </w:p>
    <w:p>
      <w:pPr>
        <w:spacing w:line="600" w:lineRule="exact"/>
        <w:jc w:val="center"/>
        <w:rPr>
          <w:rFonts w:eastAsia="方正黑体_GBK"/>
          <w:b/>
          <w:bCs/>
          <w:sz w:val="44"/>
          <w:szCs w:val="44"/>
        </w:rPr>
      </w:pPr>
    </w:p>
    <w:p>
      <w:pPr>
        <w:wordWrap w:val="0"/>
        <w:spacing w:line="600" w:lineRule="exact"/>
        <w:jc w:val="right"/>
        <w:rPr>
          <w:rFonts w:ascii="仿宋_GB2312" w:hAnsi="仿宋_GB2312" w:eastAsia="仿宋_GB2312"/>
          <w:sz w:val="32"/>
          <w:szCs w:val="32"/>
        </w:rPr>
      </w:pPr>
      <w:r>
        <w:rPr>
          <w:rFonts w:hint="eastAsia" w:ascii="仿宋_GB2312" w:hAnsi="仿宋_GB2312" w:eastAsia="仿宋_GB2312"/>
          <w:sz w:val="32"/>
          <w:szCs w:val="32"/>
        </w:rPr>
        <w:t>深府行复〔2018〕110号</w:t>
      </w:r>
    </w:p>
    <w:p>
      <w:pPr>
        <w:spacing w:line="600" w:lineRule="exact"/>
        <w:jc w:val="right"/>
        <w:rPr>
          <w:rFonts w:ascii="仿宋_GB2312" w:hAnsi="仿宋_GB2312" w:eastAsia="仿宋_GB2312"/>
          <w:sz w:val="32"/>
          <w:szCs w:val="32"/>
        </w:rPr>
      </w:pPr>
    </w:p>
    <w:p>
      <w:pPr>
        <w:spacing w:line="600" w:lineRule="exact"/>
        <w:jc w:val="left"/>
        <w:rPr>
          <w:rFonts w:ascii="黑体" w:hAnsi="黑体" w:eastAsia="黑体"/>
          <w:sz w:val="32"/>
          <w:szCs w:val="32"/>
        </w:rPr>
      </w:pPr>
      <w:r>
        <w:rPr>
          <w:rFonts w:hint="eastAsia" w:ascii="黑体" w:hAnsi="黑体" w:eastAsia="黑体"/>
          <w:sz w:val="32"/>
          <w:szCs w:val="32"/>
        </w:rPr>
        <w:t>深圳市市场和质量监督管理委员会龙华食品药品监督管理局、张某：</w:t>
      </w:r>
    </w:p>
    <w:p>
      <w:pPr>
        <w:spacing w:line="600" w:lineRule="exact"/>
        <w:ind w:firstLine="640"/>
        <w:rPr>
          <w:rFonts w:ascii="仿宋_GB2312" w:hAnsi="仿宋_GB2312" w:eastAsia="仿宋_GB2312"/>
          <w:sz w:val="32"/>
          <w:szCs w:val="32"/>
        </w:rPr>
      </w:pPr>
      <w:r>
        <w:rPr>
          <w:rFonts w:hint="eastAsia" w:ascii="仿宋_GB2312" w:hAnsi="仿宋_GB2312" w:eastAsia="仿宋_GB2312"/>
          <w:sz w:val="32"/>
          <w:szCs w:val="32"/>
        </w:rPr>
        <w:t>申请人张某</w:t>
      </w:r>
      <w:r>
        <w:rPr>
          <w:rFonts w:hint="eastAsia" w:ascii="仿宋_GB2312" w:hAnsi="仿宋_GB2312" w:eastAsia="仿宋_GB2312"/>
          <w:sz w:val="32"/>
        </w:rPr>
        <w:t>不服深圳市市场和质量监督管理委员会龙华食品药品监督管理局对其关于龙华新区</w:t>
      </w:r>
      <w:r>
        <w:rPr>
          <w:rFonts w:hint="eastAsia" w:ascii="仿宋_GB2312" w:eastAsia="仿宋_GB2312"/>
          <w:sz w:val="32"/>
          <w:szCs w:val="32"/>
        </w:rPr>
        <w:t>××</w:t>
      </w:r>
      <w:bookmarkStart w:id="0" w:name="_GoBack"/>
      <w:bookmarkEnd w:id="0"/>
      <w:r>
        <w:rPr>
          <w:rFonts w:hint="eastAsia" w:ascii="仿宋_GB2312" w:hAnsi="仿宋_GB2312" w:eastAsia="仿宋_GB2312"/>
          <w:sz w:val="32"/>
        </w:rPr>
        <w:t>港货店涉嫌销售违法药品的举报（编号：201708190059）作出的回复，</w:t>
      </w:r>
      <w:r>
        <w:rPr>
          <w:rFonts w:hint="eastAsia" w:ascii="仿宋_GB2312" w:hAnsi="仿宋_GB2312" w:eastAsia="仿宋_GB2312"/>
          <w:sz w:val="32"/>
          <w:szCs w:val="32"/>
        </w:rPr>
        <w:t>提出行政复议申请，市政府已依法受理。审查期间，</w:t>
      </w:r>
      <w:r>
        <w:rPr>
          <w:rFonts w:hint="eastAsia" w:ascii="仿宋_GB2312" w:hAnsi="方正黑体_GBK" w:eastAsia="仿宋_GB2312"/>
          <w:sz w:val="32"/>
          <w:szCs w:val="32"/>
        </w:rPr>
        <w:t>申请人</w:t>
      </w:r>
      <w:r>
        <w:rPr>
          <w:rFonts w:hint="eastAsia" w:ascii="仿宋_GB2312" w:hAnsi="仿宋_GB2312" w:eastAsia="仿宋_GB2312"/>
          <w:sz w:val="32"/>
          <w:szCs w:val="32"/>
        </w:rPr>
        <w:t>撤回该行政复议申请并说明了理由。根据《中华人民共和国行政复议法》第二十五条的规定，该行政复议终止。</w:t>
      </w:r>
    </w:p>
    <w:p>
      <w:pPr>
        <w:spacing w:line="600" w:lineRule="exact"/>
        <w:ind w:firstLine="640"/>
        <w:rPr>
          <w:rFonts w:ascii="仿宋_GB2312" w:hAnsi="仿宋_GB2312" w:eastAsia="仿宋_GB2312"/>
          <w:sz w:val="32"/>
          <w:szCs w:val="32"/>
        </w:rPr>
      </w:pPr>
      <w:r>
        <w:rPr>
          <w:rFonts w:hint="eastAsia" w:ascii="仿宋_GB2312" w:hAnsi="仿宋_GB2312" w:eastAsia="仿宋_GB2312"/>
          <w:sz w:val="32"/>
          <w:szCs w:val="32"/>
        </w:rPr>
        <w:t>特此通知。</w:t>
      </w:r>
    </w:p>
    <w:p>
      <w:pPr>
        <w:spacing w:line="600" w:lineRule="exact"/>
        <w:ind w:firstLine="640"/>
        <w:rPr>
          <w:rFonts w:ascii="仿宋_GB2312" w:hAnsi="仿宋_GB2312" w:eastAsia="仿宋_GB2312"/>
          <w:sz w:val="32"/>
          <w:szCs w:val="32"/>
        </w:rPr>
      </w:pPr>
      <w:r>
        <w:rPr>
          <w:rFonts w:hint="eastAsia" w:ascii="仿宋_GB2312" w:hAnsi="仿宋_GB2312" w:eastAsia="仿宋_GB2312"/>
          <w:sz w:val="32"/>
          <w:szCs w:val="32"/>
        </w:rPr>
        <w:t xml:space="preserve">       </w:t>
      </w:r>
    </w:p>
    <w:p>
      <w:pPr>
        <w:spacing w:line="600" w:lineRule="exact"/>
        <w:ind w:firstLine="640"/>
        <w:rPr>
          <w:rFonts w:ascii="仿宋_GB2312" w:hAnsi="仿宋_GB2312" w:eastAsia="仿宋_GB2312"/>
          <w:sz w:val="32"/>
          <w:szCs w:val="32"/>
        </w:rPr>
      </w:pPr>
    </w:p>
    <w:p>
      <w:pPr>
        <w:spacing w:line="600" w:lineRule="exact"/>
        <w:ind w:firstLine="640"/>
        <w:rPr>
          <w:rFonts w:ascii="仿宋_GB2312" w:hAnsi="仿宋_GB2312" w:eastAsia="仿宋_GB2312"/>
          <w:sz w:val="32"/>
          <w:szCs w:val="32"/>
        </w:rPr>
      </w:pPr>
    </w:p>
    <w:p>
      <w:pPr>
        <w:spacing w:line="600" w:lineRule="exact"/>
        <w:ind w:firstLine="640"/>
        <w:rPr>
          <w:rFonts w:ascii="仿宋_GB2312" w:hAnsi="仿宋_GB2312" w:eastAsia="仿宋_GB2312"/>
          <w:sz w:val="32"/>
          <w:szCs w:val="32"/>
        </w:rPr>
      </w:pPr>
    </w:p>
    <w:p>
      <w:pPr>
        <w:spacing w:line="600" w:lineRule="exact"/>
        <w:ind w:firstLine="3840"/>
        <w:rPr>
          <w:rFonts w:ascii="仿宋_GB2312" w:hAnsi="仿宋_GB2312" w:eastAsia="仿宋_GB2312"/>
          <w:sz w:val="32"/>
          <w:szCs w:val="32"/>
        </w:rPr>
      </w:pPr>
      <w:r>
        <w:rPr>
          <w:rFonts w:hint="eastAsia" w:ascii="仿宋_GB2312" w:hAnsi="仿宋_GB2312" w:eastAsia="仿宋_GB2312"/>
          <w:sz w:val="32"/>
          <w:szCs w:val="32"/>
        </w:rPr>
        <w:t>深圳市人民政府行政复议办公室</w:t>
      </w:r>
    </w:p>
    <w:p>
      <w:pPr>
        <w:spacing w:line="600" w:lineRule="exact"/>
        <w:ind w:firstLine="640"/>
        <w:rPr>
          <w:rFonts w:ascii="仿宋_GB2312" w:hAnsi="仿宋_GB2312" w:eastAsia="仿宋_GB2312"/>
          <w:sz w:val="32"/>
          <w:szCs w:val="32"/>
        </w:rPr>
      </w:pPr>
      <w:r>
        <w:rPr>
          <w:rFonts w:hint="eastAsia" w:ascii="仿宋_GB2312" w:hAnsi="仿宋_GB2312" w:eastAsia="仿宋_GB2312"/>
          <w:sz w:val="32"/>
          <w:szCs w:val="32"/>
        </w:rPr>
        <w:t xml:space="preserve">                           2018年2月12 日</w:t>
      </w:r>
    </w:p>
    <w:p/>
    <w:p/>
    <w:sectPr>
      <w:pgSz w:w="11906" w:h="16838"/>
      <w:pgMar w:top="1440" w:right="1753" w:bottom="1440" w:left="175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黑体_GBK">
    <w:altName w:val="Courier New"/>
    <w:panose1 w:val="00000000000000000000"/>
    <w:charset w:val="00"/>
    <w:family w:val="script"/>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90115C"/>
    <w:rsid w:val="00612F94"/>
    <w:rsid w:val="00887C6D"/>
    <w:rsid w:val="00DE676C"/>
    <w:rsid w:val="05685C93"/>
    <w:rsid w:val="10645078"/>
    <w:rsid w:val="111C2F99"/>
    <w:rsid w:val="168763F8"/>
    <w:rsid w:val="18856C7D"/>
    <w:rsid w:val="1A4078CE"/>
    <w:rsid w:val="25075DD3"/>
    <w:rsid w:val="2890115C"/>
    <w:rsid w:val="29E45D96"/>
    <w:rsid w:val="2F1064D8"/>
    <w:rsid w:val="3A0004FF"/>
    <w:rsid w:val="3A2E38C2"/>
    <w:rsid w:val="508F075A"/>
    <w:rsid w:val="517B6878"/>
    <w:rsid w:val="5B39090C"/>
    <w:rsid w:val="63427FAE"/>
    <w:rsid w:val="76D716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0"/>
    <w:pPr>
      <w:keepNext/>
      <w:keepLines/>
      <w:spacing w:before="340" w:after="330" w:line="360" w:lineRule="auto"/>
      <w:jc w:val="center"/>
      <w:outlineLvl w:val="0"/>
    </w:pPr>
    <w:rPr>
      <w:rFonts w:eastAsia="黑体"/>
      <w:b/>
      <w:kern w:val="44"/>
      <w:sz w:val="32"/>
    </w:rPr>
  </w:style>
  <w:style w:type="paragraph" w:styleId="3">
    <w:name w:val="heading 2"/>
    <w:basedOn w:val="1"/>
    <w:next w:val="1"/>
    <w:link w:val="9"/>
    <w:unhideWhenUsed/>
    <w:qFormat/>
    <w:uiPriority w:val="0"/>
    <w:pPr>
      <w:tabs>
        <w:tab w:val="left" w:pos="0"/>
      </w:tabs>
      <w:spacing w:before="50" w:beforeLines="50" w:after="50" w:afterLines="50" w:line="312" w:lineRule="auto"/>
      <w:ind w:firstLine="200" w:firstLineChars="200"/>
      <w:outlineLvl w:val="1"/>
    </w:pPr>
    <w:rPr>
      <w:rFonts w:ascii="楷体" w:hAnsi="楷体" w:eastAsia="楷体"/>
      <w:b/>
      <w:sz w:val="28"/>
      <w:szCs w:val="28"/>
    </w:rPr>
  </w:style>
  <w:style w:type="paragraph" w:styleId="4">
    <w:name w:val="heading 3"/>
    <w:basedOn w:val="1"/>
    <w:next w:val="1"/>
    <w:unhideWhenUsed/>
    <w:qFormat/>
    <w:uiPriority w:val="0"/>
    <w:pPr>
      <w:keepNext/>
      <w:keepLines/>
      <w:spacing w:before="260" w:after="260" w:line="312" w:lineRule="auto"/>
      <w:outlineLvl w:val="2"/>
    </w:pPr>
    <w:rPr>
      <w:b/>
      <w:sz w:val="24"/>
    </w:rPr>
  </w:style>
  <w:style w:type="character" w:default="1" w:styleId="7">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5">
    <w:name w:val="footer"/>
    <w:basedOn w:val="1"/>
    <w:link w:val="11"/>
    <w:uiPriority w:val="0"/>
    <w:pPr>
      <w:tabs>
        <w:tab w:val="center" w:pos="4153"/>
        <w:tab w:val="right" w:pos="8306"/>
      </w:tabs>
      <w:snapToGrid w:val="0"/>
      <w:jc w:val="left"/>
    </w:pPr>
    <w:rPr>
      <w:sz w:val="18"/>
      <w:szCs w:val="18"/>
    </w:rPr>
  </w:style>
  <w:style w:type="paragraph" w:styleId="6">
    <w:name w:val="header"/>
    <w:basedOn w:val="1"/>
    <w:link w:val="10"/>
    <w:uiPriority w:val="0"/>
    <w:pPr>
      <w:pBdr>
        <w:bottom w:val="single" w:color="auto" w:sz="6" w:space="1"/>
      </w:pBdr>
      <w:tabs>
        <w:tab w:val="center" w:pos="4153"/>
        <w:tab w:val="right" w:pos="8306"/>
      </w:tabs>
      <w:snapToGrid w:val="0"/>
      <w:jc w:val="center"/>
    </w:pPr>
    <w:rPr>
      <w:sz w:val="18"/>
      <w:szCs w:val="18"/>
    </w:rPr>
  </w:style>
  <w:style w:type="character" w:customStyle="1" w:styleId="9">
    <w:name w:val="标题 2 Char"/>
    <w:link w:val="3"/>
    <w:qFormat/>
    <w:uiPriority w:val="9"/>
    <w:rPr>
      <w:rFonts w:ascii="楷体" w:hAnsi="楷体" w:eastAsia="楷体"/>
      <w:b/>
      <w:sz w:val="28"/>
      <w:szCs w:val="28"/>
    </w:rPr>
  </w:style>
  <w:style w:type="character" w:customStyle="1" w:styleId="10">
    <w:name w:val="页眉 Char"/>
    <w:basedOn w:val="7"/>
    <w:link w:val="6"/>
    <w:qFormat/>
    <w:uiPriority w:val="0"/>
    <w:rPr>
      <w:sz w:val="18"/>
      <w:szCs w:val="18"/>
    </w:rPr>
  </w:style>
  <w:style w:type="character" w:customStyle="1" w:styleId="11">
    <w:name w:val="页脚 Char"/>
    <w:basedOn w:val="7"/>
    <w:link w:val="5"/>
    <w:qFormat/>
    <w:uiPriority w:val="0"/>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42</Words>
  <Characters>245</Characters>
  <Lines>2</Lines>
  <Paragraphs>1</Paragraphs>
  <TotalTime>0</TotalTime>
  <ScaleCrop>false</ScaleCrop>
  <LinksUpToDate>false</LinksUpToDate>
  <CharactersWithSpaces>286</CharactersWithSpaces>
  <Application>WPS Office_10.1.0.7697_F1E327BC-269C-435d-A152-05C5408002CA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2018-02-12T01:39:00Z</dcterms:created>
  <dc:creator>Administrator</dc:creator>
  <cp:lastModifiedBy>乐乐</cp:lastModifiedBy>
  <dcterms:modified xsi:type="dcterms:W3CDTF">2018-12-24T14:51:50Z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