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42" w:rsidRPr="007B7095" w:rsidRDefault="00F31942" w:rsidP="00483A5C">
      <w:pPr>
        <w:spacing w:line="276" w:lineRule="auto"/>
        <w:jc w:val="center"/>
        <w:rPr>
          <w:rFonts w:ascii="宋体" w:hAnsi="宋体"/>
          <w:kern w:val="1"/>
          <w:sz w:val="44"/>
          <w:szCs w:val="24"/>
          <w:lang w:eastAsia="ar-SA"/>
        </w:rPr>
      </w:pPr>
      <w:r w:rsidRPr="007B7095">
        <w:rPr>
          <w:rFonts w:ascii="宋体" w:hAnsi="宋体"/>
          <w:kern w:val="1"/>
          <w:sz w:val="44"/>
          <w:szCs w:val="24"/>
          <w:lang w:eastAsia="ar-SA"/>
        </w:rPr>
        <w:t>深  圳  市  人  民  政  府</w:t>
      </w:r>
    </w:p>
    <w:p w:rsidR="00F31942" w:rsidRPr="007B7095" w:rsidRDefault="00F31942" w:rsidP="00F31942">
      <w:pPr>
        <w:spacing w:line="276" w:lineRule="auto"/>
        <w:jc w:val="center"/>
        <w:rPr>
          <w:rFonts w:ascii="宋体" w:hAnsi="宋体"/>
          <w:b/>
          <w:bCs/>
          <w:kern w:val="1"/>
          <w:sz w:val="44"/>
          <w:szCs w:val="24"/>
          <w:lang w:eastAsia="ar-SA"/>
        </w:rPr>
      </w:pPr>
      <w:r w:rsidRPr="007B7095">
        <w:rPr>
          <w:rFonts w:ascii="宋体" w:hAnsi="宋体"/>
          <w:b/>
          <w:bCs/>
          <w:kern w:val="1"/>
          <w:sz w:val="44"/>
          <w:szCs w:val="24"/>
          <w:lang w:eastAsia="ar-SA"/>
        </w:rPr>
        <w:t>行政复议决定书</w:t>
      </w:r>
    </w:p>
    <w:p w:rsidR="00F31942" w:rsidRPr="007B7095" w:rsidRDefault="00F31942" w:rsidP="00F31942">
      <w:pPr>
        <w:spacing w:line="276" w:lineRule="auto"/>
        <w:jc w:val="center"/>
      </w:pPr>
    </w:p>
    <w:p w:rsidR="00F31942" w:rsidRPr="007B7095" w:rsidRDefault="00F31942" w:rsidP="00483A5C">
      <w:pPr>
        <w:wordWrap w:val="0"/>
        <w:spacing w:line="276" w:lineRule="auto"/>
        <w:jc w:val="right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b/>
          <w:bCs/>
          <w:sz w:val="36"/>
        </w:rPr>
        <w:t xml:space="preserve">       </w:t>
      </w:r>
      <w:r w:rsidRPr="007B7095">
        <w:rPr>
          <w:rFonts w:eastAsia="仿宋_GB2312"/>
          <w:b/>
          <w:bCs/>
          <w:sz w:val="36"/>
        </w:rPr>
        <w:t xml:space="preserve">                  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深府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行复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〔20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18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〕</w:t>
      </w:r>
      <w:r w:rsidR="001E7CC8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7</w:t>
      </w:r>
      <w:r w:rsidR="00DD7E9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29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号</w:t>
      </w:r>
    </w:p>
    <w:p w:rsidR="00F31942" w:rsidRPr="007B7095" w:rsidRDefault="00F31942" w:rsidP="005F0B7C">
      <w:pPr>
        <w:adjustRightInd w:val="0"/>
        <w:snapToGrid w:val="0"/>
        <w:spacing w:line="360" w:lineRule="auto"/>
        <w:rPr>
          <w:rFonts w:eastAsia="仿宋_GB2312"/>
          <w:sz w:val="32"/>
          <w:u w:val="single"/>
        </w:rPr>
      </w:pPr>
    </w:p>
    <w:p w:rsidR="001E7CC8" w:rsidRPr="007B7095" w:rsidRDefault="00F31942" w:rsidP="005F0B7C">
      <w:pPr>
        <w:adjustRightInd w:val="0"/>
        <w:snapToGrid w:val="0"/>
        <w:spacing w:line="360" w:lineRule="auto"/>
        <w:ind w:firstLineChars="200" w:firstLine="640"/>
        <w:rPr>
          <w:rFonts w:eastAsia="仿宋_GB2312"/>
          <w:kern w:val="1"/>
          <w:sz w:val="32"/>
          <w:szCs w:val="24"/>
        </w:rPr>
      </w:pPr>
      <w:r w:rsidRPr="007B7095">
        <w:rPr>
          <w:rFonts w:eastAsia="黑体"/>
          <w:kern w:val="1"/>
          <w:sz w:val="32"/>
          <w:szCs w:val="24"/>
          <w:lang w:eastAsia="ar-SA"/>
        </w:rPr>
        <w:t>申请人：</w:t>
      </w:r>
      <w:r w:rsidR="00DD7E94" w:rsidRPr="007B7095">
        <w:rPr>
          <w:rFonts w:eastAsia="仿宋_GB2312"/>
          <w:kern w:val="1"/>
          <w:sz w:val="32"/>
          <w:szCs w:val="24"/>
        </w:rPr>
        <w:t>深圳市</w:t>
      </w:r>
      <w:r w:rsidR="007B709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××</w:t>
      </w:r>
      <w:r w:rsidR="00DD7E94" w:rsidRPr="007B7095">
        <w:rPr>
          <w:rFonts w:eastAsia="仿宋_GB2312"/>
          <w:kern w:val="1"/>
          <w:sz w:val="32"/>
          <w:szCs w:val="24"/>
        </w:rPr>
        <w:t>科技有限公司</w:t>
      </w:r>
    </w:p>
    <w:p w:rsidR="005F0B7C" w:rsidRPr="007B7095" w:rsidRDefault="005F0B7C" w:rsidP="005F0B7C">
      <w:pPr>
        <w:adjustRightInd w:val="0"/>
        <w:snapToGrid w:val="0"/>
        <w:spacing w:line="360" w:lineRule="auto"/>
        <w:ind w:firstLineChars="200" w:firstLine="640"/>
        <w:rPr>
          <w:rFonts w:eastAsia="仿宋_GB2312"/>
          <w:kern w:val="1"/>
          <w:sz w:val="32"/>
          <w:szCs w:val="24"/>
        </w:rPr>
      </w:pPr>
      <w:r w:rsidRPr="007B7095">
        <w:rPr>
          <w:rFonts w:eastAsia="仿宋_GB2312" w:hint="eastAsia"/>
          <w:kern w:val="1"/>
          <w:sz w:val="32"/>
          <w:szCs w:val="24"/>
        </w:rPr>
        <w:t>委托代理人：孙雷，广东冠杰律师事务所律师</w:t>
      </w:r>
    </w:p>
    <w:p w:rsidR="00F31942" w:rsidRPr="007B7095" w:rsidRDefault="00F31942" w:rsidP="005F0B7C">
      <w:pPr>
        <w:adjustRightInd w:val="0"/>
        <w:snapToGrid w:val="0"/>
        <w:spacing w:line="360" w:lineRule="auto"/>
        <w:ind w:firstLineChars="200" w:firstLine="640"/>
        <w:rPr>
          <w:rFonts w:eastAsia="仿宋_GB2312"/>
          <w:kern w:val="1"/>
          <w:sz w:val="32"/>
          <w:szCs w:val="24"/>
        </w:rPr>
      </w:pPr>
      <w:r w:rsidRPr="007B7095">
        <w:rPr>
          <w:rFonts w:eastAsia="黑体"/>
          <w:kern w:val="1"/>
          <w:sz w:val="32"/>
          <w:szCs w:val="24"/>
          <w:lang w:eastAsia="ar-SA"/>
        </w:rPr>
        <w:t>被申请人：</w:t>
      </w:r>
      <w:r w:rsidRPr="007B7095">
        <w:rPr>
          <w:rFonts w:eastAsia="仿宋_GB2312" w:hint="eastAsia"/>
          <w:kern w:val="1"/>
          <w:sz w:val="32"/>
          <w:szCs w:val="24"/>
        </w:rPr>
        <w:t>深圳市人力资源和社会保障局</w:t>
      </w:r>
    </w:p>
    <w:p w:rsidR="00F31942" w:rsidRPr="007B7095" w:rsidRDefault="00F31942" w:rsidP="005F0B7C">
      <w:pPr>
        <w:adjustRightInd w:val="0"/>
        <w:snapToGrid w:val="0"/>
        <w:spacing w:line="360" w:lineRule="auto"/>
        <w:ind w:firstLineChars="200" w:firstLine="640"/>
        <w:rPr>
          <w:rFonts w:eastAsia="仿宋_GB2312"/>
          <w:kern w:val="1"/>
          <w:sz w:val="32"/>
          <w:szCs w:val="24"/>
        </w:rPr>
      </w:pPr>
      <w:r w:rsidRPr="007B7095">
        <w:rPr>
          <w:rFonts w:eastAsia="仿宋_GB2312"/>
          <w:kern w:val="1"/>
          <w:sz w:val="32"/>
          <w:szCs w:val="24"/>
        </w:rPr>
        <w:t>地址：</w:t>
      </w:r>
      <w:r w:rsidRPr="007B7095">
        <w:rPr>
          <w:rFonts w:eastAsia="仿宋_GB2312" w:hint="eastAsia"/>
          <w:kern w:val="1"/>
          <w:sz w:val="32"/>
          <w:szCs w:val="24"/>
        </w:rPr>
        <w:t>深圳市福田区深南大道</w:t>
      </w:r>
      <w:r w:rsidRPr="007B7095">
        <w:rPr>
          <w:rFonts w:eastAsia="仿宋_GB2312" w:hint="eastAsia"/>
          <w:kern w:val="1"/>
          <w:sz w:val="32"/>
          <w:szCs w:val="24"/>
        </w:rPr>
        <w:t>8005</w:t>
      </w:r>
      <w:r w:rsidRPr="007B7095">
        <w:rPr>
          <w:rFonts w:eastAsia="仿宋_GB2312" w:hint="eastAsia"/>
          <w:kern w:val="1"/>
          <w:sz w:val="32"/>
          <w:szCs w:val="24"/>
        </w:rPr>
        <w:t>号深圳</w:t>
      </w:r>
      <w:proofErr w:type="gramStart"/>
      <w:r w:rsidRPr="007B7095">
        <w:rPr>
          <w:rFonts w:eastAsia="仿宋_GB2312" w:hint="eastAsia"/>
          <w:kern w:val="1"/>
          <w:sz w:val="32"/>
          <w:szCs w:val="24"/>
        </w:rPr>
        <w:t>人才园</w:t>
      </w:r>
      <w:proofErr w:type="gramEnd"/>
      <w:r w:rsidRPr="007B7095">
        <w:rPr>
          <w:rFonts w:eastAsia="仿宋_GB2312" w:hint="eastAsia"/>
          <w:kern w:val="1"/>
          <w:sz w:val="32"/>
          <w:szCs w:val="24"/>
        </w:rPr>
        <w:t xml:space="preserve">　</w:t>
      </w:r>
    </w:p>
    <w:p w:rsidR="00F31942" w:rsidRPr="007B7095" w:rsidRDefault="00F31942" w:rsidP="005F0B7C">
      <w:pPr>
        <w:adjustRightInd w:val="0"/>
        <w:snapToGrid w:val="0"/>
        <w:spacing w:line="360" w:lineRule="auto"/>
        <w:ind w:firstLineChars="200" w:firstLine="640"/>
        <w:rPr>
          <w:rFonts w:eastAsia="仿宋_GB2312"/>
          <w:kern w:val="1"/>
          <w:sz w:val="32"/>
          <w:szCs w:val="24"/>
        </w:rPr>
      </w:pPr>
      <w:r w:rsidRPr="007B7095">
        <w:rPr>
          <w:rFonts w:eastAsia="仿宋_GB2312"/>
          <w:kern w:val="1"/>
          <w:sz w:val="32"/>
          <w:szCs w:val="24"/>
        </w:rPr>
        <w:t>法定代表人：</w:t>
      </w:r>
      <w:r w:rsidR="00EA2381" w:rsidRPr="007B7095">
        <w:rPr>
          <w:rFonts w:eastAsia="仿宋_GB2312" w:hint="eastAsia"/>
          <w:kern w:val="1"/>
          <w:sz w:val="32"/>
          <w:szCs w:val="24"/>
        </w:rPr>
        <w:t>孙福金</w:t>
      </w:r>
      <w:r w:rsidRPr="007B7095">
        <w:rPr>
          <w:rFonts w:eastAsia="仿宋_GB2312" w:hint="eastAsia"/>
          <w:kern w:val="1"/>
          <w:sz w:val="32"/>
          <w:szCs w:val="24"/>
        </w:rPr>
        <w:t>，局长</w:t>
      </w:r>
    </w:p>
    <w:p w:rsidR="00F31942" w:rsidRPr="007B7095" w:rsidRDefault="00F31942" w:rsidP="005F0B7C">
      <w:pPr>
        <w:adjustRightInd w:val="0"/>
        <w:snapToGrid w:val="0"/>
        <w:spacing w:line="360" w:lineRule="auto"/>
        <w:ind w:firstLineChars="200" w:firstLine="640"/>
        <w:rPr>
          <w:rFonts w:eastAsia="仿宋_GB2312"/>
          <w:kern w:val="1"/>
          <w:sz w:val="32"/>
          <w:szCs w:val="24"/>
        </w:rPr>
      </w:pPr>
      <w:r w:rsidRPr="007B7095">
        <w:rPr>
          <w:rFonts w:eastAsia="仿宋_GB2312" w:hint="eastAsia"/>
          <w:kern w:val="1"/>
          <w:sz w:val="32"/>
          <w:szCs w:val="24"/>
        </w:rPr>
        <w:t>委托代理人：</w:t>
      </w:r>
      <w:r w:rsidR="005F0B7C" w:rsidRPr="007B7095">
        <w:rPr>
          <w:rFonts w:eastAsia="仿宋_GB2312" w:hint="eastAsia"/>
          <w:kern w:val="1"/>
          <w:sz w:val="32"/>
          <w:szCs w:val="24"/>
        </w:rPr>
        <w:t>谢芷环，曾海棠</w:t>
      </w:r>
      <w:r w:rsidR="00B901D7" w:rsidRPr="007B7095">
        <w:rPr>
          <w:rFonts w:eastAsia="仿宋_GB2312" w:hint="eastAsia"/>
          <w:kern w:val="1"/>
          <w:sz w:val="32"/>
          <w:szCs w:val="24"/>
        </w:rPr>
        <w:t>，</w:t>
      </w:r>
      <w:r w:rsidRPr="007B7095">
        <w:rPr>
          <w:rFonts w:eastAsia="仿宋_GB2312" w:hint="eastAsia"/>
          <w:kern w:val="1"/>
          <w:sz w:val="32"/>
          <w:szCs w:val="24"/>
        </w:rPr>
        <w:t>广东中全律师事务所律师</w:t>
      </w:r>
    </w:p>
    <w:p w:rsidR="00793DFD" w:rsidRPr="007B7095" w:rsidRDefault="00793DFD" w:rsidP="00CF66D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</w:p>
    <w:p w:rsidR="00F31942" w:rsidRPr="007B7095" w:rsidRDefault="00B901D7" w:rsidP="00B901D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申请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人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不服被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申请人于2018年</w:t>
      </w:r>
      <w:r w:rsidR="00B665CE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6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月</w:t>
      </w:r>
      <w:r w:rsidR="005F0B7C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7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日</w:t>
      </w:r>
      <w:r w:rsidR="00B665CE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作出的</w:t>
      </w:r>
      <w:r w:rsidR="005F0B7C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深人社认字（光）【2018】第</w:t>
      </w:r>
      <w:r w:rsidR="007B709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××</w:t>
      </w:r>
      <w:r w:rsidR="005F0B7C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号《深圳市工伤认定书》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，</w:t>
      </w:r>
      <w:r w:rsidR="00F31942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向</w:t>
      </w:r>
      <w:r w:rsidR="008A4499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本机关</w:t>
      </w:r>
      <w:r w:rsidR="00F31942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申请行政复议，</w:t>
      </w:r>
      <w:r w:rsidR="008A4499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本机关</w:t>
      </w:r>
      <w:r w:rsidR="00F31942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依法受理。被申请人向</w:t>
      </w:r>
      <w:r w:rsidR="008A4499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本机关</w:t>
      </w:r>
      <w:r w:rsidR="00F31942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提交了书面答复及作出该具体行政行为的有关证据和依据。本案现已审理终结。</w:t>
      </w:r>
    </w:p>
    <w:p w:rsidR="005F0B7C" w:rsidRPr="007B7095" w:rsidRDefault="00F31942" w:rsidP="00EC5B1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黑体" w:eastAsia="黑体" w:hAnsi="黑体" w:cs="仿宋_GB2312"/>
          <w:kern w:val="1"/>
          <w:sz w:val="32"/>
          <w:szCs w:val="32"/>
          <w:lang w:eastAsia="ar-SA"/>
        </w:rPr>
        <w:t>申请人称：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2017年12月21日，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谭某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在正常上班期间，无视申请人公司的纪律，擅自脱岗找其他员工玩耍，由此造成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谭某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被机械压伤右手。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谭某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的上述伤害事件完全是其个人原因造成，与履行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的工作任务没有任何关联。但是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，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被申请人在受理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谭某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提出的工伤认定申请后，误听误信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谭某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的一面之词，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lastRenderedPageBreak/>
        <w:t>并作出的编号为深人社认字（光）【2018】第</w:t>
      </w:r>
      <w:r w:rsidR="007B7095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××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号工伤认定书，将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谭某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上述完全与工作无关的伤害事件认定为工伤，不符合《工伤保险条例》的规定。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请求</w:t>
      </w:r>
      <w:r w:rsidR="00F76631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：</w:t>
      </w:r>
      <w:r w:rsidR="00EC5B11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撤销</w:t>
      </w:r>
      <w:r w:rsidR="00BD6D5A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</w:t>
      </w:r>
      <w:r w:rsidR="009537F4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作出的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深人社认字（光）【2018】第</w:t>
      </w:r>
      <w:r w:rsidR="007B7095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××</w:t>
      </w:r>
      <w:r w:rsidR="005F0B7C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号工伤认定书。</w:t>
      </w:r>
    </w:p>
    <w:p w:rsidR="00F76631" w:rsidRPr="007B7095" w:rsidRDefault="00F31942" w:rsidP="009537F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eastAsia="黑体"/>
          <w:sz w:val="32"/>
        </w:rPr>
        <w:t>被申请人答复称：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申请人的请求没有依据,被申请人的具体行政行为符合条例的规定，依据充分，程序合法。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理由如下：</w:t>
      </w:r>
    </w:p>
    <w:p w:rsidR="009537F4" w:rsidRPr="007B7095" w:rsidRDefault="009537F4" w:rsidP="009537F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一、事实依据。1.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与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之间存在劳动关系。依照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、申请人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向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提交的相关材料，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确认双方对其之间存在的劳动关系没有异议。2.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系在工作时间和工作场所，因工作原因受伤。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、申请人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向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共同申报并主张，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系在工作期间遭受机械意外伤害，并提交了病历、证人证言等材料证实其主张；其中病史记载为“今天14:00左右工作时，右手不慎被机器压伤”。故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依法认定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 xml:space="preserve">谭某 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属工伤。</w:t>
      </w:r>
    </w:p>
    <w:p w:rsidR="009537F4" w:rsidRPr="007B7095" w:rsidRDefault="009537F4" w:rsidP="009537F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二、条例依据。根据以上事实，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认为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受伤之情形符合《广东省工伤保险条例》第九条第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（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一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）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项的规定，认定其属于工伤。</w:t>
      </w:r>
    </w:p>
    <w:p w:rsidR="009537F4" w:rsidRPr="007B7095" w:rsidRDefault="00317F55" w:rsidP="009537F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三、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申请人的复议主张不成立。申请人申请复议时主张，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系擅自脱岗找其他员工玩耍造成违规受伤。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被申请人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认为，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申报时认可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因工导致机械伤害；另提交的证据足已证实其是在工作期间因工作受伤，其情形符合《广东省工伤保险条例》第九条第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（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一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）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项的规定，认定职工属于工伤符合事实与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lastRenderedPageBreak/>
        <w:t>法律。其次，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被申请人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主张的 “串岗玩耍”没有事实依据，且经查实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9537F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系正常的履行工作职责而致意外；且工伤认定适用无过错原则，违规不属排除认定为工伤的法定条件。</w:t>
      </w:r>
    </w:p>
    <w:p w:rsidR="00F31942" w:rsidRPr="007B7095" w:rsidRDefault="00F31942" w:rsidP="00276E4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eastAsia="黑体"/>
          <w:sz w:val="32"/>
        </w:rPr>
        <w:t>经查：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201</w:t>
      </w:r>
      <w:r w:rsidR="00587C2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8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年</w:t>
      </w:r>
      <w:r w:rsidR="004B64A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5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月</w:t>
      </w:r>
      <w:r w:rsidR="004B64A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</w:t>
      </w:r>
      <w:r w:rsidR="002456F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4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日，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向被申请人申请工伤认定，称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EC7E1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系</w:t>
      </w:r>
      <w:r w:rsidR="00844723" w:rsidRPr="007B7095">
        <w:rPr>
          <w:rFonts w:ascii="仿宋_GB2312" w:eastAsia="仿宋_GB2312" w:hAnsi="仿宋_GB2312" w:hint="eastAsia"/>
          <w:kern w:val="1"/>
          <w:sz w:val="32"/>
          <w:szCs w:val="24"/>
        </w:rPr>
        <w:t>其</w:t>
      </w:r>
      <w:r w:rsidR="00EC7E1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职工，任职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操作员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，其于20</w:t>
      </w:r>
      <w:r w:rsidR="00E9678C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17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年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9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月</w:t>
      </w:r>
      <w:r w:rsidR="00E9678C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5</w:t>
      </w:r>
      <w:r w:rsidR="00EC7E1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日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下午14:00在申请人公司生产现场操作机器时</w:t>
      </w:r>
      <w:r w:rsidR="00583FF2" w:rsidRPr="007B7095">
        <w:rPr>
          <w:rFonts w:ascii="仿宋_GB2312" w:eastAsia="仿宋_GB2312" w:hAnsi="仿宋_GB2312" w:hint="eastAsia"/>
          <w:kern w:val="1"/>
          <w:sz w:val="32"/>
          <w:szCs w:val="24"/>
        </w:rPr>
        <w:t>，</w:t>
      </w:r>
      <w:r w:rsidR="00317F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因机器发生故障</w:t>
      </w:r>
      <w:r w:rsidR="004B64A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致使右食、中、环、小指中末节受伤</w:t>
      </w:r>
      <w:r w:rsidR="00EE4804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。</w:t>
      </w:r>
      <w:r w:rsidR="007A5F8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申请人向被申请人提交了</w:t>
      </w:r>
      <w:r w:rsidR="00844723" w:rsidRPr="007B7095">
        <w:rPr>
          <w:rFonts w:ascii="仿宋_GB2312" w:eastAsia="仿宋_GB2312" w:hAnsi="仿宋_GB2312" w:hint="eastAsia"/>
          <w:kern w:val="1"/>
          <w:sz w:val="32"/>
          <w:szCs w:val="24"/>
        </w:rPr>
        <w:t>《</w:t>
      </w:r>
      <w:r w:rsidR="007A5F8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工伤认定申请表</w:t>
      </w:r>
      <w:r w:rsidR="00844723" w:rsidRPr="007B7095">
        <w:rPr>
          <w:rFonts w:ascii="仿宋_GB2312" w:eastAsia="仿宋_GB2312" w:hAnsi="仿宋_GB2312" w:hint="eastAsia"/>
          <w:kern w:val="1"/>
          <w:sz w:val="32"/>
          <w:szCs w:val="24"/>
        </w:rPr>
        <w:t>》</w:t>
      </w:r>
      <w:r w:rsidR="0084472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《深圳市光明新区人民医院初诊门诊病历》《深圳市光明新区人民医院疾病诊断证明书》《中国人民武装警察边防部队总医院诊断证明书》《证言证词》的</w:t>
      </w:r>
      <w:r w:rsidR="00EE2D6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原件</w:t>
      </w:r>
      <w:r w:rsidR="0084472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各</w:t>
      </w:r>
      <w:r w:rsidR="00EE2D6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一份</w:t>
      </w:r>
      <w:r w:rsidR="002456F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；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 xml:space="preserve">谭某 </w:t>
      </w:r>
      <w:r w:rsidR="007E72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的</w:t>
      </w:r>
      <w:r w:rsidR="0084472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身份证、劳动合同、考勤记录表的</w:t>
      </w:r>
      <w:r w:rsidR="00C43A9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复</w:t>
      </w:r>
      <w:r w:rsidR="00906746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印</w:t>
      </w:r>
      <w:r w:rsidR="00C43A9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件</w:t>
      </w:r>
      <w:r w:rsidR="002456F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各</w:t>
      </w:r>
      <w:r w:rsidR="00C43A9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一份</w:t>
      </w:r>
      <w:r w:rsidR="002456F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。</w:t>
      </w:r>
      <w:r w:rsidR="00F946FA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2018年5月</w:t>
      </w:r>
      <w:r w:rsidR="002456F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29</w:t>
      </w:r>
      <w:r w:rsidR="00F946FA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日，被申请人决定受理</w:t>
      </w:r>
      <w:r w:rsidR="002456F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</w:t>
      </w:r>
      <w:r w:rsidR="00F946FA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提交的工伤认定申请。</w:t>
      </w:r>
      <w:r w:rsidR="007A5F8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2018年</w:t>
      </w:r>
      <w:r w:rsidR="00E519E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6</w:t>
      </w:r>
      <w:r w:rsidR="007A5F8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月</w:t>
      </w:r>
      <w:r w:rsidR="002456F7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7</w:t>
      </w:r>
      <w:r w:rsidR="007A5F8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日，被申请人作出</w:t>
      </w:r>
      <w:r w:rsidR="007E7255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深人社认字（光）【2018】第</w:t>
      </w:r>
      <w:r w:rsidR="007B7095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××</w:t>
      </w:r>
      <w:r w:rsidR="007E7255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号</w:t>
      </w:r>
      <w:r w:rsidR="007E72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《深圳市工伤认定书》</w:t>
      </w:r>
      <w:r w:rsidR="007A5F8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，</w:t>
      </w:r>
      <w:r w:rsidR="00A11A8B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认为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7E725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右食、中、环、小指中末节受伤</w:t>
      </w:r>
      <w:r w:rsidR="00E519E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的情形符合</w:t>
      </w:r>
      <w:r w:rsidR="00082C7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《广东省工伤保险条例》</w:t>
      </w:r>
      <w:r w:rsidR="00E519E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第九条第</w:t>
      </w:r>
      <w:r w:rsidR="00CA6FE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（</w:t>
      </w:r>
      <w:r w:rsidR="00E519E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一</w:t>
      </w:r>
      <w:r w:rsidR="00CA6FE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）</w:t>
      </w:r>
      <w:r w:rsidR="00E519E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项的规定</w:t>
      </w:r>
      <w:r w:rsidR="00082C7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，</w:t>
      </w:r>
      <w:r w:rsidR="00E519E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认定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 xml:space="preserve">谭某 </w:t>
      </w:r>
      <w:r w:rsidR="00E519E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属工伤</w:t>
      </w:r>
      <w:r w:rsidR="00082C7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。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申请人不服，申请行政复议。</w:t>
      </w:r>
    </w:p>
    <w:p w:rsidR="0070580C" w:rsidRPr="007B7095" w:rsidRDefault="00082C72" w:rsidP="0070580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eastAsia="黑体" w:hint="eastAsia"/>
          <w:sz w:val="32"/>
        </w:rPr>
        <w:t>本机关</w:t>
      </w:r>
      <w:r w:rsidR="00F31942" w:rsidRPr="007B7095">
        <w:rPr>
          <w:rFonts w:eastAsia="黑体"/>
          <w:sz w:val="32"/>
        </w:rPr>
        <w:t>认为：</w:t>
      </w:r>
      <w:r w:rsidR="00172100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本案中</w:t>
      </w:r>
      <w:r w:rsidR="0017210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，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E3576E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在工作时间、工作场所操作机器时因机器发生故障导致手指受伤。上述事实有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谭某</w:t>
      </w:r>
      <w:r w:rsidR="00666639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和</w:t>
      </w:r>
      <w:r w:rsidR="00E3576E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</w:t>
      </w:r>
      <w:r w:rsidR="00666639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共同签字确认的</w:t>
      </w:r>
      <w:r w:rsidR="00E3576E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工伤认定申请表、证人证言等证据予以证实</w:t>
      </w:r>
      <w:r w:rsidR="007A0718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。故</w:t>
      </w:r>
      <w:r w:rsidR="005360D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 xml:space="preserve">谭某 </w:t>
      </w:r>
      <w:r w:rsidR="00172100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受伤情形</w:t>
      </w:r>
      <w:r w:rsidR="0070580C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符合《广东省工伤保险条例》第九条第（一）项规定的应当认定为工伤的情形</w:t>
      </w:r>
      <w:r w:rsidR="0017210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。</w:t>
      </w:r>
      <w:r w:rsidR="007A0718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因此</w:t>
      </w:r>
      <w:r w:rsidR="00172100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，</w:t>
      </w:r>
      <w:r w:rsidR="0070580C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被申请人作出的工伤认定并无违法或不当，依法应当维持。</w:t>
      </w:r>
    </w:p>
    <w:p w:rsidR="007E435F" w:rsidRPr="007B7095" w:rsidRDefault="00172100" w:rsidP="007E435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lastRenderedPageBreak/>
        <w:t>申请人主张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谭某</w:t>
      </w: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“</w:t>
      </w:r>
      <w:r w:rsidR="00E3576E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擅自脱岗找其他员工玩耍</w:t>
      </w:r>
      <w:r w:rsidR="00E24F9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”</w:t>
      </w:r>
      <w:r w:rsidR="00E3576E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造成</w:t>
      </w:r>
      <w:r w:rsidR="00E24F93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其</w:t>
      </w:r>
      <w:r w:rsidR="00E3576E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被机械压伤右手</w:t>
      </w:r>
      <w:r w:rsidR="007A0718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。本机关认为，</w:t>
      </w:r>
      <w:r w:rsidR="005C4C4E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因</w:t>
      </w:r>
      <w:r w:rsidR="007E435F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申请人未能举证证明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 xml:space="preserve">谭某 </w:t>
      </w:r>
      <w:r w:rsidR="007E435F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存在《广东省工伤保险条例》第十一条规定的不得认定为工伤或者视同工伤的情形，故</w:t>
      </w:r>
      <w:r w:rsidR="005360DD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 xml:space="preserve">谭某 </w:t>
      </w:r>
      <w:r w:rsidR="007E435F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受伤时是否存在过错不影响本案的工伤认定。</w:t>
      </w:r>
    </w:p>
    <w:p w:rsidR="00F31942" w:rsidRPr="007B7095" w:rsidRDefault="00A2342F" w:rsidP="00346BC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综上，</w:t>
      </w:r>
      <w:r w:rsidR="00F3194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申请人的复议请求缺乏</w:t>
      </w:r>
      <w:r w:rsidR="007E435F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事实与</w:t>
      </w:r>
      <w:r w:rsidR="00F3194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法律依据，</w:t>
      </w:r>
      <w:r w:rsidR="00346BC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本机关</w:t>
      </w:r>
      <w:r w:rsidR="00F3194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不予支持。</w:t>
      </w:r>
      <w:r w:rsidR="00F31942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根据《中华人民共和国行政复议法》第二十八条第一款第（一）项的规定，</w:t>
      </w:r>
      <w:r w:rsidR="00346BC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本机关</w:t>
      </w:r>
      <w:r w:rsidR="00F31942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作出复议决定如下：</w:t>
      </w:r>
    </w:p>
    <w:p w:rsidR="00F31942" w:rsidRPr="007B7095" w:rsidRDefault="00F31942" w:rsidP="00346BCD">
      <w:pPr>
        <w:adjustRightInd w:val="0"/>
        <w:snapToGrid w:val="0"/>
        <w:spacing w:line="360" w:lineRule="auto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 xml:space="preserve">    维持被申请人深圳市人力资源和社会保障局</w:t>
      </w:r>
      <w:r w:rsidR="00346BCD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于</w:t>
      </w:r>
      <w:r w:rsidR="00C45C2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2018年6月7日以深人社认字（光）【2018】第</w:t>
      </w:r>
      <w:r w:rsidR="007B7095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××</w:t>
      </w:r>
      <w:r w:rsidR="00C45C22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号《深圳市工伤认定书》</w:t>
      </w:r>
      <w:r w:rsidR="004B2409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作出的具体行政行为</w:t>
      </w:r>
      <w:r w:rsidR="00D87D0F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。</w:t>
      </w:r>
    </w:p>
    <w:p w:rsidR="00F31942" w:rsidRPr="007B7095" w:rsidRDefault="00F31942" w:rsidP="00346BC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</w:rPr>
      </w:pP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本复议决定书一经送达，即发生法律效力。申请人如对本复议决定不服，可自收到复议决定书之日起十五日内向</w:t>
      </w:r>
      <w:r w:rsidR="00111ED9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深圳市</w:t>
      </w:r>
      <w:r w:rsidR="00111ED9"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盐田区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人民法院提起诉讼。</w:t>
      </w:r>
    </w:p>
    <w:p w:rsidR="00666639" w:rsidRPr="007B7095" w:rsidRDefault="00666639" w:rsidP="00346BC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kern w:val="1"/>
          <w:sz w:val="32"/>
          <w:szCs w:val="24"/>
        </w:rPr>
      </w:pPr>
    </w:p>
    <w:p w:rsidR="00F31942" w:rsidRPr="007B7095" w:rsidRDefault="00F31942" w:rsidP="007C4487">
      <w:pPr>
        <w:adjustRightInd w:val="0"/>
        <w:snapToGrid w:val="0"/>
        <w:spacing w:line="360" w:lineRule="auto"/>
        <w:ind w:firstLineChars="1800" w:firstLine="576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深圳市人民政府</w:t>
      </w:r>
    </w:p>
    <w:p w:rsidR="00F31942" w:rsidRPr="00844723" w:rsidRDefault="00F31942" w:rsidP="007C4487">
      <w:pPr>
        <w:adjustRightInd w:val="0"/>
        <w:snapToGrid w:val="0"/>
        <w:spacing w:line="360" w:lineRule="auto"/>
        <w:ind w:firstLineChars="1800" w:firstLine="5760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r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201</w:t>
      </w:r>
      <w:r w:rsidR="00A76741" w:rsidRPr="007B7095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8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年</w:t>
      </w:r>
      <w:r w:rsidR="00583FF2" w:rsidRPr="007B7095">
        <w:rPr>
          <w:rFonts w:ascii="仿宋_GB2312" w:eastAsia="仿宋_GB2312" w:hAnsi="仿宋_GB2312" w:hint="eastAsia"/>
          <w:kern w:val="1"/>
          <w:sz w:val="32"/>
          <w:szCs w:val="24"/>
        </w:rPr>
        <w:t>9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月</w:t>
      </w:r>
      <w:r w:rsidR="00583FF2" w:rsidRPr="007B7095">
        <w:rPr>
          <w:rFonts w:ascii="仿宋_GB2312" w:eastAsia="仿宋_GB2312" w:hAnsi="仿宋_GB2312" w:hint="eastAsia"/>
          <w:kern w:val="1"/>
          <w:sz w:val="32"/>
          <w:szCs w:val="24"/>
        </w:rPr>
        <w:t>21</w:t>
      </w:r>
      <w:r w:rsidRPr="007B7095">
        <w:rPr>
          <w:rFonts w:ascii="仿宋_GB2312" w:eastAsia="仿宋_GB2312" w:hAnsi="仿宋_GB2312"/>
          <w:kern w:val="1"/>
          <w:sz w:val="32"/>
          <w:szCs w:val="24"/>
          <w:lang w:eastAsia="ar-SA"/>
        </w:rPr>
        <w:t>日</w:t>
      </w:r>
    </w:p>
    <w:sectPr w:rsidR="00F31942" w:rsidRPr="00844723" w:rsidSect="00666639">
      <w:footerReference w:type="even" r:id="rId8"/>
      <w:footerReference w:type="default" r:id="rId9"/>
      <w:footnotePr>
        <w:pos w:val="beneathText"/>
      </w:footnotePr>
      <w:pgSz w:w="11905" w:h="16837" w:code="9"/>
      <w:pgMar w:top="1985" w:right="1474" w:bottom="1361" w:left="1588" w:header="0" w:footer="0" w:gutter="0"/>
      <w:pgNumType w:fmt="numberInDash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E06" w:rsidRDefault="00715E06" w:rsidP="00F31942">
      <w:r>
        <w:separator/>
      </w:r>
    </w:p>
  </w:endnote>
  <w:endnote w:type="continuationSeparator" w:id="0">
    <w:p w:rsidR="00715E06" w:rsidRDefault="00715E06" w:rsidP="00F31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宋体" w:hAnsi="宋体"/>
        <w:sz w:val="28"/>
        <w:szCs w:val="28"/>
      </w:rPr>
      <w:id w:val="70301893"/>
      <w:docPartObj>
        <w:docPartGallery w:val="Page Numbers (Bottom of Page)"/>
        <w:docPartUnique/>
      </w:docPartObj>
    </w:sdtPr>
    <w:sdtContent>
      <w:p w:rsidR="00F31942" w:rsidRPr="00F31942" w:rsidRDefault="00AC40A6">
        <w:pPr>
          <w:pStyle w:val="a4"/>
          <w:rPr>
            <w:rFonts w:ascii="宋体" w:hAnsi="宋体"/>
            <w:sz w:val="28"/>
            <w:szCs w:val="28"/>
          </w:rPr>
        </w:pPr>
        <w:r w:rsidRPr="00F31942">
          <w:rPr>
            <w:rFonts w:ascii="宋体" w:hAnsi="宋体"/>
            <w:sz w:val="28"/>
            <w:szCs w:val="28"/>
          </w:rPr>
          <w:fldChar w:fldCharType="begin"/>
        </w:r>
        <w:r w:rsidR="00F31942" w:rsidRPr="00F31942">
          <w:rPr>
            <w:rFonts w:ascii="宋体" w:hAnsi="宋体"/>
            <w:sz w:val="28"/>
            <w:szCs w:val="28"/>
          </w:rPr>
          <w:instrText xml:space="preserve"> PAGE   \* MERGEFORMAT </w:instrText>
        </w:r>
        <w:r w:rsidRPr="00F31942">
          <w:rPr>
            <w:rFonts w:ascii="宋体" w:hAnsi="宋体"/>
            <w:sz w:val="28"/>
            <w:szCs w:val="28"/>
          </w:rPr>
          <w:fldChar w:fldCharType="separate"/>
        </w:r>
        <w:r w:rsidR="007B7095" w:rsidRPr="007B7095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7B7095">
          <w:rPr>
            <w:rFonts w:ascii="宋体" w:hAnsi="宋体"/>
            <w:noProof/>
            <w:sz w:val="28"/>
            <w:szCs w:val="28"/>
          </w:rPr>
          <w:t xml:space="preserve"> 4 -</w:t>
        </w:r>
        <w:r w:rsidRPr="00F31942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F31942" w:rsidRPr="00F31942" w:rsidRDefault="00F31942">
    <w:pPr>
      <w:pStyle w:val="a4"/>
      <w:rPr>
        <w:rFonts w:ascii="宋体" w:hAnsi="宋体"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01891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F31942" w:rsidRPr="00F31942" w:rsidRDefault="00AC40A6">
        <w:pPr>
          <w:pStyle w:val="a4"/>
          <w:jc w:val="right"/>
          <w:rPr>
            <w:rFonts w:ascii="宋体" w:hAnsi="宋体"/>
            <w:sz w:val="28"/>
            <w:szCs w:val="28"/>
          </w:rPr>
        </w:pPr>
        <w:r w:rsidRPr="00F31942">
          <w:rPr>
            <w:rFonts w:ascii="宋体" w:hAnsi="宋体"/>
            <w:sz w:val="28"/>
            <w:szCs w:val="28"/>
          </w:rPr>
          <w:fldChar w:fldCharType="begin"/>
        </w:r>
        <w:r w:rsidR="00F31942" w:rsidRPr="00F31942">
          <w:rPr>
            <w:rFonts w:ascii="宋体" w:hAnsi="宋体"/>
            <w:sz w:val="28"/>
            <w:szCs w:val="28"/>
          </w:rPr>
          <w:instrText xml:space="preserve"> PAGE   \* MERGEFORMAT </w:instrText>
        </w:r>
        <w:r w:rsidRPr="00F31942">
          <w:rPr>
            <w:rFonts w:ascii="宋体" w:hAnsi="宋体"/>
            <w:sz w:val="28"/>
            <w:szCs w:val="28"/>
          </w:rPr>
          <w:fldChar w:fldCharType="separate"/>
        </w:r>
        <w:r w:rsidR="007B7095" w:rsidRPr="007B7095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7B7095">
          <w:rPr>
            <w:rFonts w:ascii="宋体" w:hAnsi="宋体"/>
            <w:noProof/>
            <w:sz w:val="28"/>
            <w:szCs w:val="28"/>
          </w:rPr>
          <w:t xml:space="preserve"> 3 -</w:t>
        </w:r>
        <w:r w:rsidRPr="00F31942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245A98" w:rsidRPr="00F31942" w:rsidRDefault="00715E06">
    <w:pPr>
      <w:pStyle w:val="a4"/>
      <w:jc w:val="center"/>
      <w:rPr>
        <w:rFonts w:ascii="宋体" w:hAns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E06" w:rsidRDefault="00715E06" w:rsidP="00F31942">
      <w:r>
        <w:separator/>
      </w:r>
    </w:p>
  </w:footnote>
  <w:footnote w:type="continuationSeparator" w:id="0">
    <w:p w:rsidR="00715E06" w:rsidRDefault="00715E06" w:rsidP="00F319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4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942"/>
    <w:rsid w:val="00003A5B"/>
    <w:rsid w:val="00012EBB"/>
    <w:rsid w:val="00021D7C"/>
    <w:rsid w:val="0007301B"/>
    <w:rsid w:val="00074154"/>
    <w:rsid w:val="00076F4F"/>
    <w:rsid w:val="00080D24"/>
    <w:rsid w:val="00082C72"/>
    <w:rsid w:val="00091C38"/>
    <w:rsid w:val="00096A74"/>
    <w:rsid w:val="000A5BC3"/>
    <w:rsid w:val="000B0005"/>
    <w:rsid w:val="000E66F5"/>
    <w:rsid w:val="00100D7A"/>
    <w:rsid w:val="00111ED9"/>
    <w:rsid w:val="00114710"/>
    <w:rsid w:val="001477D1"/>
    <w:rsid w:val="0015580C"/>
    <w:rsid w:val="00164646"/>
    <w:rsid w:val="00172100"/>
    <w:rsid w:val="00173683"/>
    <w:rsid w:val="001776E0"/>
    <w:rsid w:val="00177E7D"/>
    <w:rsid w:val="001861B8"/>
    <w:rsid w:val="001A1DFB"/>
    <w:rsid w:val="001A45DE"/>
    <w:rsid w:val="001D4D2A"/>
    <w:rsid w:val="001E7CC8"/>
    <w:rsid w:val="001F14EB"/>
    <w:rsid w:val="001F54B5"/>
    <w:rsid w:val="001F7830"/>
    <w:rsid w:val="002102EF"/>
    <w:rsid w:val="00214B6F"/>
    <w:rsid w:val="00215554"/>
    <w:rsid w:val="002266AE"/>
    <w:rsid w:val="0023417A"/>
    <w:rsid w:val="002456F7"/>
    <w:rsid w:val="002461ED"/>
    <w:rsid w:val="00251B2F"/>
    <w:rsid w:val="00276587"/>
    <w:rsid w:val="00276E44"/>
    <w:rsid w:val="002A128A"/>
    <w:rsid w:val="002A41DD"/>
    <w:rsid w:val="002A607C"/>
    <w:rsid w:val="002B3177"/>
    <w:rsid w:val="002C0A75"/>
    <w:rsid w:val="002C253A"/>
    <w:rsid w:val="002D6CDE"/>
    <w:rsid w:val="002E116A"/>
    <w:rsid w:val="002E7ED3"/>
    <w:rsid w:val="00306F96"/>
    <w:rsid w:val="00317F55"/>
    <w:rsid w:val="00335C5A"/>
    <w:rsid w:val="00335E34"/>
    <w:rsid w:val="00336541"/>
    <w:rsid w:val="00346BCD"/>
    <w:rsid w:val="003506AC"/>
    <w:rsid w:val="003603BD"/>
    <w:rsid w:val="00370609"/>
    <w:rsid w:val="00381ED6"/>
    <w:rsid w:val="003A1029"/>
    <w:rsid w:val="003A44E1"/>
    <w:rsid w:val="003B75E8"/>
    <w:rsid w:val="003D575D"/>
    <w:rsid w:val="003D5DDC"/>
    <w:rsid w:val="003F2AFC"/>
    <w:rsid w:val="00410E06"/>
    <w:rsid w:val="0042624E"/>
    <w:rsid w:val="004375C6"/>
    <w:rsid w:val="00437CD6"/>
    <w:rsid w:val="00452A4C"/>
    <w:rsid w:val="0045586F"/>
    <w:rsid w:val="00472EB6"/>
    <w:rsid w:val="00481CBA"/>
    <w:rsid w:val="00483A5C"/>
    <w:rsid w:val="00484D83"/>
    <w:rsid w:val="004920C8"/>
    <w:rsid w:val="004A3289"/>
    <w:rsid w:val="004B2409"/>
    <w:rsid w:val="004B64A4"/>
    <w:rsid w:val="004D11B1"/>
    <w:rsid w:val="004D1D93"/>
    <w:rsid w:val="004E19C2"/>
    <w:rsid w:val="004E5F4C"/>
    <w:rsid w:val="004F6DDA"/>
    <w:rsid w:val="00500D1C"/>
    <w:rsid w:val="0052300B"/>
    <w:rsid w:val="00526BF2"/>
    <w:rsid w:val="005360DD"/>
    <w:rsid w:val="00545168"/>
    <w:rsid w:val="005612DF"/>
    <w:rsid w:val="00583FF2"/>
    <w:rsid w:val="00587C23"/>
    <w:rsid w:val="005A14EC"/>
    <w:rsid w:val="005B2CC0"/>
    <w:rsid w:val="005B3DB9"/>
    <w:rsid w:val="005B5FA0"/>
    <w:rsid w:val="005B7980"/>
    <w:rsid w:val="005C4C4E"/>
    <w:rsid w:val="005F0B7C"/>
    <w:rsid w:val="005F4BA8"/>
    <w:rsid w:val="006033D6"/>
    <w:rsid w:val="006114DE"/>
    <w:rsid w:val="00611D1E"/>
    <w:rsid w:val="0061310A"/>
    <w:rsid w:val="00617CAA"/>
    <w:rsid w:val="00621223"/>
    <w:rsid w:val="006227B9"/>
    <w:rsid w:val="006234C5"/>
    <w:rsid w:val="00636218"/>
    <w:rsid w:val="00642B4F"/>
    <w:rsid w:val="0064641D"/>
    <w:rsid w:val="0066006E"/>
    <w:rsid w:val="006611B3"/>
    <w:rsid w:val="0066518E"/>
    <w:rsid w:val="00666639"/>
    <w:rsid w:val="006711E3"/>
    <w:rsid w:val="006B26B9"/>
    <w:rsid w:val="006B2CCD"/>
    <w:rsid w:val="006B59BA"/>
    <w:rsid w:val="006C6C87"/>
    <w:rsid w:val="006E4D25"/>
    <w:rsid w:val="006F0C37"/>
    <w:rsid w:val="0070580C"/>
    <w:rsid w:val="00715E06"/>
    <w:rsid w:val="00742AC1"/>
    <w:rsid w:val="0074363B"/>
    <w:rsid w:val="007632AE"/>
    <w:rsid w:val="00766EFA"/>
    <w:rsid w:val="00777387"/>
    <w:rsid w:val="007800D2"/>
    <w:rsid w:val="00787B6D"/>
    <w:rsid w:val="00793DFD"/>
    <w:rsid w:val="00796DC3"/>
    <w:rsid w:val="007A0718"/>
    <w:rsid w:val="007A5F80"/>
    <w:rsid w:val="007B7095"/>
    <w:rsid w:val="007C4487"/>
    <w:rsid w:val="007E2F95"/>
    <w:rsid w:val="007E435F"/>
    <w:rsid w:val="007E7255"/>
    <w:rsid w:val="00801C19"/>
    <w:rsid w:val="008068DE"/>
    <w:rsid w:val="00814618"/>
    <w:rsid w:val="00822E3B"/>
    <w:rsid w:val="0083334F"/>
    <w:rsid w:val="00837CCD"/>
    <w:rsid w:val="00840457"/>
    <w:rsid w:val="00843947"/>
    <w:rsid w:val="00844723"/>
    <w:rsid w:val="00860549"/>
    <w:rsid w:val="00861C35"/>
    <w:rsid w:val="00876BD5"/>
    <w:rsid w:val="00895173"/>
    <w:rsid w:val="00896BAD"/>
    <w:rsid w:val="008A2F63"/>
    <w:rsid w:val="008A4499"/>
    <w:rsid w:val="008D003B"/>
    <w:rsid w:val="008D17C3"/>
    <w:rsid w:val="008F4203"/>
    <w:rsid w:val="008F56BE"/>
    <w:rsid w:val="00906746"/>
    <w:rsid w:val="00923FB9"/>
    <w:rsid w:val="009537F4"/>
    <w:rsid w:val="00980C91"/>
    <w:rsid w:val="009C6337"/>
    <w:rsid w:val="009D1F17"/>
    <w:rsid w:val="009F181C"/>
    <w:rsid w:val="009F4CE3"/>
    <w:rsid w:val="00A0661E"/>
    <w:rsid w:val="00A11A8B"/>
    <w:rsid w:val="00A2342F"/>
    <w:rsid w:val="00A41C5B"/>
    <w:rsid w:val="00A52055"/>
    <w:rsid w:val="00A76741"/>
    <w:rsid w:val="00A941F0"/>
    <w:rsid w:val="00AA7D71"/>
    <w:rsid w:val="00AB20AF"/>
    <w:rsid w:val="00AB3D32"/>
    <w:rsid w:val="00AB684E"/>
    <w:rsid w:val="00AC104B"/>
    <w:rsid w:val="00AC40A6"/>
    <w:rsid w:val="00AD233D"/>
    <w:rsid w:val="00AE315B"/>
    <w:rsid w:val="00AE43E2"/>
    <w:rsid w:val="00AF16B6"/>
    <w:rsid w:val="00B142EE"/>
    <w:rsid w:val="00B25719"/>
    <w:rsid w:val="00B31BD9"/>
    <w:rsid w:val="00B44396"/>
    <w:rsid w:val="00B46BD2"/>
    <w:rsid w:val="00B46D5F"/>
    <w:rsid w:val="00B579D9"/>
    <w:rsid w:val="00B60CB1"/>
    <w:rsid w:val="00B665CE"/>
    <w:rsid w:val="00B712E5"/>
    <w:rsid w:val="00B74D44"/>
    <w:rsid w:val="00B76D0F"/>
    <w:rsid w:val="00B901D7"/>
    <w:rsid w:val="00B9090E"/>
    <w:rsid w:val="00BB0C66"/>
    <w:rsid w:val="00BB680D"/>
    <w:rsid w:val="00BD315A"/>
    <w:rsid w:val="00BD4C3A"/>
    <w:rsid w:val="00BD6D5A"/>
    <w:rsid w:val="00BE2C6A"/>
    <w:rsid w:val="00C1530D"/>
    <w:rsid w:val="00C25E5B"/>
    <w:rsid w:val="00C376CD"/>
    <w:rsid w:val="00C43A92"/>
    <w:rsid w:val="00C45C22"/>
    <w:rsid w:val="00C47952"/>
    <w:rsid w:val="00C47AF3"/>
    <w:rsid w:val="00C67C3F"/>
    <w:rsid w:val="00C71594"/>
    <w:rsid w:val="00C72389"/>
    <w:rsid w:val="00C74D4F"/>
    <w:rsid w:val="00C8677A"/>
    <w:rsid w:val="00C94999"/>
    <w:rsid w:val="00CA6FE5"/>
    <w:rsid w:val="00CA71CF"/>
    <w:rsid w:val="00CB198C"/>
    <w:rsid w:val="00CC4287"/>
    <w:rsid w:val="00CD00E7"/>
    <w:rsid w:val="00CD4981"/>
    <w:rsid w:val="00CD623D"/>
    <w:rsid w:val="00CD6C07"/>
    <w:rsid w:val="00CE0B00"/>
    <w:rsid w:val="00CE17C1"/>
    <w:rsid w:val="00CE19DF"/>
    <w:rsid w:val="00CE7AA2"/>
    <w:rsid w:val="00CF0591"/>
    <w:rsid w:val="00CF66DC"/>
    <w:rsid w:val="00D007DC"/>
    <w:rsid w:val="00D03561"/>
    <w:rsid w:val="00D1761B"/>
    <w:rsid w:val="00D53B5B"/>
    <w:rsid w:val="00D55153"/>
    <w:rsid w:val="00D556DD"/>
    <w:rsid w:val="00D579FE"/>
    <w:rsid w:val="00D81490"/>
    <w:rsid w:val="00D81FF5"/>
    <w:rsid w:val="00D87D0F"/>
    <w:rsid w:val="00DA2384"/>
    <w:rsid w:val="00DA3763"/>
    <w:rsid w:val="00DB7F82"/>
    <w:rsid w:val="00DD7E94"/>
    <w:rsid w:val="00DE1AFD"/>
    <w:rsid w:val="00DF7A2D"/>
    <w:rsid w:val="00E06B0A"/>
    <w:rsid w:val="00E070FF"/>
    <w:rsid w:val="00E1114A"/>
    <w:rsid w:val="00E125AC"/>
    <w:rsid w:val="00E21AF9"/>
    <w:rsid w:val="00E24F93"/>
    <w:rsid w:val="00E3576E"/>
    <w:rsid w:val="00E408FC"/>
    <w:rsid w:val="00E467ED"/>
    <w:rsid w:val="00E519E3"/>
    <w:rsid w:val="00E63017"/>
    <w:rsid w:val="00E66C41"/>
    <w:rsid w:val="00E66D45"/>
    <w:rsid w:val="00E84F13"/>
    <w:rsid w:val="00E90B76"/>
    <w:rsid w:val="00E9678C"/>
    <w:rsid w:val="00EA2381"/>
    <w:rsid w:val="00EC416F"/>
    <w:rsid w:val="00EC5B11"/>
    <w:rsid w:val="00EC65AF"/>
    <w:rsid w:val="00EC7E17"/>
    <w:rsid w:val="00ED2584"/>
    <w:rsid w:val="00EE2D60"/>
    <w:rsid w:val="00EE4804"/>
    <w:rsid w:val="00F005C0"/>
    <w:rsid w:val="00F05C64"/>
    <w:rsid w:val="00F21491"/>
    <w:rsid w:val="00F230F5"/>
    <w:rsid w:val="00F31942"/>
    <w:rsid w:val="00F429AC"/>
    <w:rsid w:val="00F64448"/>
    <w:rsid w:val="00F76631"/>
    <w:rsid w:val="00F8308E"/>
    <w:rsid w:val="00F86E76"/>
    <w:rsid w:val="00F87D8A"/>
    <w:rsid w:val="00F9417A"/>
    <w:rsid w:val="00F946FA"/>
    <w:rsid w:val="00FC584A"/>
    <w:rsid w:val="00FD5053"/>
    <w:rsid w:val="00FD533A"/>
    <w:rsid w:val="00FE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42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paragraph" w:styleId="1">
    <w:name w:val="heading 1"/>
    <w:basedOn w:val="a"/>
    <w:link w:val="1Char"/>
    <w:uiPriority w:val="9"/>
    <w:qFormat/>
    <w:rsid w:val="00DD7E94"/>
    <w:pPr>
      <w:widowControl/>
      <w:suppressAutoHyphens w:val="0"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9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942"/>
    <w:rPr>
      <w:sz w:val="18"/>
      <w:szCs w:val="18"/>
    </w:rPr>
  </w:style>
  <w:style w:type="paragraph" w:styleId="a5">
    <w:name w:val="Revision"/>
    <w:hidden/>
    <w:uiPriority w:val="99"/>
    <w:semiHidden/>
    <w:rsid w:val="00CC4287"/>
    <w:rPr>
      <w:rFonts w:ascii="Times New Roman" w:eastAsia="宋体" w:hAnsi="Times New Roman" w:cs="Times New Roman"/>
      <w:kern w:val="0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CC42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C4287"/>
    <w:rPr>
      <w:rFonts w:ascii="Times New Roman" w:eastAsia="宋体" w:hAnsi="Times New Roman" w:cs="Times New Roman"/>
      <w:kern w:val="0"/>
      <w:sz w:val="18"/>
      <w:szCs w:val="18"/>
    </w:rPr>
  </w:style>
  <w:style w:type="character" w:styleId="a7">
    <w:name w:val="Strong"/>
    <w:basedOn w:val="a0"/>
    <w:uiPriority w:val="22"/>
    <w:qFormat/>
    <w:rsid w:val="008F4203"/>
    <w:rPr>
      <w:b/>
      <w:bCs/>
    </w:rPr>
  </w:style>
  <w:style w:type="character" w:styleId="a8">
    <w:name w:val="Hyperlink"/>
    <w:basedOn w:val="a0"/>
    <w:uiPriority w:val="99"/>
    <w:semiHidden/>
    <w:unhideWhenUsed/>
    <w:rsid w:val="00082C72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DD7E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59596-52D4-4BDA-90F0-0C9B5149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4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lilysqj</dc:creator>
  <cp:keywords/>
  <dc:description/>
  <cp:lastModifiedBy>lilysqj</cp:lastModifiedBy>
  <cp:revision>498</cp:revision>
  <cp:lastPrinted>2018-09-10T03:29:00Z</cp:lastPrinted>
  <dcterms:created xsi:type="dcterms:W3CDTF">2018-02-11T06:57:00Z</dcterms:created>
  <dcterms:modified xsi:type="dcterms:W3CDTF">2018-12-19T02:43:00Z</dcterms:modified>
</cp:coreProperties>
</file>