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eastAsia="方正小标宋_GBK"/>
          <w:sz w:val="44"/>
        </w:rPr>
      </w:pPr>
      <w:r>
        <w:rPr>
          <w:rFonts w:hint="eastAsia" w:eastAsia="方正小标宋_GBK"/>
          <w:sz w:val="44"/>
        </w:rPr>
        <w:t>深</w:t>
      </w:r>
      <w:r>
        <w:rPr>
          <w:rFonts w:eastAsia="方正小标宋_GBK"/>
          <w:sz w:val="44"/>
        </w:rPr>
        <w:t xml:space="preserve">  </w:t>
      </w:r>
      <w:r>
        <w:rPr>
          <w:rFonts w:hint="eastAsia" w:eastAsia="方正小标宋_GBK"/>
          <w:sz w:val="44"/>
        </w:rPr>
        <w:t>圳</w:t>
      </w:r>
      <w:r>
        <w:rPr>
          <w:rFonts w:eastAsia="方正小标宋_GBK"/>
          <w:sz w:val="44"/>
        </w:rPr>
        <w:t xml:space="preserve">  </w:t>
      </w:r>
      <w:r>
        <w:rPr>
          <w:rFonts w:hint="eastAsia" w:eastAsia="方正小标宋_GBK"/>
          <w:sz w:val="44"/>
        </w:rPr>
        <w:t>市</w:t>
      </w:r>
      <w:r>
        <w:rPr>
          <w:rFonts w:eastAsia="方正小标宋_GBK"/>
          <w:sz w:val="44"/>
        </w:rPr>
        <w:t xml:space="preserve">  </w:t>
      </w:r>
      <w:r>
        <w:rPr>
          <w:rFonts w:hint="eastAsia" w:eastAsia="方正小标宋_GBK"/>
          <w:sz w:val="44"/>
        </w:rPr>
        <w:t>人</w:t>
      </w:r>
      <w:r>
        <w:rPr>
          <w:rFonts w:eastAsia="方正小标宋_GBK"/>
          <w:sz w:val="44"/>
        </w:rPr>
        <w:t xml:space="preserve">  </w:t>
      </w:r>
      <w:r>
        <w:rPr>
          <w:rFonts w:hint="eastAsia" w:eastAsia="方正小标宋_GBK"/>
          <w:sz w:val="44"/>
        </w:rPr>
        <w:t>民</w:t>
      </w:r>
      <w:r>
        <w:rPr>
          <w:rFonts w:eastAsia="方正小标宋_GBK"/>
          <w:sz w:val="44"/>
        </w:rPr>
        <w:t xml:space="preserve">  </w:t>
      </w:r>
      <w:r>
        <w:rPr>
          <w:rFonts w:hint="eastAsia" w:eastAsia="方正小标宋_GBK"/>
          <w:sz w:val="44"/>
        </w:rPr>
        <w:t>政</w:t>
      </w:r>
      <w:r>
        <w:rPr>
          <w:rFonts w:eastAsia="方正小标宋_GBK"/>
          <w:sz w:val="44"/>
        </w:rPr>
        <w:t xml:space="preserve">  </w:t>
      </w:r>
      <w:r>
        <w:rPr>
          <w:rFonts w:hint="eastAsia" w:eastAsia="方正小标宋_GBK"/>
          <w:sz w:val="44"/>
        </w:rPr>
        <w:t>府</w:t>
      </w:r>
    </w:p>
    <w:p>
      <w:pPr>
        <w:spacing w:line="520" w:lineRule="exact"/>
        <w:jc w:val="center"/>
        <w:rPr>
          <w:rFonts w:eastAsia="方正小标宋_GBK"/>
          <w:b/>
          <w:bCs/>
          <w:sz w:val="44"/>
        </w:rPr>
      </w:pPr>
      <w:r>
        <w:rPr>
          <w:rFonts w:hint="eastAsia" w:eastAsia="方正小标宋_GBK"/>
          <w:b/>
          <w:bCs/>
          <w:sz w:val="44"/>
        </w:rPr>
        <w:t>不予受理决定书</w:t>
      </w:r>
    </w:p>
    <w:p>
      <w:pPr>
        <w:spacing w:line="520" w:lineRule="exact"/>
        <w:jc w:val="center"/>
        <w:rPr>
          <w:rFonts w:ascii="仿宋" w:hAnsi="仿宋" w:eastAsia="仿宋"/>
          <w:sz w:val="32"/>
        </w:rPr>
      </w:pPr>
      <w:r>
        <w:rPr>
          <w:rFonts w:ascii="仿宋" w:hAnsi="仿宋" w:eastAsia="仿宋"/>
          <w:sz w:val="32"/>
        </w:rPr>
        <w:t xml:space="preserve">                                 </w:t>
      </w:r>
    </w:p>
    <w:p>
      <w:pPr>
        <w:spacing w:line="520" w:lineRule="exact"/>
        <w:jc w:val="right"/>
        <w:rPr>
          <w:rFonts w:ascii="仿宋" w:hAnsi="仿宋" w:eastAsia="仿宋" w:cs="仿宋_GB2312"/>
          <w:sz w:val="32"/>
          <w:szCs w:val="32"/>
        </w:rPr>
      </w:pPr>
      <w:r>
        <w:rPr>
          <w:rFonts w:ascii="仿宋" w:hAnsi="仿宋" w:eastAsia="仿宋" w:cs="仿宋_GB2312"/>
          <w:sz w:val="32"/>
          <w:szCs w:val="32"/>
        </w:rPr>
        <w:t xml:space="preserve"> </w:t>
      </w:r>
      <w:r>
        <w:rPr>
          <w:rFonts w:hint="eastAsia" w:ascii="仿宋" w:hAnsi="仿宋" w:eastAsia="仿宋" w:cs="仿宋_GB2312"/>
          <w:sz w:val="32"/>
          <w:szCs w:val="32"/>
        </w:rPr>
        <w:t>深府行复〔</w:t>
      </w:r>
      <w:r>
        <w:rPr>
          <w:rFonts w:ascii="仿宋" w:hAnsi="仿宋" w:eastAsia="仿宋" w:cs="仿宋_GB2312"/>
          <w:sz w:val="32"/>
          <w:szCs w:val="32"/>
        </w:rPr>
        <w:t>201</w:t>
      </w:r>
      <w:r>
        <w:rPr>
          <w:rFonts w:hint="eastAsia" w:ascii="仿宋" w:hAnsi="仿宋" w:eastAsia="仿宋" w:cs="仿宋_GB2312"/>
          <w:sz w:val="32"/>
          <w:szCs w:val="32"/>
        </w:rPr>
        <w:t>8〕758号</w:t>
      </w:r>
    </w:p>
    <w:p>
      <w:pPr>
        <w:spacing w:line="520" w:lineRule="exact"/>
        <w:jc w:val="right"/>
        <w:rPr>
          <w:rFonts w:ascii="仿宋_GB2312" w:hAnsi="仿宋" w:eastAsia="仿宋_GB2312"/>
          <w:sz w:val="32"/>
        </w:rPr>
      </w:pPr>
    </w:p>
    <w:p>
      <w:pPr>
        <w:spacing w:line="520" w:lineRule="exact"/>
        <w:ind w:left="-210" w:firstLine="630"/>
        <w:rPr>
          <w:rFonts w:ascii="仿宋" w:hAnsi="仿宋" w:eastAsia="仿宋" w:cs="仿宋_GB2312"/>
          <w:sz w:val="32"/>
          <w:szCs w:val="32"/>
        </w:rPr>
      </w:pPr>
      <w:r>
        <w:rPr>
          <w:rFonts w:hint="eastAsia" w:ascii="黑体" w:hAnsi="黑体" w:eastAsia="黑体" w:cs="仿宋_GB2312"/>
          <w:b/>
          <w:sz w:val="32"/>
          <w:szCs w:val="32"/>
        </w:rPr>
        <w:t>申请人：</w:t>
      </w:r>
      <w:r>
        <w:rPr>
          <w:rFonts w:hint="eastAsia" w:ascii="仿宋" w:hAnsi="仿宋" w:eastAsia="仿宋" w:cs="仿宋_GB2312"/>
          <w:sz w:val="32"/>
          <w:szCs w:val="32"/>
          <w:lang w:bidi="zh-CN"/>
        </w:rPr>
        <w:t>吴某</w:t>
      </w:r>
    </w:p>
    <w:p>
      <w:pPr>
        <w:spacing w:line="520" w:lineRule="exact"/>
        <w:ind w:left="-210" w:firstLine="630"/>
        <w:rPr>
          <w:rFonts w:ascii="仿宋" w:hAnsi="仿宋" w:eastAsia="仿宋" w:cs="仿宋_GB2312"/>
          <w:sz w:val="32"/>
          <w:szCs w:val="32"/>
        </w:rPr>
      </w:pPr>
    </w:p>
    <w:p>
      <w:pPr>
        <w:spacing w:line="520" w:lineRule="exact"/>
        <w:ind w:left="-210" w:firstLine="640" w:firstLineChars="200"/>
        <w:rPr>
          <w:rFonts w:ascii="仿宋" w:hAnsi="仿宋" w:eastAsia="仿宋" w:cs="仿宋_GB2312"/>
          <w:sz w:val="32"/>
          <w:szCs w:val="32"/>
          <w:lang w:bidi="zh-CN"/>
        </w:rPr>
      </w:pPr>
      <w:r>
        <w:rPr>
          <w:rFonts w:hint="eastAsia" w:ascii="仿宋" w:hAnsi="仿宋" w:eastAsia="仿宋" w:cs="仿宋_GB2312"/>
          <w:sz w:val="32"/>
          <w:szCs w:val="32"/>
          <w:lang w:bidi="zh-CN"/>
        </w:rPr>
        <w:t>申请人不服被申请人深圳市人力资源和社会保障局将其列入人才引进不良诚信记录的具体行政行为，于2018年8月13日通过邮寄方式向本机关申请行政复议。经审理查明：被申请人于2017年10月10日通过向申请人手机号码（</w:t>
      </w:r>
      <w:r>
        <w:rPr>
          <w:rFonts w:hint="eastAsia" w:ascii="仿宋_GB2312" w:hAnsi="仿宋_GB2312" w:eastAsia="仿宋_GB2312"/>
          <w:sz w:val="32"/>
          <w:lang w:eastAsia="zh-CN"/>
        </w:rPr>
        <w:t>××</w:t>
      </w:r>
      <w:bookmarkStart w:id="2" w:name="_GoBack"/>
      <w:bookmarkEnd w:id="2"/>
      <w:r>
        <w:rPr>
          <w:rFonts w:hint="eastAsia" w:ascii="仿宋" w:hAnsi="仿宋" w:eastAsia="仿宋" w:cs="仿宋_GB2312"/>
          <w:sz w:val="32"/>
          <w:szCs w:val="32"/>
          <w:lang w:bidi="zh-CN"/>
        </w:rPr>
        <w:t>）发送短信方式告知其在申办深圳市人才引进业务时存在不良诚信行为，已于2017年9月13日被列入人才引进诚信系统不良诚信记录。本机关认为，根据</w:t>
      </w:r>
      <w:r>
        <w:rPr>
          <w:rFonts w:hint="eastAsia" w:ascii="仿宋" w:hAnsi="仿宋" w:eastAsia="仿宋" w:cs="仿宋_GB2312"/>
          <w:sz w:val="32"/>
          <w:szCs w:val="32"/>
        </w:rPr>
        <w:t>《中华人民共和国行政复议法实施条例》第十五条第一款第（六）项的规定，申请人提出行政复议申请时已超过《中华人民共和国行政复议法》第九条第一款规定的行政复议申请期限。申请人提出的行政复议申请不符合</w:t>
      </w:r>
      <w:bookmarkStart w:id="0" w:name="OLE_LINK2"/>
      <w:bookmarkStart w:id="1" w:name="OLE_LINK1"/>
      <w:r>
        <w:rPr>
          <w:rFonts w:hint="eastAsia" w:ascii="仿宋" w:hAnsi="仿宋" w:eastAsia="仿宋" w:cs="仿宋_GB2312"/>
          <w:sz w:val="32"/>
          <w:szCs w:val="32"/>
        </w:rPr>
        <w:t>《中华人民共和国行政复议法实施条例》</w:t>
      </w:r>
      <w:bookmarkEnd w:id="0"/>
      <w:bookmarkEnd w:id="1"/>
      <w:r>
        <w:rPr>
          <w:rFonts w:hint="eastAsia" w:ascii="仿宋" w:hAnsi="仿宋" w:eastAsia="仿宋" w:cs="仿宋_GB2312"/>
          <w:sz w:val="32"/>
          <w:szCs w:val="32"/>
        </w:rPr>
        <w:t>第二十八条第（四）项规定，根据《中华人民共和国行政复议法》第十七条第一款的规定，本机关作出决定如下：</w:t>
      </w:r>
    </w:p>
    <w:p>
      <w:pPr>
        <w:spacing w:line="520" w:lineRule="exact"/>
        <w:ind w:left="-210" w:firstLine="640"/>
        <w:rPr>
          <w:rFonts w:ascii="仿宋" w:hAnsi="仿宋" w:eastAsia="仿宋" w:cs="仿宋_GB2312"/>
          <w:sz w:val="32"/>
          <w:szCs w:val="32"/>
        </w:rPr>
      </w:pPr>
      <w:r>
        <w:rPr>
          <w:rFonts w:hint="eastAsia" w:ascii="仿宋" w:hAnsi="仿宋" w:eastAsia="仿宋" w:cs="仿宋_GB2312"/>
          <w:sz w:val="32"/>
          <w:szCs w:val="32"/>
        </w:rPr>
        <w:t>对申请人吴</w:t>
      </w:r>
      <w:r>
        <w:rPr>
          <w:rFonts w:hint="eastAsia" w:ascii="仿宋" w:hAnsi="仿宋" w:eastAsia="仿宋" w:cs="仿宋_GB2312"/>
          <w:sz w:val="32"/>
          <w:szCs w:val="32"/>
          <w:lang w:eastAsia="zh-CN"/>
        </w:rPr>
        <w:t>某</w:t>
      </w:r>
      <w:r>
        <w:rPr>
          <w:rFonts w:hint="eastAsia" w:ascii="仿宋" w:hAnsi="仿宋" w:eastAsia="仿宋" w:cs="仿宋_GB2312"/>
          <w:sz w:val="32"/>
          <w:szCs w:val="32"/>
        </w:rPr>
        <w:t>提出的上述行政复议申请不予受理。</w:t>
      </w:r>
    </w:p>
    <w:p>
      <w:pPr>
        <w:spacing w:line="520" w:lineRule="exact"/>
        <w:ind w:left="-210" w:firstLine="640"/>
        <w:rPr>
          <w:rFonts w:ascii="仿宋" w:hAnsi="仿宋" w:eastAsia="仿宋" w:cs="仿宋_GB2312"/>
          <w:sz w:val="32"/>
          <w:szCs w:val="32"/>
        </w:rPr>
      </w:pPr>
      <w:r>
        <w:rPr>
          <w:rFonts w:hint="eastAsia" w:ascii="仿宋" w:hAnsi="仿宋" w:eastAsia="仿宋" w:cs="仿宋_GB2312"/>
          <w:sz w:val="32"/>
          <w:szCs w:val="32"/>
        </w:rPr>
        <w:t>申请人如不服本决定，可自收到本决定书之日起十五日内向深圳市中级人民法院提起诉讼。</w:t>
      </w:r>
    </w:p>
    <w:p>
      <w:pPr>
        <w:spacing w:line="520" w:lineRule="exact"/>
        <w:ind w:left="-210" w:firstLine="640"/>
        <w:rPr>
          <w:rFonts w:ascii="仿宋" w:hAnsi="仿宋" w:eastAsia="仿宋" w:cs="仿宋_GB2312"/>
          <w:sz w:val="32"/>
          <w:szCs w:val="32"/>
        </w:rPr>
      </w:pPr>
    </w:p>
    <w:p>
      <w:pPr>
        <w:spacing w:line="520" w:lineRule="exact"/>
        <w:rPr>
          <w:rFonts w:ascii="仿宋" w:hAnsi="仿宋" w:eastAsia="仿宋" w:cs="仿宋_GB2312"/>
          <w:sz w:val="32"/>
          <w:szCs w:val="32"/>
        </w:rPr>
      </w:pPr>
    </w:p>
    <w:p>
      <w:pPr>
        <w:spacing w:line="520" w:lineRule="exact"/>
        <w:ind w:firstLine="5920" w:firstLineChars="1850"/>
        <w:rPr>
          <w:rFonts w:ascii="仿宋" w:hAnsi="仿宋" w:eastAsia="仿宋" w:cs="仿宋_GB2312"/>
          <w:sz w:val="32"/>
          <w:szCs w:val="32"/>
        </w:rPr>
      </w:pPr>
      <w:r>
        <w:rPr>
          <w:rFonts w:hint="eastAsia" w:ascii="仿宋" w:hAnsi="仿宋" w:eastAsia="仿宋" w:cs="仿宋_GB2312"/>
          <w:sz w:val="32"/>
          <w:szCs w:val="32"/>
        </w:rPr>
        <w:t>深圳市人民政府</w:t>
      </w:r>
    </w:p>
    <w:p>
      <w:pPr>
        <w:spacing w:line="520" w:lineRule="exact"/>
        <w:ind w:left="-210" w:right="256"/>
        <w:rPr>
          <w:rFonts w:ascii="仿宋" w:hAnsi="仿宋" w:eastAsia="仿宋" w:cs="仿宋_GB2312"/>
          <w:sz w:val="32"/>
          <w:szCs w:val="32"/>
        </w:rPr>
      </w:pPr>
      <w:r>
        <w:rPr>
          <w:rFonts w:ascii="仿宋" w:hAnsi="仿宋" w:eastAsia="仿宋" w:cs="仿宋_GB2312"/>
          <w:sz w:val="32"/>
          <w:szCs w:val="32"/>
        </w:rPr>
        <w:t xml:space="preserve">                                      201</w:t>
      </w:r>
      <w:r>
        <w:rPr>
          <w:rFonts w:hint="eastAsia" w:ascii="仿宋" w:hAnsi="仿宋" w:eastAsia="仿宋" w:cs="仿宋_GB2312"/>
          <w:sz w:val="32"/>
          <w:szCs w:val="32"/>
        </w:rPr>
        <w:t>8年8月</w:t>
      </w:r>
      <w:r>
        <w:rPr>
          <w:rFonts w:hint="eastAsia" w:ascii="仿宋" w:hAnsi="仿宋" w:eastAsia="仿宋" w:cs="仿宋_GB2312"/>
          <w:sz w:val="32"/>
          <w:szCs w:val="32"/>
          <w:lang w:val="en-US" w:eastAsia="zh-CN"/>
        </w:rPr>
        <w:t>20</w:t>
      </w:r>
      <w:r>
        <w:rPr>
          <w:rFonts w:hint="eastAsia" w:ascii="仿宋" w:hAnsi="仿宋" w:eastAsia="仿宋" w:cs="仿宋_GB2312"/>
          <w:sz w:val="32"/>
          <w:szCs w:val="32"/>
        </w:rPr>
        <w:t>日</w:t>
      </w:r>
    </w:p>
    <w:p/>
    <w:sectPr>
      <w:footnotePr>
        <w:pos w:val="beneathText"/>
      </w:footnotePr>
      <w:pgSz w:w="11905" w:h="16837"/>
      <w:pgMar w:top="1418" w:right="1418" w:bottom="992" w:left="1418" w:header="720" w:footer="930" w:gutter="0"/>
      <w:cols w:space="720" w:num="1"/>
      <w:docGrid w:linePitch="360" w:charSpace="143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pos w:val="beneathText"/>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811C12"/>
    <w:rsid w:val="586F7928"/>
    <w:rsid w:val="5E811C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2018-12-18T02:39:00Z</dcterms:created>
  <dc:creator>yckj</dc:creator>
  <cp:lastModifiedBy>yckj</cp:lastModifiedBy>
  <dcterms:modified xsi:type="dcterms:W3CDTF">2018-12-18T05:25:22Z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