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8241" w:type="dxa"/>
        <w:tblInd w:w="0" w:type="dxa"/>
        <w:tblLayout w:type="fixed"/>
        <w:tblCellMar>
          <w:top w:w="15" w:type="dxa"/>
          <w:left w:w="15" w:type="dxa"/>
          <w:bottom w:w="15" w:type="dxa"/>
          <w:right w:w="15" w:type="dxa"/>
        </w:tblCellMar>
      </w:tblPr>
      <w:tblGrid>
        <w:gridCol w:w="8241"/>
      </w:tblGrid>
      <w:tr>
        <w:tblPrEx>
          <w:tblCellMar>
            <w:top w:w="15" w:type="dxa"/>
            <w:left w:w="15" w:type="dxa"/>
            <w:bottom w:w="15" w:type="dxa"/>
            <w:right w:w="15" w:type="dxa"/>
          </w:tblCellMar>
        </w:tblPrEx>
        <w:trPr>
          <w:trHeight w:val="420" w:hRule="atLeast"/>
        </w:trPr>
        <w:tc>
          <w:tcPr>
            <w:tcW w:w="8241" w:type="dxa"/>
            <w:shd w:val="clear" w:color="auto" w:fill="auto"/>
            <w:vAlign w:val="center"/>
          </w:tcPr>
          <w:p>
            <w:pPr>
              <w:widowControl/>
              <w:jc w:val="center"/>
              <w:textAlignment w:val="center"/>
              <w:rPr>
                <w:rFonts w:ascii="宋体" w:hAnsi="宋体" w:eastAsia="宋体" w:cs="宋体"/>
                <w:b/>
                <w:color w:val="000000"/>
                <w:kern w:val="0"/>
                <w:sz w:val="24"/>
              </w:rPr>
            </w:pPr>
            <w:r>
              <w:rPr>
                <w:rFonts w:hint="eastAsia" w:ascii="宋体" w:hAnsi="宋体" w:eastAsia="宋体" w:cs="宋体"/>
                <w:b/>
                <w:color w:val="000000"/>
                <w:kern w:val="0"/>
                <w:sz w:val="40"/>
                <w:szCs w:val="40"/>
              </w:rPr>
              <w:t>广东深圳法律服务网服务事项指南</w:t>
            </w:r>
          </w:p>
        </w:tc>
      </w:tr>
    </w:tbl>
    <w:p>
      <w:pPr>
        <w:widowControl/>
        <w:wordWrap w:val="0"/>
        <w:jc w:val="right"/>
        <w:textAlignment w:val="center"/>
        <w:rPr>
          <w:rFonts w:ascii="宋体" w:hAnsi="宋体" w:eastAsia="宋体" w:cs="宋体"/>
          <w:color w:val="000000"/>
          <w:sz w:val="20"/>
          <w:szCs w:val="20"/>
        </w:rPr>
      </w:pPr>
      <w:r>
        <w:rPr>
          <w:rFonts w:ascii="宋体" w:hAnsi="宋体" w:eastAsia="宋体" w:cs="宋体"/>
          <w:color w:val="000000"/>
          <w:sz w:val="20"/>
          <w:szCs w:val="20"/>
        </w:rPr>
        <w:t>填写单位：</w:t>
      </w:r>
      <w:r>
        <w:rPr>
          <w:rFonts w:hint="eastAsia" w:ascii="宋体" w:hAnsi="宋体" w:eastAsia="宋体" w:cs="宋体"/>
          <w:color w:val="000000"/>
          <w:sz w:val="20"/>
          <w:szCs w:val="20"/>
        </w:rPr>
        <w:t>广东省深圳监狱</w:t>
      </w:r>
    </w:p>
    <w:tbl>
      <w:tblPr>
        <w:tblStyle w:val="4"/>
        <w:tblW w:w="8241" w:type="dxa"/>
        <w:tblInd w:w="0" w:type="dxa"/>
        <w:tblLayout w:type="fixed"/>
        <w:tblCellMar>
          <w:top w:w="15" w:type="dxa"/>
          <w:left w:w="15" w:type="dxa"/>
          <w:bottom w:w="15" w:type="dxa"/>
          <w:right w:w="15" w:type="dxa"/>
        </w:tblCellMar>
      </w:tblPr>
      <w:tblGrid>
        <w:gridCol w:w="1334"/>
        <w:gridCol w:w="2747"/>
        <w:gridCol w:w="1613"/>
        <w:gridCol w:w="787"/>
        <w:gridCol w:w="1760"/>
      </w:tblGrid>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事项名称</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r>
              <w:rPr>
                <w:rFonts w:hint="eastAsia" w:ascii="宋体" w:hAnsi="宋体" w:eastAsia="宋体" w:cs="宋体"/>
                <w:color w:val="000000"/>
                <w:sz w:val="24"/>
                <w:szCs w:val="24"/>
              </w:rPr>
              <w:t>服刑人员信息查询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事项内容</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r>
              <w:rPr>
                <w:rFonts w:hint="eastAsia" w:ascii="宋体" w:hAnsi="宋体" w:eastAsia="宋体" w:cs="宋体"/>
                <w:color w:val="000000"/>
                <w:sz w:val="24"/>
                <w:szCs w:val="24"/>
              </w:rPr>
              <w:t>提供服刑人员信息的查询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设定依据</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ascii="宋体" w:hAnsi="宋体" w:eastAsia="宋体" w:cs="宋体"/>
                <w:color w:val="auto"/>
                <w:sz w:val="24"/>
                <w:szCs w:val="24"/>
              </w:rPr>
            </w:pPr>
            <w:r>
              <w:rPr>
                <w:rFonts w:hint="eastAsia" w:ascii="宋体" w:hAnsi="宋体" w:eastAsia="宋体" w:cs="宋体"/>
                <w:color w:val="auto"/>
                <w:sz w:val="24"/>
                <w:szCs w:val="24"/>
              </w:rPr>
              <w:t>1.司法部关于监狱系统在执行刑罚过程中实行“两公开一监督”的规定（试行）（司发通[1999]027号）</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ascii="宋体" w:hAnsi="宋体" w:eastAsia="宋体" w:cs="宋体"/>
                <w:color w:val="auto"/>
                <w:sz w:val="24"/>
                <w:szCs w:val="24"/>
              </w:rPr>
            </w:pPr>
            <w:r>
              <w:rPr>
                <w:rFonts w:hint="eastAsia" w:ascii="宋体" w:hAnsi="宋体" w:eastAsia="宋体" w:cs="宋体"/>
                <w:color w:val="auto"/>
                <w:sz w:val="24"/>
                <w:szCs w:val="24"/>
              </w:rPr>
              <w:t>2.司法部关于在监狱系统推行狱务公开的实施意见(司发通［2001］105号)</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3.司法部关于进一步深化狱务公开的意见（司发〔2015〕7号）</w:t>
            </w:r>
          </w:p>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4.广东省监狱管理局狱务公开实施细则（粤狱办〔2023〕254号）</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服务对象</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r>
              <w:rPr>
                <w:rFonts w:hint="eastAsia" w:ascii="宋体" w:hAnsi="宋体" w:eastAsia="宋体" w:cs="宋体"/>
                <w:color w:val="000000"/>
                <w:sz w:val="24"/>
                <w:szCs w:val="24"/>
              </w:rPr>
              <w:t>服刑人员直系家属</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服务主体</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r>
              <w:rPr>
                <w:rFonts w:hint="eastAsia" w:ascii="宋体" w:hAnsi="宋体" w:eastAsia="宋体" w:cs="宋体"/>
                <w:color w:val="000000"/>
                <w:sz w:val="24"/>
                <w:szCs w:val="24"/>
              </w:rPr>
              <w:t>广东省深圳监狱</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办理地点</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szCs w:val="24"/>
              </w:rPr>
            </w:pPr>
            <w:r>
              <w:rPr>
                <w:rFonts w:hint="eastAsia" w:ascii="宋体" w:hAnsi="宋体" w:eastAsia="宋体" w:cs="宋体"/>
                <w:color w:val="000000"/>
                <w:sz w:val="24"/>
                <w:szCs w:val="24"/>
                <w:lang w:val="en-US" w:eastAsia="zh-CN"/>
              </w:rPr>
              <w:t>http://sf.sz.gov.cn/szjy/</w:t>
            </w:r>
            <w:r>
              <w:rPr>
                <w:rFonts w:hint="eastAsia" w:ascii="宋体" w:hAnsi="宋体" w:eastAsia="宋体" w:cs="宋体"/>
                <w:color w:val="000000"/>
                <w:sz w:val="24"/>
                <w:szCs w:val="24"/>
              </w:rPr>
              <w:t>网上查询或0755-</w:t>
            </w:r>
            <w:r>
              <w:rPr>
                <w:rFonts w:hint="eastAsia" w:ascii="宋体" w:hAnsi="宋体" w:eastAsia="宋体" w:cs="宋体"/>
                <w:color w:val="000000"/>
                <w:sz w:val="24"/>
                <w:szCs w:val="24"/>
                <w:lang w:val="en-US" w:eastAsia="zh-CN"/>
              </w:rPr>
              <w:t>82019736</w:t>
            </w:r>
            <w:r>
              <w:rPr>
                <w:rFonts w:hint="eastAsia" w:ascii="宋体" w:hAnsi="宋体" w:eastAsia="宋体" w:cs="宋体"/>
                <w:color w:val="000000"/>
                <w:sz w:val="24"/>
                <w:szCs w:val="24"/>
              </w:rPr>
              <w:t>电话查询</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办理时间</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r>
              <w:rPr>
                <w:rFonts w:hint="eastAsia" w:ascii="宋体" w:hAnsi="宋体" w:eastAsia="宋体" w:cs="宋体"/>
                <w:color w:val="000000"/>
                <w:sz w:val="24"/>
                <w:szCs w:val="24"/>
              </w:rPr>
              <w:t>周一至周五（法定节假日除外）上午9:00-12:00下午14:00-16:30</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法定办结时限</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sz w:val="24"/>
                <w:szCs w:val="24"/>
              </w:rPr>
            </w:pPr>
            <w:r>
              <w:rPr>
                <w:rFonts w:hint="eastAsia" w:ascii="宋体" w:hAnsi="宋体" w:eastAsia="宋体" w:cs="宋体"/>
                <w:color w:val="000000"/>
                <w:sz w:val="24"/>
                <w:szCs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bCs/>
                <w:color w:val="000000"/>
                <w:sz w:val="20"/>
                <w:szCs w:val="20"/>
              </w:rPr>
            </w:pPr>
            <w:r>
              <w:rPr>
                <w:rFonts w:hint="eastAsia" w:ascii="宋体" w:hAnsi="宋体" w:eastAsia="宋体" w:cs="宋体"/>
                <w:b/>
                <w:bCs/>
                <w:color w:val="000000"/>
                <w:kern w:val="0"/>
                <w:sz w:val="20"/>
                <w:szCs w:val="20"/>
              </w:rPr>
              <w:t>承诺办结时限</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szCs w:val="24"/>
              </w:rPr>
            </w:pPr>
            <w:r>
              <w:rPr>
                <w:rFonts w:hint="eastAsia" w:ascii="宋体" w:hAnsi="宋体" w:eastAsia="宋体" w:cs="宋体"/>
                <w:color w:val="000000"/>
                <w:sz w:val="24"/>
                <w:szCs w:val="24"/>
              </w:rPr>
              <w:t>无</w:t>
            </w:r>
          </w:p>
        </w:tc>
      </w:tr>
      <w:tr>
        <w:tblPrEx>
          <w:tblCellMar>
            <w:top w:w="15" w:type="dxa"/>
            <w:left w:w="15" w:type="dxa"/>
            <w:bottom w:w="15" w:type="dxa"/>
            <w:right w:w="15" w:type="dxa"/>
          </w:tblCellMar>
        </w:tblPrEx>
        <w:trPr>
          <w:trHeight w:val="312"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受理条件</w:t>
            </w:r>
          </w:p>
        </w:tc>
        <w:tc>
          <w:tcPr>
            <w:tcW w:w="6907"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监狱向服刑人员直系家属提供查询账号和</w:t>
            </w:r>
            <w:r>
              <w:rPr>
                <w:rFonts w:hint="eastAsia" w:ascii="宋体" w:hAnsi="宋体" w:eastAsia="宋体" w:cs="宋体"/>
                <w:color w:val="000000"/>
                <w:sz w:val="24"/>
                <w:szCs w:val="24"/>
                <w:lang w:eastAsia="zh-CN"/>
              </w:rPr>
              <w:t>密码</w:t>
            </w:r>
          </w:p>
        </w:tc>
      </w:tr>
      <w:tr>
        <w:tblPrEx>
          <w:tblCellMar>
            <w:top w:w="15" w:type="dxa"/>
            <w:left w:w="15" w:type="dxa"/>
            <w:bottom w:w="15" w:type="dxa"/>
            <w:right w:w="15" w:type="dxa"/>
          </w:tblCellMar>
        </w:tblPrEx>
        <w:trPr>
          <w:trHeight w:val="312"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6907"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312"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6907"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312"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6907"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312"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6907"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restart"/>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申请材料</w:t>
            </w:r>
          </w:p>
        </w:tc>
        <w:tc>
          <w:tcPr>
            <w:tcW w:w="2747"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材料名称</w:t>
            </w:r>
          </w:p>
        </w:tc>
        <w:tc>
          <w:tcPr>
            <w:tcW w:w="1613"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ascii="宋体" w:hAnsi="宋体" w:eastAsia="宋体" w:cs="宋体"/>
                <w:b/>
                <w:color w:val="000000"/>
                <w:kern w:val="0"/>
                <w:sz w:val="24"/>
              </w:rPr>
              <w:t>是否必须</w:t>
            </w:r>
            <w:r>
              <w:rPr>
                <w:rFonts w:hint="eastAsia" w:ascii="宋体" w:hAnsi="宋体" w:eastAsia="宋体" w:cs="宋体"/>
                <w:b/>
                <w:color w:val="000000"/>
                <w:kern w:val="0"/>
                <w:sz w:val="24"/>
              </w:rPr>
              <w:t>原件</w:t>
            </w:r>
          </w:p>
        </w:tc>
        <w:tc>
          <w:tcPr>
            <w:tcW w:w="787"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复印件份数</w:t>
            </w:r>
          </w:p>
        </w:tc>
        <w:tc>
          <w:tcPr>
            <w:tcW w:w="1760"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rPr>
              <w:t>⽰范⽂本</w:t>
            </w: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2747"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hint="eastAsia" w:ascii="宋体" w:hAnsi="宋体" w:eastAsia="宋体" w:cs="宋体"/>
                <w:color w:val="000000"/>
                <w:sz w:val="24"/>
              </w:rPr>
              <w:t>无</w:t>
            </w:r>
          </w:p>
        </w:tc>
        <w:tc>
          <w:tcPr>
            <w:tcW w:w="1613"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787"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760"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C00000"/>
                <w:sz w:val="22"/>
                <w:szCs w:val="22"/>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2747"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613"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787"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760"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2747"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613"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787"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760"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285" w:hRule="atLeast"/>
        </w:trPr>
        <w:tc>
          <w:tcPr>
            <w:tcW w:w="1334" w:type="dxa"/>
            <w:vMerge w:val="continue"/>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8"/>
                <w:szCs w:val="28"/>
              </w:rPr>
            </w:pPr>
          </w:p>
        </w:tc>
        <w:tc>
          <w:tcPr>
            <w:tcW w:w="2747"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613"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sz w:val="24"/>
              </w:rPr>
              <w:sym w:font="Wingdings 2" w:char="00A3"/>
            </w:r>
            <w:r>
              <w:rPr>
                <w:rFonts w:ascii="宋体" w:hAnsi="宋体" w:eastAsia="宋体" w:cs="宋体"/>
                <w:color w:val="000000"/>
                <w:sz w:val="24"/>
              </w:rPr>
              <w:t xml:space="preserve">是 </w:t>
            </w:r>
            <w:r>
              <w:rPr>
                <w:rFonts w:ascii="宋体" w:hAnsi="宋体" w:eastAsia="宋体" w:cs="宋体"/>
                <w:color w:val="000000"/>
                <w:sz w:val="24"/>
              </w:rPr>
              <w:sym w:font="Wingdings 2" w:char="00A3"/>
            </w:r>
            <w:r>
              <w:rPr>
                <w:rFonts w:ascii="宋体" w:hAnsi="宋体" w:eastAsia="宋体" w:cs="宋体"/>
                <w:color w:val="000000"/>
                <w:sz w:val="24"/>
              </w:rPr>
              <w:t>否</w:t>
            </w:r>
          </w:p>
        </w:tc>
        <w:tc>
          <w:tcPr>
            <w:tcW w:w="787"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c>
          <w:tcPr>
            <w:tcW w:w="1760" w:type="dxa"/>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p>
        </w:tc>
      </w:tr>
      <w:tr>
        <w:tblPrEx>
          <w:tblCellMar>
            <w:top w:w="15" w:type="dxa"/>
            <w:left w:w="15" w:type="dxa"/>
            <w:bottom w:w="15" w:type="dxa"/>
            <w:right w:w="15" w:type="dxa"/>
          </w:tblCellMar>
        </w:tblPrEx>
        <w:trPr>
          <w:trHeight w:val="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tabs>
                <w:tab w:val="left" w:pos="441"/>
              </w:tabs>
              <w:jc w:val="left"/>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申请材料接收方式</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bCs/>
                <w:color w:val="000000"/>
                <w:kern w:val="0"/>
                <w:sz w:val="24"/>
              </w:rPr>
            </w:pPr>
            <w:r>
              <w:rPr>
                <w:rFonts w:hint="eastAsia" w:ascii="宋体" w:hAnsi="宋体" w:eastAsia="宋体" w:cs="宋体"/>
                <w:bCs/>
                <w:color w:val="000000"/>
                <w:kern w:val="0"/>
                <w:sz w:val="24"/>
              </w:rPr>
              <w:t>无需材料</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ascii="宋体" w:hAnsi="宋体" w:eastAsia="宋体" w:cs="宋体"/>
                <w:color w:val="000000"/>
                <w:sz w:val="28"/>
                <w:szCs w:val="28"/>
              </w:rPr>
              <w:t>答复形式</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bCs/>
                <w:color w:val="000000"/>
                <w:kern w:val="0"/>
                <w:sz w:val="24"/>
              </w:rPr>
              <w:sym w:font="Wingdings 2" w:char="00A3"/>
            </w:r>
            <w:r>
              <w:rPr>
                <w:rFonts w:ascii="宋体" w:hAnsi="宋体" w:eastAsia="宋体" w:cs="宋体"/>
                <w:bCs/>
                <w:color w:val="000000"/>
                <w:kern w:val="0"/>
                <w:sz w:val="24"/>
              </w:rPr>
              <w:t xml:space="preserve">口头答复  </w:t>
            </w:r>
            <w:r>
              <w:rPr>
                <w:rFonts w:ascii="宋体" w:hAnsi="宋体" w:eastAsia="宋体" w:cs="宋体"/>
                <w:bCs/>
                <w:color w:val="000000"/>
                <w:kern w:val="0"/>
                <w:sz w:val="24"/>
              </w:rPr>
              <w:sym w:font="Wingdings 2" w:char="00A3"/>
            </w:r>
            <w:r>
              <w:rPr>
                <w:rFonts w:ascii="宋体" w:hAnsi="宋体" w:eastAsia="宋体" w:cs="宋体"/>
                <w:bCs/>
                <w:color w:val="000000"/>
                <w:kern w:val="0"/>
                <w:sz w:val="24"/>
              </w:rPr>
              <w:t>书面答复</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结果</w:t>
            </w:r>
            <w:r>
              <w:rPr>
                <w:rFonts w:ascii="宋体" w:hAnsi="宋体" w:eastAsia="宋体" w:cs="宋体"/>
                <w:color w:val="000000"/>
                <w:kern w:val="0"/>
                <w:sz w:val="28"/>
                <w:szCs w:val="28"/>
              </w:rPr>
              <w:t>文书</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sz w:val="24"/>
              </w:rPr>
            </w:pPr>
            <w:r>
              <w:rPr>
                <w:rFonts w:hint="eastAsia" w:ascii="宋体" w:hAnsi="宋体" w:eastAsia="宋体" w:cs="宋体"/>
                <w:color w:val="000000" w:themeColor="text1"/>
                <w:kern w:val="0"/>
                <w:sz w:val="24"/>
                <w14:textFill>
                  <w14:solidFill>
                    <w14:schemeClr w14:val="tx1"/>
                  </w14:solidFill>
                </w14:textFill>
              </w:rPr>
              <w:t>无结果文书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是否收费</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ascii="宋体" w:hAnsi="宋体" w:eastAsia="宋体" w:cs="宋体"/>
                <w:color w:val="000000"/>
                <w:kern w:val="0"/>
                <w:sz w:val="24"/>
              </w:rPr>
              <w:sym w:font="Wingdings 2" w:char="00A3"/>
            </w:r>
            <w:r>
              <w:rPr>
                <w:rFonts w:ascii="宋体" w:hAnsi="宋体" w:eastAsia="宋体" w:cs="宋体"/>
                <w:color w:val="000000"/>
                <w:kern w:val="0"/>
                <w:sz w:val="24"/>
              </w:rPr>
              <w:t xml:space="preserve">是      </w:t>
            </w:r>
            <w:r>
              <w:rPr>
                <w:rFonts w:ascii="宋体" w:hAnsi="宋体" w:eastAsia="宋体" w:cs="宋体"/>
                <w:color w:val="000000"/>
                <w:kern w:val="0"/>
                <w:sz w:val="24"/>
              </w:rPr>
              <w:sym w:font="Wingdings 2" w:char="0052"/>
            </w:r>
            <w:r>
              <w:rPr>
                <w:rFonts w:ascii="宋体" w:hAnsi="宋体" w:eastAsia="宋体" w:cs="宋体"/>
                <w:color w:val="000000"/>
                <w:kern w:val="0"/>
                <w:sz w:val="24"/>
              </w:rPr>
              <w:t>否</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收费标准</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收费依据</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无</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kern w:val="0"/>
                <w:sz w:val="28"/>
                <w:szCs w:val="28"/>
              </w:rPr>
            </w:pPr>
            <w:r>
              <w:rPr>
                <w:rFonts w:ascii="宋体" w:hAnsi="宋体" w:eastAsia="宋体" w:cs="宋体"/>
                <w:color w:val="000000"/>
                <w:kern w:val="0"/>
                <w:sz w:val="28"/>
                <w:szCs w:val="28"/>
              </w:rPr>
              <w:t>收费方式</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rPr>
            </w:pPr>
            <w:r>
              <w:rPr>
                <w:rFonts w:ascii="宋体" w:hAnsi="宋体" w:eastAsia="宋体" w:cs="宋体"/>
                <w:color w:val="000000"/>
                <w:kern w:val="0"/>
                <w:sz w:val="24"/>
              </w:rPr>
              <w:t>□线上支付      □现金支付</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送达方式</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eastAsia="宋体" w:cs="宋体"/>
                <w:color w:val="000000"/>
                <w:kern w:val="0"/>
                <w:sz w:val="24"/>
              </w:rPr>
            </w:pPr>
            <w:r>
              <w:rPr>
                <w:rFonts w:hint="eastAsia" w:ascii="宋体" w:hAnsi="宋体" w:eastAsia="宋体" w:cs="宋体"/>
                <w:color w:val="000000"/>
                <w:kern w:val="0"/>
                <w:sz w:val="24"/>
              </w:rPr>
              <w:t>无文书送达</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咨询电话</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color w:val="000000"/>
                <w:sz w:val="24"/>
                <w:lang w:val="en-US" w:eastAsia="zh-CN"/>
              </w:rPr>
            </w:pPr>
            <w:r>
              <w:rPr>
                <w:rFonts w:hint="eastAsia" w:ascii="宋体" w:hAnsi="宋体" w:eastAsia="宋体" w:cs="宋体"/>
                <w:color w:val="000000"/>
                <w:sz w:val="24"/>
              </w:rPr>
              <w:t>0755-</w:t>
            </w:r>
            <w:r>
              <w:rPr>
                <w:rFonts w:hint="eastAsia" w:ascii="宋体" w:hAnsi="宋体" w:eastAsia="宋体" w:cs="宋体"/>
                <w:color w:val="000000"/>
                <w:sz w:val="24"/>
                <w:lang w:val="en-US" w:eastAsia="zh-CN"/>
              </w:rPr>
              <w:t>82019736</w:t>
            </w:r>
          </w:p>
        </w:tc>
      </w:tr>
      <w:tr>
        <w:tblPrEx>
          <w:tblCellMar>
            <w:top w:w="15" w:type="dxa"/>
            <w:left w:w="15" w:type="dxa"/>
            <w:bottom w:w="15" w:type="dxa"/>
            <w:right w:w="15" w:type="dxa"/>
          </w:tblCellMar>
        </w:tblPrEx>
        <w:trPr>
          <w:trHeight w:val="450" w:hRule="atLeast"/>
        </w:trPr>
        <w:tc>
          <w:tcPr>
            <w:tcW w:w="1334" w:type="dxa"/>
            <w:tcBorders>
              <w:top w:val="single" w:color="000000" w:sz="4" w:space="0"/>
              <w:left w:val="single" w:color="000000" w:sz="4" w:space="0"/>
              <w:bottom w:val="single" w:color="000000" w:sz="4" w:space="0"/>
              <w:right w:val="single" w:color="000000" w:sz="4" w:space="0"/>
            </w:tcBorders>
            <w:shd w:val="clear" w:color="auto" w:fill="FAFAFA"/>
            <w:vAlign w:val="center"/>
          </w:tcPr>
          <w:p>
            <w:pPr>
              <w:widowControl/>
              <w:jc w:val="center"/>
              <w:textAlignment w:val="center"/>
              <w:rPr>
                <w:rFonts w:ascii="宋体" w:hAnsi="宋体" w:eastAsia="宋体" w:cs="宋体"/>
                <w:color w:val="000000"/>
                <w:sz w:val="28"/>
                <w:szCs w:val="28"/>
              </w:rPr>
            </w:pPr>
            <w:r>
              <w:rPr>
                <w:rFonts w:hint="eastAsia" w:ascii="宋体" w:hAnsi="宋体" w:eastAsia="宋体" w:cs="宋体"/>
                <w:color w:val="000000"/>
                <w:kern w:val="0"/>
                <w:sz w:val="28"/>
                <w:szCs w:val="28"/>
              </w:rPr>
              <w:t>监督电话</w:t>
            </w:r>
          </w:p>
        </w:tc>
        <w:tc>
          <w:tcPr>
            <w:tcW w:w="69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eastAsia="宋体" w:cs="宋体"/>
                <w:color w:val="000000"/>
                <w:sz w:val="24"/>
              </w:rPr>
            </w:pPr>
            <w:r>
              <w:rPr>
                <w:rFonts w:hint="eastAsia" w:ascii="宋体" w:hAnsi="宋体" w:eastAsia="宋体" w:cs="宋体"/>
                <w:color w:val="000000"/>
                <w:sz w:val="24"/>
              </w:rPr>
              <w:t>0755-66838649</w:t>
            </w:r>
          </w:p>
        </w:tc>
      </w:tr>
      <w:tr>
        <w:tblPrEx>
          <w:tblCellMar>
            <w:top w:w="15" w:type="dxa"/>
            <w:left w:w="15" w:type="dxa"/>
            <w:bottom w:w="15" w:type="dxa"/>
            <w:right w:w="15" w:type="dxa"/>
          </w:tblCellMar>
        </w:tblPrEx>
        <w:trPr>
          <w:trHeight w:val="450" w:hRule="atLeast"/>
        </w:trPr>
        <w:tc>
          <w:tcPr>
            <w:tcW w:w="8241" w:type="dxa"/>
            <w:gridSpan w:val="5"/>
            <w:tcBorders>
              <w:top w:val="single" w:color="000000" w:sz="4" w:space="0"/>
              <w:left w:val="single" w:color="000000" w:sz="4" w:space="0"/>
              <w:bottom w:val="single" w:color="000000" w:sz="4" w:space="0"/>
              <w:right w:val="single" w:color="000000" w:sz="4" w:space="0"/>
            </w:tcBorders>
            <w:shd w:val="clear" w:color="auto" w:fill="FAFAFA"/>
            <w:vAlign w:val="center"/>
          </w:tcPr>
          <w:p>
            <w:pPr>
              <w:jc w:val="center"/>
              <w:rPr>
                <w:rFonts w:ascii="宋体" w:hAnsi="宋体" w:eastAsia="宋体" w:cs="宋体"/>
                <w:color w:val="000000"/>
                <w:sz w:val="24"/>
              </w:rPr>
            </w:pPr>
            <w:r>
              <w:rPr>
                <w:rFonts w:ascii="宋体" w:hAnsi="宋体" w:eastAsia="宋体" w:cs="宋体"/>
                <w:color w:val="000000"/>
                <w:kern w:val="0"/>
                <w:sz w:val="28"/>
                <w:szCs w:val="28"/>
              </w:rPr>
              <w:t xml:space="preserve">本项服务是否为新增服务事项：□是   </w:t>
            </w:r>
            <w:r>
              <w:rPr>
                <w:rFonts w:ascii="宋体" w:hAnsi="宋体" w:eastAsia="宋体" w:cs="宋体"/>
                <w:color w:val="000000"/>
                <w:kern w:val="0"/>
                <w:sz w:val="28"/>
                <w:szCs w:val="28"/>
              </w:rPr>
              <w:sym w:font="Wingdings 2" w:char="0052"/>
            </w:r>
            <w:r>
              <w:rPr>
                <w:rFonts w:ascii="宋体" w:hAnsi="宋体" w:eastAsia="宋体" w:cs="宋体"/>
                <w:color w:val="000000"/>
                <w:kern w:val="0"/>
                <w:sz w:val="28"/>
                <w:szCs w:val="28"/>
              </w:rPr>
              <w:t>否</w:t>
            </w:r>
          </w:p>
        </w:tc>
      </w:tr>
    </w:tbl>
    <w:p>
      <w:r>
        <w:t>办理流程图 图例：</w:t>
      </w:r>
    </w:p>
    <w:p>
      <w:pPr>
        <w:ind w:firstLine="640" w:firstLineChars="200"/>
        <w:rPr>
          <w:sz w:val="32"/>
          <w:szCs w:val="32"/>
        </w:rPr>
      </w:pPr>
      <w:r>
        <w:rPr>
          <w:sz w:val="32"/>
          <w:szCs w:val="32"/>
        </w:rPr>
        <mc:AlternateContent>
          <mc:Choice Requires="wps">
            <w:drawing>
              <wp:anchor distT="0" distB="0" distL="114300" distR="114300" simplePos="0" relativeHeight="251658240" behindDoc="0" locked="0" layoutInCell="1" allowOverlap="1">
                <wp:simplePos x="0" y="0"/>
                <wp:positionH relativeFrom="column">
                  <wp:posOffset>1339215</wp:posOffset>
                </wp:positionH>
                <wp:positionV relativeFrom="paragraph">
                  <wp:posOffset>1530985</wp:posOffset>
                </wp:positionV>
                <wp:extent cx="2535555" cy="436880"/>
                <wp:effectExtent l="6350" t="6350" r="17780" b="17145"/>
                <wp:wrapNone/>
                <wp:docPr id="1" name="同侧圆角矩形 1"/>
                <wp:cNvGraphicFramePr/>
                <a:graphic xmlns:a="http://schemas.openxmlformats.org/drawingml/2006/main">
                  <a:graphicData uri="http://schemas.microsoft.com/office/word/2010/wordprocessingShape">
                    <wps:wsp>
                      <wps:cNvSpPr/>
                      <wps:spPr>
                        <a:xfrm>
                          <a:off x="0" y="0"/>
                          <a:ext cx="2392045" cy="436880"/>
                        </a:xfrm>
                        <a:prstGeom prst="round2SameRect">
                          <a:avLst/>
                        </a:prstGeom>
                        <a:solidFill>
                          <a:srgbClr val="FFFFFF"/>
                        </a:solidFill>
                        <a:ln w="12700" cap="flat" cmpd="sng" algn="ctr">
                          <a:solidFill>
                            <a:srgbClr val="000000"/>
                          </a:solidFill>
                          <a:prstDash val="solid"/>
                          <a:miter lim="800000"/>
                        </a:ln>
                        <a:effectLst/>
                      </wps:spPr>
                      <wps:txbx>
                        <w:txbxContent>
                          <w:p>
                            <w:pPr>
                              <w:ind w:left="640" w:hanging="480" w:hangingChars="200"/>
                              <w:jc w:val="center"/>
                              <w:rPr>
                                <w:sz w:val="24"/>
                                <w:szCs w:val="24"/>
                              </w:rPr>
                            </w:pPr>
                            <w:r>
                              <w:rPr>
                                <w:rFonts w:hint="eastAsia" w:ascii="仿宋_GB2312" w:hAnsi="仿宋_GB2312" w:eastAsia="仿宋_GB2312" w:cs="仿宋_GB2312"/>
                                <w:color w:val="000000"/>
                                <w:sz w:val="24"/>
                                <w:szCs w:val="24"/>
                              </w:rPr>
                              <w:t>登陆</w:t>
                            </w:r>
                            <w:r>
                              <w:rPr>
                                <w:rFonts w:hint="eastAsia" w:ascii="宋体" w:hAnsi="宋体" w:eastAsia="宋体" w:cs="宋体"/>
                                <w:color w:val="000000"/>
                                <w:sz w:val="24"/>
                                <w:szCs w:val="24"/>
                              </w:rPr>
                              <w:t>http://sf.sz.gov.cn/szjy/</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style="position:absolute;left:0pt;margin-left:105.45pt;margin-top:120.55pt;height:34.4pt;width:199.65pt;z-index:251658240;v-text-anchor:middle;mso-width-relative:page;mso-height-relative:page;" fillcolor="#FFFFFF" filled="t" stroked="t" coordsize="2392045,436880" o:gfxdata="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" path="m72814,0l2319230,0c2359444,0,2392044,32600,2392044,72814l2392045,436880,2392045,436880,0,436880,0,436880,0,72814c0,32600,32600,0,72814,0xe">
                <v:path textboxrect="0,0,2392045,436880" o:connectlocs="2392045,218440;1196022,436880;0,218440;1196022,0" o:connectangles="0,82,164,247"/>
                <v:fill on="t" focussize="0,0"/>
                <v:stroke weight="1pt" color="#000000" miterlimit="8" joinstyle="miter"/>
                <v:imagedata o:title=""/>
                <o:lock v:ext="edit" aspectratio="f"/>
                <v:textbox>
                  <w:txbxContent>
                    <w:p>
                      <w:pPr>
                        <w:ind w:left="640" w:hanging="480" w:hangingChars="200"/>
                        <w:jc w:val="center"/>
                        <w:rPr>
                          <w:sz w:val="24"/>
                          <w:szCs w:val="24"/>
                        </w:rPr>
                      </w:pPr>
                      <w:r>
                        <w:rPr>
                          <w:rFonts w:hint="eastAsia" w:ascii="仿宋_GB2312" w:hAnsi="仿宋_GB2312" w:eastAsia="仿宋_GB2312" w:cs="仿宋_GB2312"/>
                          <w:color w:val="000000"/>
                          <w:sz w:val="24"/>
                          <w:szCs w:val="24"/>
                        </w:rPr>
                        <w:t>登陆</w:t>
                      </w:r>
                      <w:r>
                        <w:rPr>
                          <w:rFonts w:hint="eastAsia" w:ascii="宋体" w:hAnsi="宋体" w:eastAsia="宋体" w:cs="宋体"/>
                          <w:color w:val="000000"/>
                          <w:sz w:val="24"/>
                          <w:szCs w:val="24"/>
                        </w:rPr>
                        <w:t>http://sf.sz.gov.cn/szjy/</w:t>
                      </w:r>
                    </w:p>
                  </w:txbxContent>
                </v:textbox>
              </v:shape>
            </w:pict>
          </mc:Fallback>
        </mc:AlternateContent>
      </w:r>
      <w:r>
        <w:rPr>
          <w:rFonts w:hint="eastAsia" w:ascii="仿宋_GB2312" w:hAnsi="仿宋_GB2312" w:eastAsia="仿宋_GB2312" w:cs="仿宋_GB2312"/>
          <w:sz w:val="32"/>
          <w:szCs w:val="32"/>
        </w:rPr>
        <w:t>登陆网址</w:t>
      </w:r>
      <w:r>
        <w:rPr>
          <w:rFonts w:hint="eastAsia" w:ascii="宋体" w:hAnsi="宋体" w:eastAsia="宋体" w:cs="宋体"/>
          <w:color w:val="000000"/>
          <w:sz w:val="32"/>
          <w:szCs w:val="32"/>
        </w:rPr>
        <w:t>http://sf.sz.gov.cn/szjy/</w:t>
      </w:r>
      <w:r>
        <w:rPr>
          <w:rFonts w:hint="eastAsia" w:ascii="仿宋_GB2312" w:hAnsi="仿宋_GB2312" w:eastAsia="仿宋_GB2312" w:cs="仿宋_GB2312"/>
          <w:color w:val="000000"/>
          <w:sz w:val="32"/>
          <w:szCs w:val="32"/>
        </w:rPr>
        <w:t>点击“网上办事”栏目下“服刑人员信息查询”,服刑人员直系家属通过监狱提供的账户和密码即可查询服刑人员相关信息，或拨打0755-</w:t>
      </w:r>
      <w:r>
        <w:rPr>
          <w:rFonts w:hint="eastAsia" w:ascii="仿宋_GB2312" w:hAnsi="仿宋_GB2312" w:eastAsia="仿宋_GB2312" w:cs="仿宋_GB2312"/>
          <w:color w:val="000000"/>
          <w:sz w:val="32"/>
          <w:szCs w:val="32"/>
          <w:lang w:val="en-US" w:eastAsia="zh-CN"/>
        </w:rPr>
        <w:t>82019736</w:t>
      </w:r>
      <w:r>
        <w:rPr>
          <w:rFonts w:hint="eastAsia" w:ascii="仿宋_GB2312" w:hAnsi="仿宋_GB2312" w:eastAsia="仿宋_GB2312" w:cs="仿宋_GB2312"/>
          <w:color w:val="000000"/>
          <w:sz w:val="32"/>
          <w:szCs w:val="32"/>
        </w:rPr>
        <w:t>电话查询。</w:t>
      </w:r>
    </w:p>
    <w:p>
      <w:bookmarkStart w:id="0" w:name="_GoBack"/>
      <w:bookmarkEnd w:id="0"/>
      <w:r>
        <mc:AlternateContent>
          <mc:Choice Requires="wps">
            <w:drawing>
              <wp:anchor distT="0" distB="0" distL="114300" distR="114300" simplePos="0" relativeHeight="251661312" behindDoc="0" locked="0" layoutInCell="1" allowOverlap="1">
                <wp:simplePos x="0" y="0"/>
                <wp:positionH relativeFrom="column">
                  <wp:posOffset>1310005</wp:posOffset>
                </wp:positionH>
                <wp:positionV relativeFrom="paragraph">
                  <wp:posOffset>1791970</wp:posOffset>
                </wp:positionV>
                <wp:extent cx="2555875" cy="645795"/>
                <wp:effectExtent l="6350" t="6350" r="15875" b="10795"/>
                <wp:wrapNone/>
                <wp:docPr id="4" name="同侧圆角矩形 4"/>
                <wp:cNvGraphicFramePr/>
                <a:graphic xmlns:a="http://schemas.openxmlformats.org/drawingml/2006/main">
                  <a:graphicData uri="http://schemas.microsoft.com/office/word/2010/wordprocessingShape">
                    <wps:wsp>
                      <wps:cNvSpPr/>
                      <wps:spPr>
                        <a:xfrm>
                          <a:off x="0" y="0"/>
                          <a:ext cx="2555875" cy="645795"/>
                        </a:xfrm>
                        <a:prstGeom prst="round2SameRect">
                          <a:avLst/>
                        </a:prstGeom>
                        <a:solidFill>
                          <a:srgbClr val="FFFFFF"/>
                        </a:solidFill>
                        <a:ln w="12700" cap="flat" cmpd="sng" algn="ctr">
                          <a:solidFill>
                            <a:srgbClr val="000000"/>
                          </a:solidFill>
                          <a:prstDash val="solid"/>
                          <a:miter lim="800000"/>
                        </a:ln>
                        <a:effectLst/>
                      </wps:spPr>
                      <wps:txbx>
                        <w:txbxContent>
                          <w:p>
                            <w:pPr>
                              <w:jc w:val="center"/>
                            </w:pPr>
                            <w:r>
                              <w:rPr>
                                <w:rFonts w:hint="eastAsia" w:ascii="仿宋_GB2312" w:hAnsi="仿宋_GB2312" w:eastAsia="仿宋_GB2312" w:cs="仿宋_GB2312"/>
                                <w:color w:val="000000"/>
                                <w:sz w:val="24"/>
                              </w:rPr>
                              <w:t>在“服刑人员信息查询栏”输入账号和密码即可进行查询</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style="position:absolute;left:0pt;margin-left:103.15pt;margin-top:141.1pt;height:50.85pt;width:201.25pt;z-index:251661312;v-text-anchor:middle;mso-width-relative:page;mso-height-relative:page;" fillcolor="#FFFFFF" filled="t" stroked="t" coordsize="2555875,645795" o:gfxdata="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" path="m107634,0l2448240,0c2507685,0,2555874,48189,2555874,107634l2555875,645795,2555875,645795,0,645795,0,645795,0,107634c0,48189,48189,0,107634,0xe">
                <v:path textboxrect="0,0,2555875,645795" o:connectlocs="2555875,322897;1277937,645795;0,322897;1277937,0" o:connectangles="0,82,164,247"/>
                <v:fill on="t" focussize="0,0"/>
                <v:stroke weight="1pt" color="#000000" miterlimit="8" joinstyle="miter"/>
                <v:imagedata o:title=""/>
                <o:lock v:ext="edit" aspectratio="f"/>
                <v:textbox>
                  <w:txbxContent>
                    <w:p>
                      <w:pPr>
                        <w:jc w:val="center"/>
                      </w:pPr>
                      <w:r>
                        <w:rPr>
                          <w:rFonts w:hint="eastAsia" w:ascii="仿宋_GB2312" w:hAnsi="仿宋_GB2312" w:eastAsia="仿宋_GB2312" w:cs="仿宋_GB2312"/>
                          <w:color w:val="000000"/>
                          <w:sz w:val="24"/>
                        </w:rPr>
                        <w:t>在“服刑人员信息查询栏”输入账号和密码即可进行查询</w:t>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2614295</wp:posOffset>
                </wp:positionH>
                <wp:positionV relativeFrom="paragraph">
                  <wp:posOffset>1406525</wp:posOffset>
                </wp:positionV>
                <wp:extent cx="9525" cy="373380"/>
                <wp:effectExtent l="46990" t="0" r="53975" b="13335"/>
                <wp:wrapNone/>
                <wp:docPr id="5" name="直接箭头连接符 5"/>
                <wp:cNvGraphicFramePr/>
                <a:graphic xmlns:a="http://schemas.openxmlformats.org/drawingml/2006/main">
                  <a:graphicData uri="http://schemas.microsoft.com/office/word/2010/wordprocessingShape">
                    <wps:wsp>
                      <wps:cNvCnPr/>
                      <wps:spPr>
                        <a:xfrm flipH="true">
                          <a:off x="0" y="0"/>
                          <a:ext cx="9525" cy="373380"/>
                        </a:xfrm>
                        <a:prstGeom prst="straightConnector1">
                          <a:avLst/>
                        </a:prstGeom>
                        <a:noFill/>
                        <a:ln w="6350" cap="flat" cmpd="sng" algn="ctr">
                          <a:solidFill>
                            <a:srgbClr val="5B9BD5"/>
                          </a:solidFill>
                          <a:prstDash val="solid"/>
                          <a:miter lim="800000"/>
                          <a:tailEnd type="arrow"/>
                        </a:ln>
                        <a:effectLst/>
                      </wps:spPr>
                      <wps:bodyPr/>
                    </wps:wsp>
                  </a:graphicData>
                </a:graphic>
              </wp:anchor>
            </w:drawing>
          </mc:Choice>
          <mc:Fallback>
            <w:pict>
              <v:shape id="_x0000_s1026" o:spid="_x0000_s1026" o:spt="32" type="#_x0000_t32" style="position:absolute;left:0pt;flip:x;margin-left:205.85pt;margin-top:110.75pt;height:29.4pt;width:0.75pt;z-index:251663360;mso-width-relative:page;mso-height-relative:page;" filled="f" stroked="t" coordsize="21600,21600" o:gfxdata="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FgAAAGRycy9QSwECFAAUAAAACACHTuJAEkv8QNoAAAALAQAA&#10;DwAAAAAAAAABACAAAAA4AAAAZHJzL2Rvd25yZXYueG1sUEsBAhQAFAAAAAgAh07iQAkjyzYBAgAA&#10;rQMAAA4AAAAAAAAAAQAgAAAAPwEAAGRycy9lMm9Eb2MueG1sUEsFBgAAAAAGAAYAWQEAALIFAAAA&#10;AA==&#10;">
                <v:fill on="f" focussize="0,0"/>
                <v:stroke weight="0.5pt" color="#5B9BD5" miterlimit="8" joinstyle="miter" endarrow="open"/>
                <v:imagedata o:title=""/>
                <o:lock v:ext="edit" aspectratio="f"/>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2623820</wp:posOffset>
                </wp:positionH>
                <wp:positionV relativeFrom="paragraph">
                  <wp:posOffset>389890</wp:posOffset>
                </wp:positionV>
                <wp:extent cx="3175" cy="383540"/>
                <wp:effectExtent l="48260" t="0" r="59055" b="3175"/>
                <wp:wrapNone/>
                <wp:docPr id="2" name="直接箭头连接符 2"/>
                <wp:cNvGraphicFramePr/>
                <a:graphic xmlns:a="http://schemas.openxmlformats.org/drawingml/2006/main">
                  <a:graphicData uri="http://schemas.microsoft.com/office/word/2010/wordprocessingShape">
                    <wps:wsp>
                      <wps:cNvCnPr/>
                      <wps:spPr>
                        <a:xfrm flipH="true">
                          <a:off x="3669030" y="7821295"/>
                          <a:ext cx="3175" cy="383540"/>
                        </a:xfrm>
                        <a:prstGeom prst="straightConnector1">
                          <a:avLst/>
                        </a:prstGeom>
                        <a:noFill/>
                        <a:ln w="6350" cap="flat" cmpd="sng" algn="ctr">
                          <a:solidFill>
                            <a:srgbClr val="5B9BD5"/>
                          </a:solidFill>
                          <a:prstDash val="solid"/>
                          <a:miter lim="800000"/>
                          <a:tailEnd type="arrow"/>
                        </a:ln>
                        <a:effectLst/>
                      </wps:spPr>
                      <wps:bodyPr/>
                    </wps:wsp>
                  </a:graphicData>
                </a:graphic>
              </wp:anchor>
            </w:drawing>
          </mc:Choice>
          <mc:Fallback>
            <w:pict>
              <v:shape id="_x0000_s1026" o:spid="_x0000_s1026" o:spt="32" type="#_x0000_t32" style="position:absolute;left:0pt;flip:x;margin-left:206.6pt;margin-top:30.7pt;height:30.2pt;width:0.25pt;z-index:251659264;mso-width-relative:page;mso-height-relative:page;" filled="f" stroked="t" coordsize="21600,21600" o:gfxdata="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o&#10;Qnmt1wAAAAoBAAAPAAAAAAAAAAEAIAAAADgAAABkcnMvZG93bnJldi54bWxQSwECFAAUAAAACACH&#10;TuJAIJLs3A8CAAC5AwAADgAAAAAAAAABACAAAAA8AQAAZHJzL2Uyb0RvYy54bWxQSwUGAAAAAAYA&#10;BgBZAQAAvQUAAAAA&#10;">
                <v:fill on="f" focussize="0,0"/>
                <v:stroke weight="0.5pt" color="#5B9BD5" miterlimit="8" joinstyle="miter" endarrow="open"/>
                <v:imagedata o:title=""/>
                <o:lock v:ext="edit" aspectratio="f"/>
              </v:shape>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1328420</wp:posOffset>
                </wp:positionH>
                <wp:positionV relativeFrom="paragraph">
                  <wp:posOffset>810260</wp:posOffset>
                </wp:positionV>
                <wp:extent cx="2565400" cy="596900"/>
                <wp:effectExtent l="6350" t="6350" r="6350" b="22860"/>
                <wp:wrapNone/>
                <wp:docPr id="3" name="同侧圆角矩形 3"/>
                <wp:cNvGraphicFramePr/>
                <a:graphic xmlns:a="http://schemas.openxmlformats.org/drawingml/2006/main">
                  <a:graphicData uri="http://schemas.microsoft.com/office/word/2010/wordprocessingShape">
                    <wps:wsp>
                      <wps:cNvSpPr/>
                      <wps:spPr>
                        <a:xfrm>
                          <a:off x="0" y="0"/>
                          <a:ext cx="2565400" cy="596900"/>
                        </a:xfrm>
                        <a:prstGeom prst="round2SameRect">
                          <a:avLst/>
                        </a:prstGeom>
                        <a:solidFill>
                          <a:srgbClr val="FFFFFF"/>
                        </a:solidFill>
                        <a:ln w="12700" cap="flat" cmpd="sng" algn="ctr">
                          <a:solidFill>
                            <a:srgbClr val="000000"/>
                          </a:solidFill>
                          <a:prstDash val="solid"/>
                          <a:miter lim="800000"/>
                        </a:ln>
                        <a:effectLst/>
                      </wps:spPr>
                      <wps:txbx>
                        <w:txbxContent>
                          <w:p>
                            <w:pPr>
                              <w:jc w:val="center"/>
                              <w:rPr>
                                <w:sz w:val="24"/>
                                <w:szCs w:val="24"/>
                              </w:rPr>
                            </w:pPr>
                            <w:r>
                              <w:rPr>
                                <w:rFonts w:hint="eastAsia" w:ascii="仿宋_GB2312" w:hAnsi="仿宋_GB2312" w:eastAsia="仿宋_GB2312" w:cs="仿宋_GB2312"/>
                                <w:color w:val="000000"/>
                                <w:sz w:val="24"/>
                                <w:szCs w:val="24"/>
                              </w:rPr>
                              <w:t>点击“网上办事”栏目下“服刑人员信息查询”</w:t>
                            </w:r>
                          </w:p>
                        </w:txbxContent>
                      </wps:txbx>
                      <wps:bodyPr rot="0" spcFirstLastPara="0" vertOverflow="overflow" horzOverflow="overflow" vert="horz" wrap="square" lIns="91440" tIns="45720" rIns="91440" bIns="45720" numCol="1" spcCol="0" rtlCol="0" fromWordArt="false" anchor="ctr" anchorCtr="false" forceAA="false" compatLnSpc="true">
                        <a:noAutofit/>
                      </wps:bodyPr>
                    </wps:wsp>
                  </a:graphicData>
                </a:graphic>
              </wp:anchor>
            </w:drawing>
          </mc:Choice>
          <mc:Fallback>
            <w:pict>
              <v:shape id="_x0000_s1026" o:spid="_x0000_s1026" style="position:absolute;left:0pt;margin-left:104.6pt;margin-top:63.8pt;height:47pt;width:202pt;z-index:251660288;v-text-anchor:middle;mso-width-relative:page;mso-height-relative:page;" fillcolor="#FFFFFF" filled="t" stroked="t" coordsize="2565400,596900" o:gfxdata="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" path="m99485,0l2465914,0c2520858,0,2565399,44541,2565399,99485l2565400,596900,2565400,596900,0,596900,0,596900,0,99485c0,44541,44541,0,99485,0xe">
                <v:path textboxrect="0,0,2565400,596900" o:connectlocs="2565400,298450;1282700,596900;0,298450;1282700,0" o:connectangles="0,82,164,247"/>
                <v:fill on="t" focussize="0,0"/>
                <v:stroke weight="1pt" color="#000000" miterlimit="8" joinstyle="miter"/>
                <v:imagedata o:title=""/>
                <o:lock v:ext="edit" aspectratio="f"/>
                <v:textbox>
                  <w:txbxContent>
                    <w:p>
                      <w:pPr>
                        <w:jc w:val="center"/>
                        <w:rPr>
                          <w:sz w:val="24"/>
                          <w:szCs w:val="24"/>
                        </w:rPr>
                      </w:pPr>
                      <w:r>
                        <w:rPr>
                          <w:rFonts w:hint="eastAsia" w:ascii="仿宋_GB2312" w:hAnsi="仿宋_GB2312" w:eastAsia="仿宋_GB2312" w:cs="仿宋_GB2312"/>
                          <w:color w:val="000000"/>
                          <w:sz w:val="24"/>
                          <w:szCs w:val="24"/>
                        </w:rPr>
                        <w:t>点击“网上办事”栏目下“服刑人员信息查询”</w:t>
                      </w:r>
                    </w:p>
                  </w:txbxContent>
                </v:textbox>
              </v:shape>
            </w:pict>
          </mc:Fallback>
        </mc:AlternateConten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Light">
    <w:altName w:val="仿宋"/>
    <w:panose1 w:val="00000000000000000000"/>
    <w:charset w:val="00"/>
    <w:family w:val="auto"/>
    <w:pitch w:val="default"/>
    <w:sig w:usb0="00000000" w:usb1="00000000" w:usb2="00000000" w:usb3="00000000" w:csb0="00000000" w:csb1="00000000"/>
  </w:font>
  <w:font w:name="Microsoft JhengHei UI Light">
    <w:altName w:val="仿宋"/>
    <w:panose1 w:val="00000000000000000000"/>
    <w:charset w:val="00"/>
    <w:family w:val="auto"/>
    <w:pitch w:val="default"/>
    <w:sig w:usb0="00000000" w:usb1="00000000" w:usb2="00000000" w:usb3="00000000" w:csb0="00000000" w:csb1="00000000"/>
  </w:font>
  <w:font w:name="Wingdings 2">
    <w:panose1 w:val="05020102010507070707"/>
    <w:charset w:val="02"/>
    <w:family w:val="roman"/>
    <w:pitch w:val="default"/>
    <w:sig w:usb0="00000000" w:usb1="00000000" w:usb2="00000000" w:usb3="00000000" w:csb0="80000000"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true"/>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1FFDB7B"/>
    <w:rsid w:val="001C363D"/>
    <w:rsid w:val="001E369A"/>
    <w:rsid w:val="001F29B8"/>
    <w:rsid w:val="00453B86"/>
    <w:rsid w:val="00514798"/>
    <w:rsid w:val="00613193"/>
    <w:rsid w:val="00904138"/>
    <w:rsid w:val="00F97D23"/>
    <w:rsid w:val="05510877"/>
    <w:rsid w:val="09076206"/>
    <w:rsid w:val="0FF3195C"/>
    <w:rsid w:val="1A0E28B0"/>
    <w:rsid w:val="1ABB4450"/>
    <w:rsid w:val="1C8F0EB4"/>
    <w:rsid w:val="1F606F87"/>
    <w:rsid w:val="1FB01777"/>
    <w:rsid w:val="3FBD5326"/>
    <w:rsid w:val="461E08E5"/>
    <w:rsid w:val="4A390E3A"/>
    <w:rsid w:val="58B83328"/>
    <w:rsid w:val="5F5A3F72"/>
    <w:rsid w:val="6847101D"/>
    <w:rsid w:val="6A49F83B"/>
    <w:rsid w:val="6AAF27DE"/>
    <w:rsid w:val="6F6F216E"/>
    <w:rsid w:val="735B33C7"/>
    <w:rsid w:val="7CF598A8"/>
    <w:rsid w:val="7E9D7604"/>
    <w:rsid w:val="7FBFCCF6"/>
    <w:rsid w:val="7FE84CC4"/>
    <w:rsid w:val="7FF604C2"/>
    <w:rsid w:val="8715CED8"/>
    <w:rsid w:val="8FDE1FA9"/>
    <w:rsid w:val="AFFF4812"/>
    <w:rsid w:val="BF7FF36E"/>
    <w:rsid w:val="C57F8CA1"/>
    <w:rsid w:val="C7032B0E"/>
    <w:rsid w:val="D1FFDB7B"/>
    <w:rsid w:val="EB5B9FF6"/>
    <w:rsid w:val="F5CD0C1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font21"/>
    <w:basedOn w:val="5"/>
    <w:qFormat/>
    <w:uiPriority w:val="0"/>
    <w:rPr>
      <w:rFonts w:ascii="Microsoft JhengHei Light" w:hAnsi="Microsoft JhengHei Light" w:eastAsia="Microsoft JhengHei Light" w:cs="Microsoft JhengHei Light"/>
      <w:color w:val="666666"/>
      <w:sz w:val="9"/>
      <w:szCs w:val="9"/>
      <w:u w:val="none"/>
    </w:rPr>
  </w:style>
  <w:style w:type="character" w:customStyle="1" w:styleId="7">
    <w:name w:val="font01"/>
    <w:basedOn w:val="5"/>
    <w:qFormat/>
    <w:uiPriority w:val="0"/>
    <w:rPr>
      <w:rFonts w:ascii="Microsoft JhengHei UI Light" w:hAnsi="Microsoft JhengHei UI Light" w:eastAsia="Microsoft JhengHei UI Light" w:cs="Microsoft JhengHei UI Light"/>
      <w:color w:val="666666"/>
      <w:sz w:val="9"/>
      <w:szCs w:val="9"/>
      <w:u w:val="none"/>
    </w:rPr>
  </w:style>
  <w:style w:type="character" w:customStyle="1" w:styleId="8">
    <w:name w:val="页眉 Char"/>
    <w:basedOn w:val="5"/>
    <w:link w:val="3"/>
    <w:qFormat/>
    <w:uiPriority w:val="0"/>
    <w:rPr>
      <w:rFonts w:asciiTheme="minorHAnsi" w:hAnsiTheme="minorHAnsi" w:eastAsiaTheme="minorEastAsia" w:cstheme="minorBidi"/>
      <w:kern w:val="2"/>
      <w:sz w:val="18"/>
      <w:szCs w:val="18"/>
    </w:rPr>
  </w:style>
  <w:style w:type="character" w:customStyle="1" w:styleId="9">
    <w:name w:val="页脚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User</Company>
  <Pages>2</Pages>
  <Words>115</Words>
  <Characters>660</Characters>
  <Lines>5</Lines>
  <Paragraphs>1</Paragraphs>
  <TotalTime>4</TotalTime>
  <ScaleCrop>false</ScaleCrop>
  <LinksUpToDate>false</LinksUpToDate>
  <CharactersWithSpaces>774</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2020-04-18T06:12:00Z</dcterms:created>
  <dc:creator>guagua</dc:creator>
  <cp:lastModifiedBy>chenyg</cp:lastModifiedBy>
  <cp:lastPrinted>2020-06-07T02:15:00Z</cp:lastPrinted>
  <dcterms:modified xsi:type="dcterms:W3CDTF">2025-12-24T10:19:06Z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ies>
</file>