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beforeAutospacing="0" w:line="560" w:lineRule="exact"/>
        <w:ind w:firstLine="0" w:firstLineChars="0"/>
        <w:jc w:val="center"/>
        <w:textAlignment w:val="auto"/>
        <w:rPr>
          <w:rFonts w:hint="eastAsia"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0"/>
          <w:szCs w:val="40"/>
          <w:lang w:val="en-US" w:eastAsia="zh-CN"/>
        </w:rPr>
        <w:t>《深圳经济特区消防条例》行政处罚裁量权基准</w:t>
      </w:r>
    </w:p>
    <w:p>
      <w:pPr>
        <w:keepNext w:val="0"/>
        <w:keepLines w:val="0"/>
        <w:pageBreakBefore w:val="0"/>
        <w:widowControl w:val="0"/>
        <w:kinsoku/>
        <w:wordWrap/>
        <w:overflowPunct/>
        <w:topLinePunct w:val="0"/>
        <w:autoSpaceDE/>
        <w:autoSpaceDN/>
        <w:bidi w:val="0"/>
        <w:spacing w:beforeAutospacing="0" w:line="560" w:lineRule="exact"/>
        <w:ind w:firstLine="800" w:firstLineChars="200"/>
        <w:jc w:val="center"/>
        <w:textAlignment w:val="auto"/>
        <w:rPr>
          <w:rFonts w:hint="eastAsia" w:ascii="方正小标宋简体" w:hAnsi="方正小标宋简体" w:eastAsia="方正小标宋简体" w:cs="方正小标宋简体"/>
          <w:color w:val="auto"/>
          <w:sz w:val="40"/>
          <w:szCs w:val="40"/>
          <w:lang w:val="en-US" w:eastAsia="zh-CN"/>
        </w:rPr>
      </w:pPr>
    </w:p>
    <w:sdt>
      <w:sdtPr>
        <w:rPr>
          <w:rFonts w:hint="eastAsia" w:ascii="黑体" w:hAnsi="黑体" w:eastAsia="黑体" w:cs="黑体"/>
          <w:kern w:val="2"/>
          <w:sz w:val="36"/>
          <w:szCs w:val="36"/>
          <w:lang w:val="en-US" w:eastAsia="zh-CN" w:bidi="ar-SA"/>
        </w:rPr>
        <w:id w:val="147459957"/>
        <w15:color w:val="DBDBDB"/>
        <w:docPartObj>
          <w:docPartGallery w:val="Table of Contents"/>
          <w:docPartUnique/>
        </w:docPartObj>
      </w:sdtPr>
      <w:sdtEndPr>
        <w:rPr>
          <w:rFonts w:hint="eastAsia" w:ascii="Arial" w:hAnsi="Arial" w:eastAsia="Arial" w:cs="Arial"/>
          <w:snapToGrid w:val="0"/>
          <w:color w:val="000000"/>
          <w:kern w:val="0"/>
          <w:sz w:val="32"/>
          <w:szCs w:val="21"/>
          <w:highlight w:val="none"/>
          <w:lang w:val="en-US" w:eastAsia="en-US" w:bidi="ar-SA"/>
        </w:rPr>
      </w:sdtEndPr>
      <w:sdtContent>
        <w:p>
          <w:pPr>
            <w:keepNext w:val="0"/>
            <w:keepLines w:val="0"/>
            <w:pageBreakBefore w:val="0"/>
            <w:widowControl w:val="0"/>
            <w:kinsoku/>
            <w:wordWrap/>
            <w:overflowPunct/>
            <w:topLinePunct w:val="0"/>
            <w:autoSpaceDE/>
            <w:autoSpaceDN/>
            <w:bidi w:val="0"/>
            <w:spacing w:beforeAutospacing="0" w:line="560" w:lineRule="exact"/>
            <w:ind w:firstLine="720" w:firstLineChars="200"/>
            <w:jc w:val="center"/>
            <w:textAlignment w:val="auto"/>
            <w:rPr>
              <w:rFonts w:hint="eastAsia" w:ascii="黑体" w:hAnsi="黑体" w:eastAsia="黑体" w:cs="黑体"/>
              <w:sz w:val="36"/>
              <w:szCs w:val="36"/>
            </w:rPr>
          </w:pPr>
          <w:r>
            <w:rPr>
              <w:rFonts w:hint="eastAsia" w:ascii="黑体" w:hAnsi="黑体" w:eastAsia="黑体" w:cs="黑体"/>
              <w:sz w:val="36"/>
              <w:szCs w:val="36"/>
            </w:rPr>
            <w:t>目录</w:t>
          </w:r>
        </w:p>
        <w:p>
          <w:pPr>
            <w:pStyle w:val="11"/>
            <w:tabs>
              <w:tab w:val="right" w:leader="dot" w:pos="9166"/>
            </w:tabs>
            <w:jc w:val="left"/>
            <w:rPr>
              <w:rFonts w:hint="eastAsia" w:ascii="仿宋_GB2312" w:hAnsi="仿宋_GB2312" w:eastAsia="仿宋_GB2312" w:cs="仿宋_GB2312"/>
              <w:b/>
              <w:bCs/>
            </w:rPr>
          </w:pPr>
          <w:r>
            <w:rPr>
              <w:rFonts w:ascii="Arial" w:hAnsi="Arial" w:eastAsia="Arial" w:cs="Arial"/>
              <w:snapToGrid w:val="0"/>
              <w:color w:val="000000"/>
              <w:kern w:val="0"/>
              <w:szCs w:val="21"/>
              <w:highlight w:val="none"/>
              <w:lang w:val="en-US" w:eastAsia="en-US" w:bidi="ar-SA"/>
            </w:rPr>
            <w:fldChar w:fldCharType="begin"/>
          </w:r>
          <w:r>
            <w:rPr>
              <w:rFonts w:ascii="Arial" w:hAnsi="Arial" w:eastAsia="Arial" w:cs="Arial"/>
              <w:snapToGrid w:val="0"/>
              <w:color w:val="000000"/>
              <w:kern w:val="0"/>
              <w:szCs w:val="21"/>
              <w:highlight w:val="none"/>
              <w:lang w:val="en-US" w:eastAsia="en-US" w:bidi="ar-SA"/>
            </w:rPr>
            <w:instrText xml:space="preserve">TOC \o "1-3" \h \u </w:instrText>
          </w:r>
          <w:r>
            <w:rPr>
              <w:rFonts w:ascii="Arial" w:hAnsi="Arial" w:eastAsia="Arial" w:cs="Arial"/>
              <w:snapToGrid w:val="0"/>
              <w:color w:val="000000"/>
              <w:kern w:val="0"/>
              <w:szCs w:val="21"/>
              <w:highlight w:val="none"/>
              <w:lang w:val="en-US" w:eastAsia="en-US" w:bidi="ar-SA"/>
            </w:rPr>
            <w:fldChar w:fldCharType="separate"/>
          </w:r>
          <w:r>
            <w:rPr>
              <w:rFonts w:hint="eastAsia" w:ascii="仿宋_GB2312" w:hAnsi="仿宋_GB2312" w:eastAsia="仿宋_GB2312" w:cs="仿宋_GB2312"/>
              <w:b/>
              <w:bCs/>
              <w:snapToGrid w:val="0"/>
              <w:color w:val="000000"/>
              <w:kern w:val="0"/>
              <w:szCs w:val="21"/>
              <w:highlight w:val="none"/>
              <w:lang w:val="en-US" w:eastAsia="en-US" w:bidi="ar-SA"/>
            </w:rPr>
            <w:fldChar w:fldCharType="begin"/>
          </w:r>
          <w:r>
            <w:rPr>
              <w:rFonts w:hint="eastAsia" w:ascii="仿宋_GB2312" w:hAnsi="仿宋_GB2312" w:eastAsia="仿宋_GB2312" w:cs="仿宋_GB2312"/>
              <w:b/>
              <w:bCs/>
              <w:snapToGrid w:val="0"/>
              <w:kern w:val="0"/>
              <w:szCs w:val="21"/>
              <w:highlight w:val="none"/>
              <w:lang w:val="en-US" w:eastAsia="en-US" w:bidi="ar-SA"/>
            </w:rPr>
            <w:instrText xml:space="preserve"> HYPERLINK \l _Toc20268 </w:instrText>
          </w:r>
          <w:r>
            <w:rPr>
              <w:rFonts w:hint="eastAsia" w:ascii="仿宋_GB2312" w:hAnsi="仿宋_GB2312" w:eastAsia="仿宋_GB2312" w:cs="仿宋_GB2312"/>
              <w:b/>
              <w:bCs/>
              <w:snapToGrid w:val="0"/>
              <w:kern w:val="0"/>
              <w:szCs w:val="21"/>
              <w:highlight w:val="none"/>
              <w:lang w:val="en-US" w:eastAsia="en-US" w:bidi="ar-SA"/>
            </w:rPr>
            <w:fldChar w:fldCharType="separate"/>
          </w:r>
          <w:r>
            <w:rPr>
              <w:rFonts w:hint="eastAsia" w:ascii="仿宋_GB2312" w:hAnsi="仿宋_GB2312" w:eastAsia="仿宋_GB2312" w:cs="仿宋_GB2312"/>
              <w:b/>
              <w:bCs/>
              <w:highlight w:val="none"/>
              <w:lang w:eastAsia="en-US"/>
            </w:rPr>
            <w:t>第一部分</w:t>
          </w:r>
          <w:r>
            <w:rPr>
              <w:rFonts w:hint="eastAsia" w:ascii="仿宋_GB2312" w:hAnsi="仿宋_GB2312" w:eastAsia="仿宋_GB2312" w:cs="仿宋_GB2312"/>
              <w:b/>
              <w:bCs/>
              <w:highlight w:val="none"/>
              <w:lang w:val="en-US" w:eastAsia="zh-CN"/>
            </w:rPr>
            <w:t xml:space="preserve"> 适用说明</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_Toc20268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4</w:t>
          </w:r>
          <w:r>
            <w:rPr>
              <w:rFonts w:hint="eastAsia" w:ascii="仿宋_GB2312" w:hAnsi="仿宋_GB2312" w:eastAsia="仿宋_GB2312" w:cs="仿宋_GB2312"/>
              <w:b/>
              <w:bCs/>
            </w:rPr>
            <w:fldChar w:fldCharType="end"/>
          </w:r>
          <w:r>
            <w:rPr>
              <w:rFonts w:hint="eastAsia" w:ascii="仿宋_GB2312" w:hAnsi="仿宋_GB2312" w:eastAsia="仿宋_GB2312" w:cs="仿宋_GB2312"/>
              <w:b/>
              <w:bCs/>
              <w:snapToGrid w:val="0"/>
              <w:color w:val="000000"/>
              <w:kern w:val="0"/>
              <w:szCs w:val="21"/>
              <w:highlight w:val="none"/>
              <w:lang w:val="en-US" w:eastAsia="en-US" w:bidi="ar-SA"/>
            </w:rPr>
            <w:fldChar w:fldCharType="end"/>
          </w:r>
        </w:p>
        <w:p>
          <w:pPr>
            <w:pStyle w:val="11"/>
            <w:tabs>
              <w:tab w:val="right" w:leader="dot" w:pos="9166"/>
            </w:tabs>
            <w:rPr>
              <w:rFonts w:hint="eastAsia" w:ascii="仿宋_GB2312" w:hAnsi="仿宋_GB2312" w:eastAsia="仿宋_GB2312" w:cs="仿宋_GB2312"/>
              <w:b/>
              <w:bCs/>
            </w:rPr>
          </w:pPr>
          <w:r>
            <w:rPr>
              <w:rFonts w:hint="eastAsia" w:ascii="仿宋_GB2312" w:hAnsi="仿宋_GB2312" w:eastAsia="仿宋_GB2312" w:cs="仿宋_GB2312"/>
              <w:b/>
              <w:bCs/>
              <w:snapToGrid w:val="0"/>
              <w:color w:val="000000"/>
              <w:kern w:val="0"/>
              <w:szCs w:val="21"/>
              <w:highlight w:val="none"/>
              <w:lang w:val="en-US" w:eastAsia="en-US" w:bidi="ar-SA"/>
            </w:rPr>
            <w:fldChar w:fldCharType="begin"/>
          </w:r>
          <w:r>
            <w:rPr>
              <w:rFonts w:hint="eastAsia" w:ascii="仿宋_GB2312" w:hAnsi="仿宋_GB2312" w:eastAsia="仿宋_GB2312" w:cs="仿宋_GB2312"/>
              <w:b/>
              <w:bCs/>
              <w:snapToGrid w:val="0"/>
              <w:kern w:val="0"/>
              <w:szCs w:val="21"/>
              <w:highlight w:val="none"/>
              <w:lang w:val="en-US" w:eastAsia="en-US" w:bidi="ar-SA"/>
            </w:rPr>
            <w:instrText xml:space="preserve"> HYPERLINK \l _Toc23694 </w:instrText>
          </w:r>
          <w:r>
            <w:rPr>
              <w:rFonts w:hint="eastAsia" w:ascii="仿宋_GB2312" w:hAnsi="仿宋_GB2312" w:eastAsia="仿宋_GB2312" w:cs="仿宋_GB2312"/>
              <w:b/>
              <w:bCs/>
              <w:snapToGrid w:val="0"/>
              <w:kern w:val="0"/>
              <w:szCs w:val="21"/>
              <w:highlight w:val="none"/>
              <w:lang w:val="en-US" w:eastAsia="en-US" w:bidi="ar-SA"/>
            </w:rPr>
            <w:fldChar w:fldCharType="separate"/>
          </w:r>
          <w:r>
            <w:rPr>
              <w:rFonts w:hint="eastAsia" w:ascii="仿宋_GB2312" w:hAnsi="仿宋_GB2312" w:eastAsia="仿宋_GB2312" w:cs="仿宋_GB2312"/>
              <w:b/>
              <w:bCs/>
              <w:highlight w:val="none"/>
              <w:lang w:val="en-US" w:eastAsia="zh-CN"/>
            </w:rPr>
            <w:t xml:space="preserve">第二部分 </w:t>
          </w:r>
          <w:r>
            <w:rPr>
              <w:rFonts w:hint="eastAsia" w:ascii="仿宋_GB2312" w:hAnsi="仿宋_GB2312" w:cs="仿宋_GB2312"/>
              <w:b/>
              <w:bCs/>
              <w:highlight w:val="none"/>
              <w:lang w:val="en-US" w:eastAsia="zh-CN"/>
            </w:rPr>
            <w:t>《深圳经济特区消防条例》</w:t>
          </w:r>
          <w:r>
            <w:rPr>
              <w:rFonts w:hint="eastAsia" w:ascii="仿宋_GB2312" w:hAnsi="仿宋_GB2312" w:eastAsia="仿宋_GB2312" w:cs="仿宋_GB2312"/>
              <w:b/>
              <w:bCs/>
              <w:highlight w:val="none"/>
              <w:lang w:val="en-US" w:eastAsia="zh-CN"/>
            </w:rPr>
            <w:t>裁量基准细则</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_Toc23694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10</w:t>
          </w:r>
          <w:r>
            <w:rPr>
              <w:rFonts w:hint="eastAsia" w:ascii="仿宋_GB2312" w:hAnsi="仿宋_GB2312" w:eastAsia="仿宋_GB2312" w:cs="仿宋_GB2312"/>
              <w:b/>
              <w:bCs/>
            </w:rPr>
            <w:fldChar w:fldCharType="end"/>
          </w:r>
          <w:r>
            <w:rPr>
              <w:rFonts w:hint="eastAsia" w:ascii="仿宋_GB2312" w:hAnsi="仿宋_GB2312" w:eastAsia="仿宋_GB2312" w:cs="仿宋_GB2312"/>
              <w:b/>
              <w:bCs/>
              <w:snapToGrid w:val="0"/>
              <w:color w:val="000000"/>
              <w:kern w:val="0"/>
              <w:szCs w:val="21"/>
              <w:highlight w:val="none"/>
              <w:lang w:val="en-US" w:eastAsia="en-US" w:bidi="ar-SA"/>
            </w:rPr>
            <w:fldChar w:fldCharType="end"/>
          </w:r>
        </w:p>
        <w:p>
          <w:pPr>
            <w:pStyle w:val="12"/>
            <w:tabs>
              <w:tab w:val="right" w:leader="dot" w:pos="9166"/>
            </w:tabs>
            <w:rPr>
              <w:rFonts w:hint="eastAsia" w:ascii="仿宋_GB2312" w:hAnsi="仿宋_GB2312" w:eastAsia="仿宋_GB2312" w:cs="仿宋_GB2312"/>
            </w:rPr>
          </w:pPr>
          <w:r>
            <w:rPr>
              <w:rFonts w:hint="eastAsia" w:ascii="仿宋_GB2312" w:hAnsi="仿宋_GB2312" w:cs="仿宋_GB2312"/>
              <w:snapToGrid w:val="0"/>
              <w:color w:val="000000"/>
              <w:kern w:val="0"/>
              <w:szCs w:val="21"/>
              <w:highlight w:val="none"/>
              <w:lang w:val="en-US" w:eastAsia="zh-CN" w:bidi="ar-SA"/>
            </w:rPr>
            <w:t>1.</w:t>
          </w:r>
          <w:r>
            <w:rPr>
              <w:rFonts w:hint="eastAsia" w:ascii="仿宋_GB2312" w:hAnsi="仿宋_GB2312" w:eastAsia="仿宋_GB2312" w:cs="仿宋_GB2312"/>
              <w:snapToGrid w:val="0"/>
              <w:color w:val="000000"/>
              <w:kern w:val="0"/>
              <w:szCs w:val="21"/>
              <w:highlight w:val="none"/>
              <w:lang w:val="en-US" w:eastAsia="en-US" w:bidi="ar-SA"/>
            </w:rPr>
            <w:fldChar w:fldCharType="begin"/>
          </w:r>
          <w:r>
            <w:rPr>
              <w:rFonts w:hint="eastAsia" w:ascii="仿宋_GB2312" w:hAnsi="仿宋_GB2312" w:eastAsia="仿宋_GB2312" w:cs="仿宋_GB2312"/>
              <w:snapToGrid w:val="0"/>
              <w:kern w:val="0"/>
              <w:szCs w:val="21"/>
              <w:highlight w:val="none"/>
              <w:lang w:val="en-US" w:eastAsia="en-US" w:bidi="ar-SA"/>
            </w:rPr>
            <w:instrText xml:space="preserve"> HYPERLINK \l _Toc10650 </w:instrText>
          </w:r>
          <w:r>
            <w:rPr>
              <w:rFonts w:hint="eastAsia" w:ascii="仿宋_GB2312" w:hAnsi="仿宋_GB2312" w:eastAsia="仿宋_GB2312" w:cs="仿宋_GB2312"/>
              <w:snapToGrid w:val="0"/>
              <w:kern w:val="0"/>
              <w:szCs w:val="21"/>
              <w:highlight w:val="none"/>
              <w:lang w:val="en-US" w:eastAsia="en-US" w:bidi="ar-SA"/>
            </w:rPr>
            <w:fldChar w:fldCharType="separate"/>
          </w:r>
          <w:r>
            <w:rPr>
              <w:rFonts w:hint="eastAsia" w:ascii="仿宋_GB2312" w:hAnsi="仿宋_GB2312" w:eastAsia="仿宋_GB2312" w:cs="仿宋_GB2312"/>
              <w:highlight w:val="none"/>
              <w:lang w:val="en-US" w:eastAsia="zh-CN"/>
            </w:rPr>
            <w:t>消防设施、器材或者消防安全标志的配置、设置不符合国家标准、行业标准的</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_Toc10650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w:t>
          </w:r>
          <w:r>
            <w:rPr>
              <w:rFonts w:hint="eastAsia" w:ascii="仿宋_GB2312" w:hAnsi="仿宋_GB2312" w:eastAsia="仿宋_GB2312" w:cs="仿宋_GB2312"/>
            </w:rPr>
            <w:fldChar w:fldCharType="end"/>
          </w:r>
          <w:r>
            <w:rPr>
              <w:rFonts w:hint="eastAsia" w:ascii="仿宋_GB2312" w:hAnsi="仿宋_GB2312" w:eastAsia="仿宋_GB2312" w:cs="仿宋_GB2312"/>
              <w:snapToGrid w:val="0"/>
              <w:color w:val="000000"/>
              <w:kern w:val="0"/>
              <w:szCs w:val="21"/>
              <w:highlight w:val="none"/>
              <w:lang w:val="en-US" w:eastAsia="en-US" w:bidi="ar-SA"/>
            </w:rPr>
            <w:fldChar w:fldCharType="end"/>
          </w:r>
        </w:p>
        <w:p>
          <w:pPr>
            <w:pStyle w:val="12"/>
            <w:tabs>
              <w:tab w:val="right" w:leader="dot" w:pos="9166"/>
            </w:tabs>
            <w:rPr>
              <w:rFonts w:hint="eastAsia" w:ascii="仿宋_GB2312" w:hAnsi="仿宋_GB2312" w:eastAsia="仿宋_GB2312" w:cs="仿宋_GB2312"/>
            </w:rPr>
          </w:pPr>
          <w:r>
            <w:rPr>
              <w:rFonts w:hint="eastAsia" w:ascii="仿宋_GB2312" w:hAnsi="仿宋_GB2312" w:cs="仿宋_GB2312"/>
              <w:snapToGrid w:val="0"/>
              <w:color w:val="000000"/>
              <w:kern w:val="0"/>
              <w:szCs w:val="21"/>
              <w:highlight w:val="none"/>
              <w:lang w:val="en-US" w:eastAsia="zh-CN" w:bidi="ar-SA"/>
            </w:rPr>
            <w:t>2.</w:t>
          </w:r>
          <w:r>
            <w:rPr>
              <w:rFonts w:hint="eastAsia" w:ascii="仿宋_GB2312" w:hAnsi="仿宋_GB2312" w:eastAsia="仿宋_GB2312" w:cs="仿宋_GB2312"/>
              <w:snapToGrid w:val="0"/>
              <w:color w:val="000000"/>
              <w:kern w:val="0"/>
              <w:szCs w:val="21"/>
              <w:highlight w:val="none"/>
              <w:lang w:val="en-US" w:eastAsia="en-US" w:bidi="ar-SA"/>
            </w:rPr>
            <w:fldChar w:fldCharType="begin"/>
          </w:r>
          <w:r>
            <w:rPr>
              <w:rFonts w:hint="eastAsia" w:ascii="仿宋_GB2312" w:hAnsi="仿宋_GB2312" w:eastAsia="仿宋_GB2312" w:cs="仿宋_GB2312"/>
              <w:snapToGrid w:val="0"/>
              <w:kern w:val="0"/>
              <w:szCs w:val="21"/>
              <w:highlight w:val="none"/>
              <w:lang w:val="en-US" w:eastAsia="en-US" w:bidi="ar-SA"/>
            </w:rPr>
            <w:instrText xml:space="preserve"> HYPERLINK \l _Toc4944 </w:instrText>
          </w:r>
          <w:r>
            <w:rPr>
              <w:rFonts w:hint="eastAsia" w:ascii="仿宋_GB2312" w:hAnsi="仿宋_GB2312" w:eastAsia="仿宋_GB2312" w:cs="仿宋_GB2312"/>
              <w:snapToGrid w:val="0"/>
              <w:kern w:val="0"/>
              <w:szCs w:val="21"/>
              <w:highlight w:val="none"/>
              <w:lang w:val="en-US" w:eastAsia="en-US" w:bidi="ar-SA"/>
            </w:rPr>
            <w:fldChar w:fldCharType="separate"/>
          </w:r>
          <w:r>
            <w:rPr>
              <w:rFonts w:hint="eastAsia" w:ascii="仿宋_GB2312" w:hAnsi="仿宋_GB2312" w:eastAsia="仿宋_GB2312" w:cs="仿宋_GB2312"/>
              <w:highlight w:val="none"/>
              <w:lang w:val="en-US" w:eastAsia="zh-CN"/>
            </w:rPr>
            <w:t>消防设施、器材或者消防安全标志未保持完好有效的</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_Toc4944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w:t>
          </w:r>
          <w:r>
            <w:rPr>
              <w:rFonts w:hint="eastAsia" w:ascii="仿宋_GB2312" w:hAnsi="仿宋_GB2312" w:eastAsia="仿宋_GB2312" w:cs="仿宋_GB2312"/>
            </w:rPr>
            <w:fldChar w:fldCharType="end"/>
          </w:r>
          <w:r>
            <w:rPr>
              <w:rFonts w:hint="eastAsia" w:ascii="仿宋_GB2312" w:hAnsi="仿宋_GB2312" w:eastAsia="仿宋_GB2312" w:cs="仿宋_GB2312"/>
              <w:snapToGrid w:val="0"/>
              <w:color w:val="000000"/>
              <w:kern w:val="0"/>
              <w:szCs w:val="21"/>
              <w:highlight w:val="none"/>
              <w:lang w:val="en-US" w:eastAsia="en-US" w:bidi="ar-SA"/>
            </w:rPr>
            <w:fldChar w:fldCharType="end"/>
          </w:r>
        </w:p>
        <w:p>
          <w:pPr>
            <w:pStyle w:val="12"/>
            <w:tabs>
              <w:tab w:val="right" w:leader="dot" w:pos="9166"/>
            </w:tabs>
            <w:rPr>
              <w:rFonts w:hint="eastAsia" w:ascii="仿宋_GB2312" w:hAnsi="仿宋_GB2312" w:eastAsia="仿宋_GB2312" w:cs="仿宋_GB2312"/>
            </w:rPr>
          </w:pPr>
          <w:r>
            <w:rPr>
              <w:rFonts w:hint="eastAsia" w:ascii="仿宋_GB2312" w:hAnsi="仿宋_GB2312" w:cs="仿宋_GB2312"/>
              <w:snapToGrid w:val="0"/>
              <w:color w:val="000000"/>
              <w:kern w:val="0"/>
              <w:szCs w:val="21"/>
              <w:highlight w:val="none"/>
              <w:lang w:val="en-US" w:eastAsia="zh-CN" w:bidi="ar-SA"/>
            </w:rPr>
            <w:t>3.</w:t>
          </w:r>
          <w:r>
            <w:rPr>
              <w:rFonts w:hint="eastAsia" w:ascii="仿宋_GB2312" w:hAnsi="仿宋_GB2312" w:eastAsia="仿宋_GB2312" w:cs="仿宋_GB2312"/>
              <w:snapToGrid w:val="0"/>
              <w:color w:val="000000"/>
              <w:kern w:val="0"/>
              <w:szCs w:val="21"/>
              <w:highlight w:val="none"/>
              <w:lang w:val="en-US" w:eastAsia="en-US" w:bidi="ar-SA"/>
            </w:rPr>
            <w:fldChar w:fldCharType="begin"/>
          </w:r>
          <w:r>
            <w:rPr>
              <w:rFonts w:hint="eastAsia" w:ascii="仿宋_GB2312" w:hAnsi="仿宋_GB2312" w:eastAsia="仿宋_GB2312" w:cs="仿宋_GB2312"/>
              <w:snapToGrid w:val="0"/>
              <w:kern w:val="0"/>
              <w:szCs w:val="21"/>
              <w:highlight w:val="none"/>
              <w:lang w:val="en-US" w:eastAsia="en-US" w:bidi="ar-SA"/>
            </w:rPr>
            <w:instrText xml:space="preserve"> HYPERLINK \l _Toc4684 </w:instrText>
          </w:r>
          <w:r>
            <w:rPr>
              <w:rFonts w:hint="eastAsia" w:ascii="仿宋_GB2312" w:hAnsi="仿宋_GB2312" w:eastAsia="仿宋_GB2312" w:cs="仿宋_GB2312"/>
              <w:snapToGrid w:val="0"/>
              <w:kern w:val="0"/>
              <w:szCs w:val="21"/>
              <w:highlight w:val="none"/>
              <w:lang w:val="en-US" w:eastAsia="en-US" w:bidi="ar-SA"/>
            </w:rPr>
            <w:fldChar w:fldCharType="separate"/>
          </w:r>
          <w:r>
            <w:rPr>
              <w:rFonts w:hint="eastAsia" w:ascii="仿宋_GB2312" w:hAnsi="仿宋_GB2312" w:eastAsia="仿宋_GB2312" w:cs="仿宋_GB2312"/>
              <w:highlight w:val="none"/>
              <w:lang w:val="en-US" w:eastAsia="zh-CN"/>
            </w:rPr>
            <w:t>损坏、挪用消防设施、器材的</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_Toc4684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14</w:t>
          </w:r>
          <w:r>
            <w:rPr>
              <w:rFonts w:hint="eastAsia" w:ascii="仿宋_GB2312" w:hAnsi="仿宋_GB2312" w:eastAsia="仿宋_GB2312" w:cs="仿宋_GB2312"/>
            </w:rPr>
            <w:fldChar w:fldCharType="end"/>
          </w:r>
          <w:r>
            <w:rPr>
              <w:rFonts w:hint="eastAsia" w:ascii="仿宋_GB2312" w:hAnsi="仿宋_GB2312" w:eastAsia="仿宋_GB2312" w:cs="仿宋_GB2312"/>
              <w:snapToGrid w:val="0"/>
              <w:color w:val="000000"/>
              <w:kern w:val="0"/>
              <w:szCs w:val="21"/>
              <w:highlight w:val="none"/>
              <w:lang w:val="en-US" w:eastAsia="en-US" w:bidi="ar-SA"/>
            </w:rPr>
            <w:fldChar w:fldCharType="end"/>
          </w:r>
        </w:p>
        <w:p>
          <w:pPr>
            <w:pStyle w:val="12"/>
            <w:tabs>
              <w:tab w:val="right" w:leader="dot" w:pos="9166"/>
            </w:tabs>
            <w:rPr>
              <w:rFonts w:hint="eastAsia" w:ascii="仿宋_GB2312" w:hAnsi="仿宋_GB2312" w:eastAsia="仿宋_GB2312" w:cs="仿宋_GB2312"/>
            </w:rPr>
          </w:pPr>
          <w:r>
            <w:rPr>
              <w:rFonts w:hint="eastAsia" w:ascii="仿宋_GB2312" w:hAnsi="仿宋_GB2312" w:cs="仿宋_GB2312"/>
              <w:snapToGrid w:val="0"/>
              <w:color w:val="000000"/>
              <w:kern w:val="0"/>
              <w:szCs w:val="21"/>
              <w:highlight w:val="none"/>
              <w:lang w:val="en-US" w:eastAsia="zh-CN" w:bidi="ar-SA"/>
            </w:rPr>
            <w:t>4.</w:t>
          </w:r>
          <w:r>
            <w:rPr>
              <w:rFonts w:hint="eastAsia" w:ascii="仿宋_GB2312" w:hAnsi="仿宋_GB2312" w:eastAsia="仿宋_GB2312" w:cs="仿宋_GB2312"/>
              <w:snapToGrid w:val="0"/>
              <w:color w:val="000000"/>
              <w:kern w:val="0"/>
              <w:szCs w:val="21"/>
              <w:highlight w:val="none"/>
              <w:lang w:val="en-US" w:eastAsia="en-US" w:bidi="ar-SA"/>
            </w:rPr>
            <w:fldChar w:fldCharType="begin"/>
          </w:r>
          <w:r>
            <w:rPr>
              <w:rFonts w:hint="eastAsia" w:ascii="仿宋_GB2312" w:hAnsi="仿宋_GB2312" w:eastAsia="仿宋_GB2312" w:cs="仿宋_GB2312"/>
              <w:snapToGrid w:val="0"/>
              <w:kern w:val="0"/>
              <w:szCs w:val="21"/>
              <w:highlight w:val="none"/>
              <w:lang w:val="en-US" w:eastAsia="en-US" w:bidi="ar-SA"/>
            </w:rPr>
            <w:instrText xml:space="preserve"> HYPERLINK \l _Toc5364 </w:instrText>
          </w:r>
          <w:r>
            <w:rPr>
              <w:rFonts w:hint="eastAsia" w:ascii="仿宋_GB2312" w:hAnsi="仿宋_GB2312" w:eastAsia="仿宋_GB2312" w:cs="仿宋_GB2312"/>
              <w:snapToGrid w:val="0"/>
              <w:kern w:val="0"/>
              <w:szCs w:val="21"/>
              <w:highlight w:val="none"/>
              <w:lang w:val="en-US" w:eastAsia="en-US" w:bidi="ar-SA"/>
            </w:rPr>
            <w:fldChar w:fldCharType="separate"/>
          </w:r>
          <w:r>
            <w:rPr>
              <w:rFonts w:hint="eastAsia" w:ascii="仿宋_GB2312" w:hAnsi="仿宋_GB2312" w:eastAsia="仿宋_GB2312" w:cs="仿宋_GB2312"/>
              <w:highlight w:val="none"/>
              <w:lang w:val="en-US" w:eastAsia="zh-CN"/>
            </w:rPr>
            <w:t>擅自拆除、停用消防设施、器材的</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_Toc5364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snapToGrid w:val="0"/>
              <w:color w:val="000000"/>
              <w:kern w:val="0"/>
              <w:szCs w:val="21"/>
              <w:highlight w:val="none"/>
              <w:lang w:val="en-US" w:eastAsia="en-US" w:bidi="ar-SA"/>
            </w:rPr>
            <w:fldChar w:fldCharType="end"/>
          </w:r>
        </w:p>
        <w:p>
          <w:pPr>
            <w:pStyle w:val="12"/>
            <w:tabs>
              <w:tab w:val="right" w:leader="dot" w:pos="9166"/>
            </w:tabs>
            <w:rPr>
              <w:rFonts w:hint="eastAsia" w:ascii="仿宋_GB2312" w:hAnsi="仿宋_GB2312" w:eastAsia="仿宋_GB2312" w:cs="仿宋_GB2312"/>
            </w:rPr>
          </w:pPr>
          <w:r>
            <w:rPr>
              <w:rFonts w:hint="eastAsia" w:ascii="仿宋_GB2312" w:hAnsi="仿宋_GB2312" w:cs="仿宋_GB2312"/>
              <w:snapToGrid w:val="0"/>
              <w:color w:val="000000"/>
              <w:kern w:val="0"/>
              <w:szCs w:val="21"/>
              <w:highlight w:val="none"/>
              <w:lang w:val="en-US" w:eastAsia="zh-CN" w:bidi="ar-SA"/>
            </w:rPr>
            <w:t>5.</w:t>
          </w:r>
          <w:r>
            <w:rPr>
              <w:rFonts w:hint="eastAsia" w:ascii="仿宋_GB2312" w:hAnsi="仿宋_GB2312" w:eastAsia="仿宋_GB2312" w:cs="仿宋_GB2312"/>
              <w:snapToGrid w:val="0"/>
              <w:color w:val="000000"/>
              <w:kern w:val="0"/>
              <w:szCs w:val="21"/>
              <w:highlight w:val="none"/>
              <w:lang w:val="en-US" w:eastAsia="en-US" w:bidi="ar-SA"/>
            </w:rPr>
            <w:fldChar w:fldCharType="begin"/>
          </w:r>
          <w:r>
            <w:rPr>
              <w:rFonts w:hint="eastAsia" w:ascii="仿宋_GB2312" w:hAnsi="仿宋_GB2312" w:eastAsia="仿宋_GB2312" w:cs="仿宋_GB2312"/>
              <w:snapToGrid w:val="0"/>
              <w:kern w:val="0"/>
              <w:szCs w:val="21"/>
              <w:highlight w:val="none"/>
              <w:lang w:val="en-US" w:eastAsia="en-US" w:bidi="ar-SA"/>
            </w:rPr>
            <w:instrText xml:space="preserve"> HYPERLINK \l _Toc12889 </w:instrText>
          </w:r>
          <w:r>
            <w:rPr>
              <w:rFonts w:hint="eastAsia" w:ascii="仿宋_GB2312" w:hAnsi="仿宋_GB2312" w:eastAsia="仿宋_GB2312" w:cs="仿宋_GB2312"/>
              <w:snapToGrid w:val="0"/>
              <w:kern w:val="0"/>
              <w:szCs w:val="21"/>
              <w:highlight w:val="none"/>
              <w:lang w:val="en-US" w:eastAsia="en-US" w:bidi="ar-SA"/>
            </w:rPr>
            <w:fldChar w:fldCharType="separate"/>
          </w:r>
          <w:r>
            <w:rPr>
              <w:rFonts w:hint="eastAsia" w:ascii="仿宋_GB2312" w:hAnsi="仿宋_GB2312" w:eastAsia="仿宋_GB2312" w:cs="仿宋_GB2312"/>
              <w:highlight w:val="none"/>
              <w:lang w:val="en-US" w:eastAsia="zh-CN"/>
            </w:rPr>
            <w:t>占用、堵塞、封闭疏散通道、安全出口或者有其他妨碍安全疏散行为的</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_Toc12889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16</w:t>
          </w:r>
          <w:r>
            <w:rPr>
              <w:rFonts w:hint="eastAsia" w:ascii="仿宋_GB2312" w:hAnsi="仿宋_GB2312" w:eastAsia="仿宋_GB2312" w:cs="仿宋_GB2312"/>
            </w:rPr>
            <w:fldChar w:fldCharType="end"/>
          </w:r>
          <w:r>
            <w:rPr>
              <w:rFonts w:hint="eastAsia" w:ascii="仿宋_GB2312" w:hAnsi="仿宋_GB2312" w:eastAsia="仿宋_GB2312" w:cs="仿宋_GB2312"/>
              <w:snapToGrid w:val="0"/>
              <w:color w:val="000000"/>
              <w:kern w:val="0"/>
              <w:szCs w:val="21"/>
              <w:highlight w:val="none"/>
              <w:lang w:val="en-US" w:eastAsia="en-US" w:bidi="ar-SA"/>
            </w:rPr>
            <w:fldChar w:fldCharType="end"/>
          </w:r>
        </w:p>
        <w:p>
          <w:pPr>
            <w:pStyle w:val="12"/>
            <w:tabs>
              <w:tab w:val="right" w:leader="dot" w:pos="9166"/>
            </w:tabs>
            <w:rPr>
              <w:rFonts w:hint="eastAsia" w:ascii="仿宋_GB2312" w:hAnsi="仿宋_GB2312" w:eastAsia="仿宋_GB2312" w:cs="仿宋_GB2312"/>
            </w:rPr>
          </w:pPr>
          <w:r>
            <w:rPr>
              <w:rFonts w:hint="eastAsia" w:ascii="仿宋_GB2312" w:hAnsi="仿宋_GB2312" w:cs="仿宋_GB2312"/>
              <w:snapToGrid w:val="0"/>
              <w:color w:val="000000"/>
              <w:kern w:val="0"/>
              <w:szCs w:val="21"/>
              <w:highlight w:val="none"/>
              <w:lang w:val="en-US" w:eastAsia="zh-CN" w:bidi="ar-SA"/>
            </w:rPr>
            <w:t>6.</w:t>
          </w:r>
          <w:r>
            <w:rPr>
              <w:rFonts w:hint="eastAsia" w:ascii="仿宋_GB2312" w:hAnsi="仿宋_GB2312" w:eastAsia="仿宋_GB2312" w:cs="仿宋_GB2312"/>
              <w:snapToGrid w:val="0"/>
              <w:color w:val="000000"/>
              <w:kern w:val="0"/>
              <w:szCs w:val="21"/>
              <w:highlight w:val="none"/>
              <w:lang w:val="en-US" w:eastAsia="en-US" w:bidi="ar-SA"/>
            </w:rPr>
            <w:fldChar w:fldCharType="begin"/>
          </w:r>
          <w:r>
            <w:rPr>
              <w:rFonts w:hint="eastAsia" w:ascii="仿宋_GB2312" w:hAnsi="仿宋_GB2312" w:eastAsia="仿宋_GB2312" w:cs="仿宋_GB2312"/>
              <w:snapToGrid w:val="0"/>
              <w:kern w:val="0"/>
              <w:szCs w:val="21"/>
              <w:highlight w:val="none"/>
              <w:lang w:val="en-US" w:eastAsia="en-US" w:bidi="ar-SA"/>
            </w:rPr>
            <w:instrText xml:space="preserve"> HYPERLINK \l _Toc15742 </w:instrText>
          </w:r>
          <w:r>
            <w:rPr>
              <w:rFonts w:hint="eastAsia" w:ascii="仿宋_GB2312" w:hAnsi="仿宋_GB2312" w:eastAsia="仿宋_GB2312" w:cs="仿宋_GB2312"/>
              <w:snapToGrid w:val="0"/>
              <w:kern w:val="0"/>
              <w:szCs w:val="21"/>
              <w:highlight w:val="none"/>
              <w:lang w:val="en-US" w:eastAsia="en-US" w:bidi="ar-SA"/>
            </w:rPr>
            <w:fldChar w:fldCharType="separate"/>
          </w:r>
          <w:r>
            <w:rPr>
              <w:rFonts w:hint="eastAsia" w:ascii="仿宋_GB2312" w:hAnsi="仿宋_GB2312" w:eastAsia="仿宋_GB2312" w:cs="仿宋_GB2312"/>
              <w:highlight w:val="none"/>
              <w:lang w:val="en-US" w:eastAsia="zh-CN"/>
            </w:rPr>
            <w:t>埋压、圈占、遮挡消火栓的</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_Toc15742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18</w:t>
          </w:r>
          <w:r>
            <w:rPr>
              <w:rFonts w:hint="eastAsia" w:ascii="仿宋_GB2312" w:hAnsi="仿宋_GB2312" w:eastAsia="仿宋_GB2312" w:cs="仿宋_GB2312"/>
            </w:rPr>
            <w:fldChar w:fldCharType="end"/>
          </w:r>
          <w:r>
            <w:rPr>
              <w:rFonts w:hint="eastAsia" w:ascii="仿宋_GB2312" w:hAnsi="仿宋_GB2312" w:eastAsia="仿宋_GB2312" w:cs="仿宋_GB2312"/>
              <w:snapToGrid w:val="0"/>
              <w:color w:val="000000"/>
              <w:kern w:val="0"/>
              <w:szCs w:val="21"/>
              <w:highlight w:val="none"/>
              <w:lang w:val="en-US" w:eastAsia="en-US" w:bidi="ar-SA"/>
            </w:rPr>
            <w:fldChar w:fldCharType="end"/>
          </w:r>
        </w:p>
        <w:p>
          <w:pPr>
            <w:pStyle w:val="12"/>
            <w:tabs>
              <w:tab w:val="right" w:leader="dot" w:pos="9166"/>
            </w:tabs>
            <w:rPr>
              <w:rFonts w:hint="eastAsia" w:ascii="仿宋_GB2312" w:hAnsi="仿宋_GB2312" w:eastAsia="仿宋_GB2312" w:cs="仿宋_GB2312"/>
            </w:rPr>
          </w:pPr>
          <w:r>
            <w:rPr>
              <w:rFonts w:hint="eastAsia" w:ascii="仿宋_GB2312" w:hAnsi="仿宋_GB2312" w:cs="仿宋_GB2312"/>
              <w:snapToGrid w:val="0"/>
              <w:color w:val="000000"/>
              <w:kern w:val="0"/>
              <w:szCs w:val="21"/>
              <w:highlight w:val="none"/>
              <w:lang w:val="en-US" w:eastAsia="zh-CN" w:bidi="ar-SA"/>
            </w:rPr>
            <w:t>7.</w:t>
          </w:r>
          <w:r>
            <w:rPr>
              <w:rFonts w:hint="eastAsia" w:ascii="仿宋_GB2312" w:hAnsi="仿宋_GB2312" w:eastAsia="仿宋_GB2312" w:cs="仿宋_GB2312"/>
              <w:snapToGrid w:val="0"/>
              <w:color w:val="000000"/>
              <w:kern w:val="0"/>
              <w:szCs w:val="21"/>
              <w:highlight w:val="none"/>
              <w:lang w:val="en-US" w:eastAsia="en-US" w:bidi="ar-SA"/>
            </w:rPr>
            <w:fldChar w:fldCharType="begin"/>
          </w:r>
          <w:r>
            <w:rPr>
              <w:rFonts w:hint="eastAsia" w:ascii="仿宋_GB2312" w:hAnsi="仿宋_GB2312" w:eastAsia="仿宋_GB2312" w:cs="仿宋_GB2312"/>
              <w:snapToGrid w:val="0"/>
              <w:kern w:val="0"/>
              <w:szCs w:val="21"/>
              <w:highlight w:val="none"/>
              <w:lang w:val="en-US" w:eastAsia="en-US" w:bidi="ar-SA"/>
            </w:rPr>
            <w:instrText xml:space="preserve"> HYPERLINK \l _Toc14271 </w:instrText>
          </w:r>
          <w:r>
            <w:rPr>
              <w:rFonts w:hint="eastAsia" w:ascii="仿宋_GB2312" w:hAnsi="仿宋_GB2312" w:eastAsia="仿宋_GB2312" w:cs="仿宋_GB2312"/>
              <w:snapToGrid w:val="0"/>
              <w:kern w:val="0"/>
              <w:szCs w:val="21"/>
              <w:highlight w:val="none"/>
              <w:lang w:val="en-US" w:eastAsia="en-US" w:bidi="ar-SA"/>
            </w:rPr>
            <w:fldChar w:fldCharType="separate"/>
          </w:r>
          <w:r>
            <w:rPr>
              <w:rFonts w:hint="eastAsia" w:ascii="仿宋_GB2312" w:hAnsi="仿宋_GB2312" w:eastAsia="仿宋_GB2312" w:cs="仿宋_GB2312"/>
              <w:highlight w:val="none"/>
              <w:lang w:val="en-US" w:eastAsia="zh-CN"/>
            </w:rPr>
            <w:t>占用防火间距的</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_Toc14271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19</w:t>
          </w:r>
          <w:r>
            <w:rPr>
              <w:rFonts w:hint="eastAsia" w:ascii="仿宋_GB2312" w:hAnsi="仿宋_GB2312" w:eastAsia="仿宋_GB2312" w:cs="仿宋_GB2312"/>
            </w:rPr>
            <w:fldChar w:fldCharType="end"/>
          </w:r>
          <w:r>
            <w:rPr>
              <w:rFonts w:hint="eastAsia" w:ascii="仿宋_GB2312" w:hAnsi="仿宋_GB2312" w:eastAsia="仿宋_GB2312" w:cs="仿宋_GB2312"/>
              <w:snapToGrid w:val="0"/>
              <w:color w:val="000000"/>
              <w:kern w:val="0"/>
              <w:szCs w:val="21"/>
              <w:highlight w:val="none"/>
              <w:lang w:val="en-US" w:eastAsia="en-US" w:bidi="ar-SA"/>
            </w:rPr>
            <w:fldChar w:fldCharType="end"/>
          </w:r>
        </w:p>
        <w:p>
          <w:pPr>
            <w:pStyle w:val="12"/>
            <w:tabs>
              <w:tab w:val="right" w:leader="dot" w:pos="9166"/>
            </w:tabs>
            <w:rPr>
              <w:rFonts w:hint="eastAsia" w:ascii="仿宋_GB2312" w:hAnsi="仿宋_GB2312" w:eastAsia="仿宋_GB2312" w:cs="仿宋_GB2312"/>
            </w:rPr>
          </w:pPr>
          <w:r>
            <w:rPr>
              <w:rFonts w:hint="eastAsia" w:ascii="仿宋_GB2312" w:hAnsi="仿宋_GB2312" w:cs="仿宋_GB2312"/>
              <w:snapToGrid w:val="0"/>
              <w:color w:val="000000"/>
              <w:kern w:val="0"/>
              <w:szCs w:val="21"/>
              <w:highlight w:val="none"/>
              <w:lang w:val="en-US" w:eastAsia="zh-CN" w:bidi="ar-SA"/>
            </w:rPr>
            <w:t>8.</w:t>
          </w:r>
          <w:r>
            <w:rPr>
              <w:rFonts w:hint="eastAsia" w:ascii="仿宋_GB2312" w:hAnsi="仿宋_GB2312" w:eastAsia="仿宋_GB2312" w:cs="仿宋_GB2312"/>
              <w:snapToGrid w:val="0"/>
              <w:color w:val="000000"/>
              <w:kern w:val="0"/>
              <w:szCs w:val="21"/>
              <w:highlight w:val="none"/>
              <w:lang w:val="en-US" w:eastAsia="en-US" w:bidi="ar-SA"/>
            </w:rPr>
            <w:fldChar w:fldCharType="begin"/>
          </w:r>
          <w:r>
            <w:rPr>
              <w:rFonts w:hint="eastAsia" w:ascii="仿宋_GB2312" w:hAnsi="仿宋_GB2312" w:eastAsia="仿宋_GB2312" w:cs="仿宋_GB2312"/>
              <w:snapToGrid w:val="0"/>
              <w:kern w:val="0"/>
              <w:szCs w:val="21"/>
              <w:highlight w:val="none"/>
              <w:lang w:val="en-US" w:eastAsia="en-US" w:bidi="ar-SA"/>
            </w:rPr>
            <w:instrText xml:space="preserve"> HYPERLINK \l _Toc25824 </w:instrText>
          </w:r>
          <w:r>
            <w:rPr>
              <w:rFonts w:hint="eastAsia" w:ascii="仿宋_GB2312" w:hAnsi="仿宋_GB2312" w:eastAsia="仿宋_GB2312" w:cs="仿宋_GB2312"/>
              <w:snapToGrid w:val="0"/>
              <w:kern w:val="0"/>
              <w:szCs w:val="21"/>
              <w:highlight w:val="none"/>
              <w:lang w:val="en-US" w:eastAsia="en-US" w:bidi="ar-SA"/>
            </w:rPr>
            <w:fldChar w:fldCharType="separate"/>
          </w:r>
          <w:r>
            <w:rPr>
              <w:rFonts w:hint="eastAsia" w:ascii="仿宋_GB2312" w:hAnsi="仿宋_GB2312" w:eastAsia="仿宋_GB2312" w:cs="仿宋_GB2312"/>
              <w:i w:val="0"/>
              <w:iCs w:val="0"/>
              <w:kern w:val="0"/>
              <w:szCs w:val="24"/>
              <w:highlight w:val="none"/>
              <w:lang w:val="en-US" w:eastAsia="zh-CN" w:bidi="ar"/>
            </w:rPr>
            <w:t>占用、堵塞、封闭消防车通道，妨碍</w:t>
          </w:r>
          <w:r>
            <w:rPr>
              <w:rFonts w:hint="eastAsia" w:ascii="仿宋_GB2312" w:hAnsi="仿宋_GB2312" w:eastAsia="仿宋_GB2312" w:cs="仿宋_GB2312"/>
              <w:highlight w:val="none"/>
              <w:lang w:val="en-US" w:eastAsia="zh-CN"/>
            </w:rPr>
            <w:t>消防车</w:t>
          </w:r>
          <w:r>
            <w:rPr>
              <w:rFonts w:hint="eastAsia" w:ascii="仿宋_GB2312" w:hAnsi="仿宋_GB2312" w:eastAsia="仿宋_GB2312" w:cs="仿宋_GB2312"/>
              <w:i w:val="0"/>
              <w:iCs w:val="0"/>
              <w:kern w:val="0"/>
              <w:szCs w:val="24"/>
              <w:highlight w:val="none"/>
              <w:lang w:val="en-US" w:eastAsia="zh-CN" w:bidi="ar"/>
            </w:rPr>
            <w:t>通行的</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_Toc25824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20</w:t>
          </w:r>
          <w:r>
            <w:rPr>
              <w:rFonts w:hint="eastAsia" w:ascii="仿宋_GB2312" w:hAnsi="仿宋_GB2312" w:eastAsia="仿宋_GB2312" w:cs="仿宋_GB2312"/>
            </w:rPr>
            <w:fldChar w:fldCharType="end"/>
          </w:r>
          <w:r>
            <w:rPr>
              <w:rFonts w:hint="eastAsia" w:ascii="仿宋_GB2312" w:hAnsi="仿宋_GB2312" w:eastAsia="仿宋_GB2312" w:cs="仿宋_GB2312"/>
              <w:snapToGrid w:val="0"/>
              <w:color w:val="000000"/>
              <w:kern w:val="0"/>
              <w:szCs w:val="21"/>
              <w:highlight w:val="none"/>
              <w:lang w:val="en-US" w:eastAsia="en-US" w:bidi="ar-SA"/>
            </w:rPr>
            <w:fldChar w:fldCharType="end"/>
          </w:r>
        </w:p>
        <w:p>
          <w:pPr>
            <w:pStyle w:val="12"/>
            <w:tabs>
              <w:tab w:val="right" w:leader="dot" w:pos="9166"/>
            </w:tabs>
            <w:rPr>
              <w:rFonts w:hint="eastAsia" w:ascii="仿宋_GB2312" w:hAnsi="仿宋_GB2312" w:eastAsia="仿宋_GB2312" w:cs="仿宋_GB2312"/>
            </w:rPr>
          </w:pPr>
          <w:r>
            <w:rPr>
              <w:rFonts w:hint="eastAsia" w:ascii="仿宋_GB2312" w:hAnsi="仿宋_GB2312" w:cs="仿宋_GB2312"/>
              <w:snapToGrid w:val="0"/>
              <w:color w:val="000000"/>
              <w:kern w:val="0"/>
              <w:szCs w:val="21"/>
              <w:highlight w:val="none"/>
              <w:lang w:val="en-US" w:eastAsia="zh-CN" w:bidi="ar-SA"/>
            </w:rPr>
            <w:t>9.</w:t>
          </w:r>
          <w:r>
            <w:rPr>
              <w:rFonts w:hint="eastAsia" w:ascii="仿宋_GB2312" w:hAnsi="仿宋_GB2312" w:eastAsia="仿宋_GB2312" w:cs="仿宋_GB2312"/>
              <w:snapToGrid w:val="0"/>
              <w:color w:val="000000"/>
              <w:kern w:val="0"/>
              <w:szCs w:val="21"/>
              <w:highlight w:val="none"/>
              <w:lang w:val="en-US" w:eastAsia="en-US" w:bidi="ar-SA"/>
            </w:rPr>
            <w:fldChar w:fldCharType="begin"/>
          </w:r>
          <w:r>
            <w:rPr>
              <w:rFonts w:hint="eastAsia" w:ascii="仿宋_GB2312" w:hAnsi="仿宋_GB2312" w:eastAsia="仿宋_GB2312" w:cs="仿宋_GB2312"/>
              <w:snapToGrid w:val="0"/>
              <w:kern w:val="0"/>
              <w:szCs w:val="21"/>
              <w:highlight w:val="none"/>
              <w:lang w:val="en-US" w:eastAsia="en-US" w:bidi="ar-SA"/>
            </w:rPr>
            <w:instrText xml:space="preserve"> HYPERLINK \l _Toc32003 </w:instrText>
          </w:r>
          <w:r>
            <w:rPr>
              <w:rFonts w:hint="eastAsia" w:ascii="仿宋_GB2312" w:hAnsi="仿宋_GB2312" w:eastAsia="仿宋_GB2312" w:cs="仿宋_GB2312"/>
              <w:snapToGrid w:val="0"/>
              <w:kern w:val="0"/>
              <w:szCs w:val="21"/>
              <w:highlight w:val="none"/>
              <w:lang w:val="en-US" w:eastAsia="en-US" w:bidi="ar-SA"/>
            </w:rPr>
            <w:fldChar w:fldCharType="separate"/>
          </w:r>
          <w:r>
            <w:rPr>
              <w:rFonts w:hint="eastAsia" w:ascii="仿宋_GB2312" w:hAnsi="仿宋_GB2312" w:eastAsia="仿宋_GB2312" w:cs="仿宋_GB2312"/>
              <w:i w:val="0"/>
              <w:iCs w:val="0"/>
              <w:kern w:val="0"/>
              <w:szCs w:val="24"/>
              <w:highlight w:val="none"/>
              <w:lang w:val="en-US" w:eastAsia="zh-CN" w:bidi="ar"/>
            </w:rPr>
            <w:t>人员密集场所在门窗上设置影响逃生和灭火救援的障碍物的</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_Toc32003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21</w:t>
          </w:r>
          <w:r>
            <w:rPr>
              <w:rFonts w:hint="eastAsia" w:ascii="仿宋_GB2312" w:hAnsi="仿宋_GB2312" w:eastAsia="仿宋_GB2312" w:cs="仿宋_GB2312"/>
            </w:rPr>
            <w:fldChar w:fldCharType="end"/>
          </w:r>
          <w:r>
            <w:rPr>
              <w:rFonts w:hint="eastAsia" w:ascii="仿宋_GB2312" w:hAnsi="仿宋_GB2312" w:eastAsia="仿宋_GB2312" w:cs="仿宋_GB2312"/>
              <w:snapToGrid w:val="0"/>
              <w:color w:val="000000"/>
              <w:kern w:val="0"/>
              <w:szCs w:val="21"/>
              <w:highlight w:val="none"/>
              <w:lang w:val="en-US" w:eastAsia="en-US" w:bidi="ar-SA"/>
            </w:rPr>
            <w:fldChar w:fldCharType="end"/>
          </w:r>
        </w:p>
        <w:p>
          <w:pPr>
            <w:pStyle w:val="12"/>
            <w:tabs>
              <w:tab w:val="right" w:leader="dot" w:pos="9166"/>
            </w:tabs>
            <w:rPr>
              <w:rFonts w:hint="eastAsia" w:ascii="仿宋_GB2312" w:hAnsi="仿宋_GB2312" w:eastAsia="仿宋_GB2312" w:cs="仿宋_GB2312"/>
            </w:rPr>
          </w:pPr>
          <w:r>
            <w:rPr>
              <w:rFonts w:hint="eastAsia" w:ascii="仿宋_GB2312" w:hAnsi="仿宋_GB2312" w:cs="仿宋_GB2312"/>
              <w:snapToGrid w:val="0"/>
              <w:color w:val="000000"/>
              <w:kern w:val="0"/>
              <w:szCs w:val="21"/>
              <w:highlight w:val="none"/>
              <w:lang w:val="en-US" w:eastAsia="zh-CN" w:bidi="ar-SA"/>
            </w:rPr>
            <w:t>10.</w:t>
          </w:r>
          <w:r>
            <w:rPr>
              <w:rFonts w:hint="eastAsia" w:ascii="仿宋_GB2312" w:hAnsi="仿宋_GB2312" w:eastAsia="仿宋_GB2312" w:cs="仿宋_GB2312"/>
              <w:snapToGrid w:val="0"/>
              <w:color w:val="000000"/>
              <w:kern w:val="0"/>
              <w:szCs w:val="21"/>
              <w:highlight w:val="none"/>
              <w:lang w:val="en-US" w:eastAsia="en-US" w:bidi="ar-SA"/>
            </w:rPr>
            <w:fldChar w:fldCharType="begin"/>
          </w:r>
          <w:r>
            <w:rPr>
              <w:rFonts w:hint="eastAsia" w:ascii="仿宋_GB2312" w:hAnsi="仿宋_GB2312" w:eastAsia="仿宋_GB2312" w:cs="仿宋_GB2312"/>
              <w:snapToGrid w:val="0"/>
              <w:kern w:val="0"/>
              <w:szCs w:val="21"/>
              <w:highlight w:val="none"/>
              <w:lang w:val="en-US" w:eastAsia="en-US" w:bidi="ar-SA"/>
            </w:rPr>
            <w:instrText xml:space="preserve"> HYPERLINK \l _Toc15476 </w:instrText>
          </w:r>
          <w:r>
            <w:rPr>
              <w:rFonts w:hint="eastAsia" w:ascii="仿宋_GB2312" w:hAnsi="仿宋_GB2312" w:eastAsia="仿宋_GB2312" w:cs="仿宋_GB2312"/>
              <w:snapToGrid w:val="0"/>
              <w:kern w:val="0"/>
              <w:szCs w:val="21"/>
              <w:highlight w:val="none"/>
              <w:lang w:val="en-US" w:eastAsia="en-US" w:bidi="ar-SA"/>
            </w:rPr>
            <w:fldChar w:fldCharType="separate"/>
          </w:r>
          <w:r>
            <w:rPr>
              <w:rFonts w:hint="eastAsia" w:ascii="仿宋_GB2312" w:hAnsi="仿宋_GB2312" w:eastAsia="仿宋_GB2312" w:cs="仿宋_GB2312"/>
              <w:i w:val="0"/>
              <w:iCs w:val="0"/>
              <w:kern w:val="0"/>
              <w:szCs w:val="24"/>
              <w:highlight w:val="none"/>
              <w:lang w:val="en-US" w:eastAsia="zh-CN" w:bidi="ar"/>
            </w:rPr>
            <w:t>（单位）不履行消防安全职责逾期未改</w:t>
          </w:r>
          <w:r>
            <w:rPr>
              <w:rFonts w:hint="eastAsia" w:ascii="仿宋_GB2312" w:hAnsi="仿宋_GB2312" w:cs="仿宋_GB2312"/>
              <w:i w:val="0"/>
              <w:iCs w:val="0"/>
              <w:kern w:val="0"/>
              <w:szCs w:val="24"/>
              <w:highlight w:val="none"/>
              <w:lang w:val="en-US" w:eastAsia="zh-CN" w:bidi="ar"/>
            </w:rPr>
            <w:t>的</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_Toc15476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22</w:t>
          </w:r>
          <w:r>
            <w:rPr>
              <w:rFonts w:hint="eastAsia" w:ascii="仿宋_GB2312" w:hAnsi="仿宋_GB2312" w:eastAsia="仿宋_GB2312" w:cs="仿宋_GB2312"/>
            </w:rPr>
            <w:fldChar w:fldCharType="end"/>
          </w:r>
          <w:r>
            <w:rPr>
              <w:rFonts w:hint="eastAsia" w:ascii="仿宋_GB2312" w:hAnsi="仿宋_GB2312" w:eastAsia="仿宋_GB2312" w:cs="仿宋_GB2312"/>
              <w:snapToGrid w:val="0"/>
              <w:color w:val="000000"/>
              <w:kern w:val="0"/>
              <w:szCs w:val="21"/>
              <w:highlight w:val="none"/>
              <w:lang w:val="en-US" w:eastAsia="en-US" w:bidi="ar-SA"/>
            </w:rPr>
            <w:fldChar w:fldCharType="end"/>
          </w:r>
        </w:p>
        <w:p>
          <w:pPr>
            <w:pStyle w:val="12"/>
            <w:tabs>
              <w:tab w:val="right" w:leader="dot" w:pos="9166"/>
            </w:tabs>
            <w:rPr>
              <w:rFonts w:hint="eastAsia" w:ascii="仿宋_GB2312" w:hAnsi="仿宋_GB2312" w:eastAsia="仿宋_GB2312" w:cs="仿宋_GB2312"/>
            </w:rPr>
          </w:pPr>
          <w:r>
            <w:rPr>
              <w:rFonts w:hint="eastAsia" w:ascii="仿宋_GB2312" w:hAnsi="仿宋_GB2312" w:cs="仿宋_GB2312"/>
              <w:snapToGrid w:val="0"/>
              <w:color w:val="000000"/>
              <w:kern w:val="0"/>
              <w:szCs w:val="21"/>
              <w:highlight w:val="none"/>
              <w:lang w:val="en-US" w:eastAsia="zh-CN" w:bidi="ar-SA"/>
            </w:rPr>
            <w:t>11.</w:t>
          </w:r>
          <w:r>
            <w:rPr>
              <w:rFonts w:hint="eastAsia" w:ascii="仿宋_GB2312" w:hAnsi="仿宋_GB2312" w:eastAsia="仿宋_GB2312" w:cs="仿宋_GB2312"/>
              <w:snapToGrid w:val="0"/>
              <w:color w:val="000000"/>
              <w:kern w:val="0"/>
              <w:szCs w:val="21"/>
              <w:highlight w:val="none"/>
              <w:lang w:val="en-US" w:eastAsia="en-US" w:bidi="ar-SA"/>
            </w:rPr>
            <w:fldChar w:fldCharType="begin"/>
          </w:r>
          <w:r>
            <w:rPr>
              <w:rFonts w:hint="eastAsia" w:ascii="仿宋_GB2312" w:hAnsi="仿宋_GB2312" w:eastAsia="仿宋_GB2312" w:cs="仿宋_GB2312"/>
              <w:snapToGrid w:val="0"/>
              <w:kern w:val="0"/>
              <w:szCs w:val="21"/>
              <w:highlight w:val="none"/>
              <w:lang w:val="en-US" w:eastAsia="en-US" w:bidi="ar-SA"/>
            </w:rPr>
            <w:instrText xml:space="preserve"> HYPERLINK \l _Toc29503 </w:instrText>
          </w:r>
          <w:r>
            <w:rPr>
              <w:rFonts w:hint="eastAsia" w:ascii="仿宋_GB2312" w:hAnsi="仿宋_GB2312" w:eastAsia="仿宋_GB2312" w:cs="仿宋_GB2312"/>
              <w:snapToGrid w:val="0"/>
              <w:kern w:val="0"/>
              <w:szCs w:val="21"/>
              <w:highlight w:val="none"/>
              <w:lang w:val="en-US" w:eastAsia="en-US" w:bidi="ar-SA"/>
            </w:rPr>
            <w:fldChar w:fldCharType="separate"/>
          </w:r>
          <w:r>
            <w:rPr>
              <w:rFonts w:hint="eastAsia" w:ascii="仿宋_GB2312" w:hAnsi="仿宋_GB2312" w:eastAsia="仿宋_GB2312" w:cs="仿宋_GB2312"/>
              <w:i w:val="0"/>
              <w:iCs w:val="0"/>
              <w:kern w:val="0"/>
              <w:szCs w:val="24"/>
              <w:highlight w:val="none"/>
              <w:lang w:val="en-US" w:eastAsia="zh-CN" w:bidi="ar"/>
            </w:rPr>
            <w:t>（消防安全重点单位，城中村、旧工业区、特定区域的管理单位）未履行消防安全职责逾期未改</w:t>
          </w:r>
          <w:r>
            <w:rPr>
              <w:rFonts w:hint="eastAsia" w:ascii="仿宋_GB2312" w:hAnsi="仿宋_GB2312" w:cs="仿宋_GB2312"/>
              <w:i w:val="0"/>
              <w:iCs w:val="0"/>
              <w:kern w:val="0"/>
              <w:szCs w:val="24"/>
              <w:highlight w:val="none"/>
              <w:lang w:val="en-US" w:eastAsia="zh-CN" w:bidi="ar"/>
            </w:rPr>
            <w:t>的</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_Toc29503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23</w:t>
          </w:r>
          <w:r>
            <w:rPr>
              <w:rFonts w:hint="eastAsia" w:ascii="仿宋_GB2312" w:hAnsi="仿宋_GB2312" w:eastAsia="仿宋_GB2312" w:cs="仿宋_GB2312"/>
            </w:rPr>
            <w:fldChar w:fldCharType="end"/>
          </w:r>
          <w:r>
            <w:rPr>
              <w:rFonts w:hint="eastAsia" w:ascii="仿宋_GB2312" w:hAnsi="仿宋_GB2312" w:eastAsia="仿宋_GB2312" w:cs="仿宋_GB2312"/>
              <w:snapToGrid w:val="0"/>
              <w:color w:val="000000"/>
              <w:kern w:val="0"/>
              <w:szCs w:val="21"/>
              <w:highlight w:val="none"/>
              <w:lang w:val="en-US" w:eastAsia="en-US" w:bidi="ar-SA"/>
            </w:rPr>
            <w:fldChar w:fldCharType="end"/>
          </w:r>
        </w:p>
        <w:p>
          <w:pPr>
            <w:pStyle w:val="12"/>
            <w:tabs>
              <w:tab w:val="right" w:leader="dot" w:pos="9166"/>
            </w:tabs>
            <w:rPr>
              <w:rFonts w:hint="eastAsia" w:ascii="仿宋_GB2312" w:hAnsi="仿宋_GB2312" w:eastAsia="仿宋_GB2312" w:cs="仿宋_GB2312"/>
            </w:rPr>
          </w:pPr>
          <w:r>
            <w:rPr>
              <w:rFonts w:hint="eastAsia" w:ascii="仿宋_GB2312" w:hAnsi="仿宋_GB2312" w:cs="仿宋_GB2312"/>
              <w:snapToGrid w:val="0"/>
              <w:color w:val="000000"/>
              <w:kern w:val="0"/>
              <w:szCs w:val="21"/>
              <w:highlight w:val="none"/>
              <w:lang w:val="en-US" w:eastAsia="zh-CN" w:bidi="ar-SA"/>
            </w:rPr>
            <w:t>12.</w:t>
          </w:r>
          <w:r>
            <w:rPr>
              <w:rFonts w:hint="eastAsia" w:ascii="仿宋_GB2312" w:hAnsi="仿宋_GB2312" w:eastAsia="仿宋_GB2312" w:cs="仿宋_GB2312"/>
              <w:snapToGrid w:val="0"/>
              <w:color w:val="000000"/>
              <w:kern w:val="0"/>
              <w:szCs w:val="21"/>
              <w:highlight w:val="none"/>
              <w:lang w:val="en-US" w:eastAsia="en-US" w:bidi="ar-SA"/>
            </w:rPr>
            <w:fldChar w:fldCharType="begin"/>
          </w:r>
          <w:r>
            <w:rPr>
              <w:rFonts w:hint="eastAsia" w:ascii="仿宋_GB2312" w:hAnsi="仿宋_GB2312" w:eastAsia="仿宋_GB2312" w:cs="仿宋_GB2312"/>
              <w:snapToGrid w:val="0"/>
              <w:kern w:val="0"/>
              <w:szCs w:val="21"/>
              <w:highlight w:val="none"/>
              <w:lang w:val="en-US" w:eastAsia="en-US" w:bidi="ar-SA"/>
            </w:rPr>
            <w:instrText xml:space="preserve"> HYPERLINK \l _Toc2421 </w:instrText>
          </w:r>
          <w:r>
            <w:rPr>
              <w:rFonts w:hint="eastAsia" w:ascii="仿宋_GB2312" w:hAnsi="仿宋_GB2312" w:eastAsia="仿宋_GB2312" w:cs="仿宋_GB2312"/>
              <w:snapToGrid w:val="0"/>
              <w:kern w:val="0"/>
              <w:szCs w:val="21"/>
              <w:highlight w:val="none"/>
              <w:lang w:val="en-US" w:eastAsia="en-US" w:bidi="ar-SA"/>
            </w:rPr>
            <w:fldChar w:fldCharType="separate"/>
          </w:r>
          <w:r>
            <w:rPr>
              <w:rFonts w:hint="eastAsia" w:ascii="仿宋_GB2312" w:hAnsi="仿宋_GB2312" w:eastAsia="仿宋_GB2312" w:cs="仿宋_GB2312"/>
              <w:i w:val="0"/>
              <w:iCs w:val="0"/>
              <w:kern w:val="0"/>
              <w:szCs w:val="24"/>
              <w:highlight w:val="none"/>
              <w:lang w:val="en-US" w:eastAsia="zh-CN" w:bidi="ar"/>
            </w:rPr>
            <w:t>住宅区的物业服务人未履行消防安全责任的</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_Toc2421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26</w:t>
          </w:r>
          <w:r>
            <w:rPr>
              <w:rFonts w:hint="eastAsia" w:ascii="仿宋_GB2312" w:hAnsi="仿宋_GB2312" w:eastAsia="仿宋_GB2312" w:cs="仿宋_GB2312"/>
            </w:rPr>
            <w:fldChar w:fldCharType="end"/>
          </w:r>
          <w:r>
            <w:rPr>
              <w:rFonts w:hint="eastAsia" w:ascii="仿宋_GB2312" w:hAnsi="仿宋_GB2312" w:eastAsia="仿宋_GB2312" w:cs="仿宋_GB2312"/>
              <w:snapToGrid w:val="0"/>
              <w:color w:val="000000"/>
              <w:kern w:val="0"/>
              <w:szCs w:val="21"/>
              <w:highlight w:val="none"/>
              <w:lang w:val="en-US" w:eastAsia="en-US" w:bidi="ar-SA"/>
            </w:rPr>
            <w:fldChar w:fldCharType="end"/>
          </w:r>
        </w:p>
        <w:p>
          <w:pPr>
            <w:pStyle w:val="12"/>
            <w:tabs>
              <w:tab w:val="right" w:leader="dot" w:pos="9166"/>
            </w:tabs>
            <w:rPr>
              <w:rFonts w:hint="eastAsia" w:ascii="仿宋_GB2312" w:hAnsi="仿宋_GB2312" w:eastAsia="仿宋_GB2312" w:cs="仿宋_GB2312"/>
            </w:rPr>
          </w:pPr>
          <w:r>
            <w:rPr>
              <w:rFonts w:hint="eastAsia" w:ascii="仿宋_GB2312" w:hAnsi="仿宋_GB2312" w:cs="仿宋_GB2312"/>
              <w:snapToGrid w:val="0"/>
              <w:color w:val="000000"/>
              <w:kern w:val="0"/>
              <w:szCs w:val="21"/>
              <w:highlight w:val="none"/>
              <w:lang w:val="en-US" w:eastAsia="zh-CN" w:bidi="ar-SA"/>
            </w:rPr>
            <w:t>13.</w:t>
          </w:r>
          <w:r>
            <w:rPr>
              <w:rFonts w:hint="eastAsia" w:ascii="仿宋_GB2312" w:hAnsi="仿宋_GB2312" w:eastAsia="仿宋_GB2312" w:cs="仿宋_GB2312"/>
              <w:snapToGrid w:val="0"/>
              <w:color w:val="000000"/>
              <w:kern w:val="0"/>
              <w:szCs w:val="21"/>
              <w:highlight w:val="none"/>
              <w:lang w:val="en-US" w:eastAsia="en-US" w:bidi="ar-SA"/>
            </w:rPr>
            <w:fldChar w:fldCharType="begin"/>
          </w:r>
          <w:r>
            <w:rPr>
              <w:rFonts w:hint="eastAsia" w:ascii="仿宋_GB2312" w:hAnsi="仿宋_GB2312" w:eastAsia="仿宋_GB2312" w:cs="仿宋_GB2312"/>
              <w:snapToGrid w:val="0"/>
              <w:kern w:val="0"/>
              <w:szCs w:val="21"/>
              <w:highlight w:val="none"/>
              <w:lang w:val="en-US" w:eastAsia="en-US" w:bidi="ar-SA"/>
            </w:rPr>
            <w:instrText xml:space="preserve"> HYPERLINK \l _Toc2369 </w:instrText>
          </w:r>
          <w:r>
            <w:rPr>
              <w:rFonts w:hint="eastAsia" w:ascii="仿宋_GB2312" w:hAnsi="仿宋_GB2312" w:eastAsia="仿宋_GB2312" w:cs="仿宋_GB2312"/>
              <w:snapToGrid w:val="0"/>
              <w:kern w:val="0"/>
              <w:szCs w:val="21"/>
              <w:highlight w:val="none"/>
              <w:lang w:val="en-US" w:eastAsia="en-US" w:bidi="ar-SA"/>
            </w:rPr>
            <w:fldChar w:fldCharType="separate"/>
          </w:r>
          <w:r>
            <w:rPr>
              <w:rFonts w:hint="eastAsia" w:ascii="仿宋_GB2312" w:hAnsi="仿宋_GB2312" w:eastAsia="仿宋_GB2312" w:cs="仿宋_GB2312"/>
              <w:highlight w:val="none"/>
              <w:lang w:val="en-US" w:eastAsia="zh-CN"/>
            </w:rPr>
            <w:t>公众聚集场所未经消防救援机构许可，擅自投入使用、营业的</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_Toc2369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27</w:t>
          </w:r>
          <w:r>
            <w:rPr>
              <w:rFonts w:hint="eastAsia" w:ascii="仿宋_GB2312" w:hAnsi="仿宋_GB2312" w:eastAsia="仿宋_GB2312" w:cs="仿宋_GB2312"/>
            </w:rPr>
            <w:fldChar w:fldCharType="end"/>
          </w:r>
          <w:r>
            <w:rPr>
              <w:rFonts w:hint="eastAsia" w:ascii="仿宋_GB2312" w:hAnsi="仿宋_GB2312" w:eastAsia="仿宋_GB2312" w:cs="仿宋_GB2312"/>
              <w:snapToGrid w:val="0"/>
              <w:color w:val="000000"/>
              <w:kern w:val="0"/>
              <w:szCs w:val="21"/>
              <w:highlight w:val="none"/>
              <w:lang w:val="en-US" w:eastAsia="en-US" w:bidi="ar-SA"/>
            </w:rPr>
            <w:fldChar w:fldCharType="end"/>
          </w:r>
        </w:p>
        <w:p>
          <w:pPr>
            <w:pStyle w:val="12"/>
            <w:tabs>
              <w:tab w:val="right" w:leader="dot" w:pos="9166"/>
            </w:tabs>
            <w:rPr>
              <w:rFonts w:hint="eastAsia" w:ascii="仿宋_GB2312" w:hAnsi="仿宋_GB2312" w:eastAsia="仿宋_GB2312" w:cs="仿宋_GB2312"/>
            </w:rPr>
          </w:pPr>
          <w:r>
            <w:rPr>
              <w:rFonts w:hint="eastAsia" w:ascii="仿宋_GB2312" w:hAnsi="仿宋_GB2312" w:cs="仿宋_GB2312"/>
              <w:snapToGrid w:val="0"/>
              <w:color w:val="000000"/>
              <w:kern w:val="0"/>
              <w:szCs w:val="21"/>
              <w:highlight w:val="none"/>
              <w:lang w:val="en-US" w:eastAsia="zh-CN" w:bidi="ar-SA"/>
            </w:rPr>
            <w:t>14.</w:t>
          </w:r>
          <w:r>
            <w:rPr>
              <w:rFonts w:hint="eastAsia" w:ascii="仿宋_GB2312" w:hAnsi="仿宋_GB2312" w:eastAsia="仿宋_GB2312" w:cs="仿宋_GB2312"/>
              <w:snapToGrid w:val="0"/>
              <w:color w:val="000000"/>
              <w:kern w:val="0"/>
              <w:szCs w:val="21"/>
              <w:highlight w:val="none"/>
              <w:lang w:val="en-US" w:eastAsia="en-US" w:bidi="ar-SA"/>
            </w:rPr>
            <w:fldChar w:fldCharType="begin"/>
          </w:r>
          <w:r>
            <w:rPr>
              <w:rFonts w:hint="eastAsia" w:ascii="仿宋_GB2312" w:hAnsi="仿宋_GB2312" w:eastAsia="仿宋_GB2312" w:cs="仿宋_GB2312"/>
              <w:snapToGrid w:val="0"/>
              <w:kern w:val="0"/>
              <w:szCs w:val="21"/>
              <w:highlight w:val="none"/>
              <w:lang w:val="en-US" w:eastAsia="en-US" w:bidi="ar-SA"/>
            </w:rPr>
            <w:instrText xml:space="preserve"> HYPERLINK \l _Toc11273 </w:instrText>
          </w:r>
          <w:r>
            <w:rPr>
              <w:rFonts w:hint="eastAsia" w:ascii="仿宋_GB2312" w:hAnsi="仿宋_GB2312" w:eastAsia="仿宋_GB2312" w:cs="仿宋_GB2312"/>
              <w:snapToGrid w:val="0"/>
              <w:kern w:val="0"/>
              <w:szCs w:val="21"/>
              <w:highlight w:val="none"/>
              <w:lang w:val="en-US" w:eastAsia="en-US" w:bidi="ar-SA"/>
            </w:rPr>
            <w:fldChar w:fldCharType="separate"/>
          </w:r>
          <w:r>
            <w:rPr>
              <w:rFonts w:hint="eastAsia" w:ascii="仿宋_GB2312" w:hAnsi="仿宋_GB2312" w:eastAsia="仿宋_GB2312" w:cs="仿宋_GB2312"/>
              <w:highlight w:val="none"/>
              <w:lang w:val="en-US" w:eastAsia="zh-CN"/>
            </w:rPr>
            <w:t>公众聚集场所经核查发现场所使用、营业情况与承诺内容不符的</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_Toc11273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29</w:t>
          </w:r>
          <w:r>
            <w:rPr>
              <w:rFonts w:hint="eastAsia" w:ascii="仿宋_GB2312" w:hAnsi="仿宋_GB2312" w:eastAsia="仿宋_GB2312" w:cs="仿宋_GB2312"/>
            </w:rPr>
            <w:fldChar w:fldCharType="end"/>
          </w:r>
          <w:r>
            <w:rPr>
              <w:rFonts w:hint="eastAsia" w:ascii="仿宋_GB2312" w:hAnsi="仿宋_GB2312" w:eastAsia="仿宋_GB2312" w:cs="仿宋_GB2312"/>
              <w:snapToGrid w:val="0"/>
              <w:color w:val="000000"/>
              <w:kern w:val="0"/>
              <w:szCs w:val="21"/>
              <w:highlight w:val="none"/>
              <w:lang w:val="en-US" w:eastAsia="en-US" w:bidi="ar-SA"/>
            </w:rPr>
            <w:fldChar w:fldCharType="end"/>
          </w:r>
        </w:p>
        <w:p>
          <w:pPr>
            <w:pStyle w:val="12"/>
            <w:tabs>
              <w:tab w:val="right" w:leader="dot" w:pos="9166"/>
            </w:tabs>
            <w:rPr>
              <w:rFonts w:hint="eastAsia" w:ascii="仿宋_GB2312" w:hAnsi="仿宋_GB2312" w:eastAsia="仿宋_GB2312" w:cs="仿宋_GB2312"/>
            </w:rPr>
          </w:pPr>
          <w:r>
            <w:rPr>
              <w:rFonts w:hint="eastAsia" w:ascii="仿宋_GB2312" w:hAnsi="仿宋_GB2312" w:cs="仿宋_GB2312"/>
              <w:snapToGrid w:val="0"/>
              <w:color w:val="000000"/>
              <w:kern w:val="0"/>
              <w:szCs w:val="21"/>
              <w:highlight w:val="none"/>
              <w:lang w:val="en-US" w:eastAsia="zh-CN" w:bidi="ar-SA"/>
            </w:rPr>
            <w:t>15.</w:t>
          </w:r>
          <w:r>
            <w:rPr>
              <w:rFonts w:hint="eastAsia" w:ascii="仿宋_GB2312" w:hAnsi="仿宋_GB2312" w:eastAsia="仿宋_GB2312" w:cs="仿宋_GB2312"/>
              <w:snapToGrid w:val="0"/>
              <w:color w:val="000000"/>
              <w:kern w:val="0"/>
              <w:szCs w:val="21"/>
              <w:highlight w:val="none"/>
              <w:lang w:val="en-US" w:eastAsia="en-US" w:bidi="ar-SA"/>
            </w:rPr>
            <w:fldChar w:fldCharType="begin"/>
          </w:r>
          <w:r>
            <w:rPr>
              <w:rFonts w:hint="eastAsia" w:ascii="仿宋_GB2312" w:hAnsi="仿宋_GB2312" w:eastAsia="仿宋_GB2312" w:cs="仿宋_GB2312"/>
              <w:snapToGrid w:val="0"/>
              <w:kern w:val="0"/>
              <w:szCs w:val="21"/>
              <w:highlight w:val="none"/>
              <w:lang w:val="en-US" w:eastAsia="en-US" w:bidi="ar-SA"/>
            </w:rPr>
            <w:instrText xml:space="preserve"> HYPERLINK \l _Toc24794 </w:instrText>
          </w:r>
          <w:r>
            <w:rPr>
              <w:rFonts w:hint="eastAsia" w:ascii="仿宋_GB2312" w:hAnsi="仿宋_GB2312" w:eastAsia="仿宋_GB2312" w:cs="仿宋_GB2312"/>
              <w:snapToGrid w:val="0"/>
              <w:kern w:val="0"/>
              <w:szCs w:val="21"/>
              <w:highlight w:val="none"/>
              <w:lang w:val="en-US" w:eastAsia="en-US" w:bidi="ar-SA"/>
            </w:rPr>
            <w:fldChar w:fldCharType="separate"/>
          </w:r>
          <w:r>
            <w:rPr>
              <w:rFonts w:hint="eastAsia" w:ascii="仿宋_GB2312" w:hAnsi="仿宋_GB2312" w:eastAsia="仿宋_GB2312" w:cs="仿宋_GB2312"/>
              <w:i w:val="0"/>
              <w:iCs w:val="0"/>
              <w:szCs w:val="24"/>
              <w:highlight w:val="none"/>
            </w:rPr>
            <w:t>违规停放、放置电动自行车、电动摩托车及其蓄电池，或者为其蓄电池充电</w:t>
          </w:r>
          <w:r>
            <w:rPr>
              <w:rFonts w:hint="eastAsia" w:ascii="仿宋_GB2312" w:hAnsi="仿宋_GB2312" w:cs="仿宋_GB2312"/>
              <w:i w:val="0"/>
              <w:iCs w:val="0"/>
              <w:szCs w:val="24"/>
              <w:highlight w:val="none"/>
              <w:lang w:val="en-US" w:eastAsia="zh-CN"/>
            </w:rPr>
            <w:t>的</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_Toc24794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30</w:t>
          </w:r>
          <w:r>
            <w:rPr>
              <w:rFonts w:hint="eastAsia" w:ascii="仿宋_GB2312" w:hAnsi="仿宋_GB2312" w:eastAsia="仿宋_GB2312" w:cs="仿宋_GB2312"/>
            </w:rPr>
            <w:fldChar w:fldCharType="end"/>
          </w:r>
          <w:r>
            <w:rPr>
              <w:rFonts w:hint="eastAsia" w:ascii="仿宋_GB2312" w:hAnsi="仿宋_GB2312" w:eastAsia="仿宋_GB2312" w:cs="仿宋_GB2312"/>
              <w:snapToGrid w:val="0"/>
              <w:color w:val="000000"/>
              <w:kern w:val="0"/>
              <w:szCs w:val="21"/>
              <w:highlight w:val="none"/>
              <w:lang w:val="en-US" w:eastAsia="en-US" w:bidi="ar-SA"/>
            </w:rPr>
            <w:fldChar w:fldCharType="end"/>
          </w:r>
        </w:p>
        <w:p>
          <w:pPr>
            <w:pStyle w:val="12"/>
            <w:tabs>
              <w:tab w:val="right" w:leader="dot" w:pos="9166"/>
            </w:tabs>
          </w:pPr>
          <w:r>
            <w:rPr>
              <w:rFonts w:hint="eastAsia" w:ascii="仿宋_GB2312" w:hAnsi="仿宋_GB2312" w:cs="仿宋_GB2312"/>
              <w:snapToGrid w:val="0"/>
              <w:color w:val="000000"/>
              <w:kern w:val="0"/>
              <w:szCs w:val="21"/>
              <w:highlight w:val="none"/>
              <w:lang w:val="en-US" w:eastAsia="zh-CN" w:bidi="ar-SA"/>
            </w:rPr>
            <w:t>16.</w:t>
          </w:r>
          <w:r>
            <w:rPr>
              <w:rFonts w:hint="eastAsia" w:ascii="仿宋_GB2312" w:hAnsi="仿宋_GB2312" w:eastAsia="仿宋_GB2312" w:cs="仿宋_GB2312"/>
              <w:snapToGrid w:val="0"/>
              <w:color w:val="000000"/>
              <w:kern w:val="0"/>
              <w:szCs w:val="21"/>
              <w:highlight w:val="none"/>
              <w:lang w:val="en-US" w:eastAsia="en-US" w:bidi="ar-SA"/>
            </w:rPr>
            <w:fldChar w:fldCharType="begin"/>
          </w:r>
          <w:r>
            <w:rPr>
              <w:rFonts w:hint="eastAsia" w:ascii="仿宋_GB2312" w:hAnsi="仿宋_GB2312" w:eastAsia="仿宋_GB2312" w:cs="仿宋_GB2312"/>
              <w:snapToGrid w:val="0"/>
              <w:kern w:val="0"/>
              <w:szCs w:val="21"/>
              <w:highlight w:val="none"/>
              <w:lang w:val="en-US" w:eastAsia="en-US" w:bidi="ar-SA"/>
            </w:rPr>
            <w:instrText xml:space="preserve"> HYPERLINK \l _Toc8157 </w:instrText>
          </w:r>
          <w:r>
            <w:rPr>
              <w:rFonts w:hint="eastAsia" w:ascii="仿宋_GB2312" w:hAnsi="仿宋_GB2312" w:eastAsia="仿宋_GB2312" w:cs="仿宋_GB2312"/>
              <w:snapToGrid w:val="0"/>
              <w:kern w:val="0"/>
              <w:szCs w:val="21"/>
              <w:highlight w:val="none"/>
              <w:lang w:val="en-US" w:eastAsia="en-US" w:bidi="ar-SA"/>
            </w:rPr>
            <w:fldChar w:fldCharType="separate"/>
          </w:r>
          <w:r>
            <w:rPr>
              <w:rFonts w:hint="eastAsia" w:ascii="仿宋_GB2312" w:hAnsi="仿宋_GB2312" w:eastAsia="仿宋_GB2312" w:cs="仿宋_GB2312"/>
              <w:i w:val="0"/>
              <w:iCs w:val="0"/>
              <w:kern w:val="0"/>
              <w:szCs w:val="24"/>
              <w:highlight w:val="none"/>
              <w:lang w:val="en-US" w:eastAsia="zh-CN" w:bidi="ar"/>
            </w:rPr>
            <w:t>经消防救援机构通知后不及时采取措施消除火灾隐患的</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_Toc8157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31</w:t>
          </w:r>
          <w:r>
            <w:rPr>
              <w:rFonts w:hint="eastAsia" w:ascii="仿宋_GB2312" w:hAnsi="仿宋_GB2312" w:eastAsia="仿宋_GB2312" w:cs="仿宋_GB2312"/>
            </w:rPr>
            <w:fldChar w:fldCharType="end"/>
          </w:r>
          <w:r>
            <w:rPr>
              <w:rFonts w:hint="eastAsia" w:ascii="仿宋_GB2312" w:hAnsi="仿宋_GB2312" w:eastAsia="仿宋_GB2312" w:cs="仿宋_GB2312"/>
              <w:snapToGrid w:val="0"/>
              <w:color w:val="000000"/>
              <w:kern w:val="0"/>
              <w:szCs w:val="21"/>
              <w:highlight w:val="none"/>
              <w:lang w:val="en-US" w:eastAsia="en-US" w:bidi="ar-SA"/>
            </w:rPr>
            <w:fldChar w:fldCharType="end"/>
          </w:r>
        </w:p>
        <w:p>
          <w:pPr>
            <w:pStyle w:val="11"/>
            <w:tabs>
              <w:tab w:val="right" w:leader="dot" w:pos="9166"/>
            </w:tabs>
            <w:rPr>
              <w:rFonts w:hint="eastAsia" w:ascii="仿宋_GB2312" w:hAnsi="仿宋_GB2312" w:eastAsia="仿宋_GB2312" w:cs="仿宋_GB2312"/>
              <w:b/>
              <w:bCs/>
            </w:rPr>
          </w:pPr>
          <w:r>
            <w:rPr>
              <w:rFonts w:hint="eastAsia" w:ascii="仿宋_GB2312" w:hAnsi="仿宋_GB2312" w:eastAsia="仿宋_GB2312" w:cs="仿宋_GB2312"/>
              <w:b/>
              <w:bCs/>
              <w:snapToGrid w:val="0"/>
              <w:color w:val="000000"/>
              <w:kern w:val="0"/>
              <w:szCs w:val="21"/>
              <w:highlight w:val="none"/>
              <w:lang w:val="en-US" w:eastAsia="en-US" w:bidi="ar-SA"/>
            </w:rPr>
            <w:fldChar w:fldCharType="begin"/>
          </w:r>
          <w:r>
            <w:rPr>
              <w:rFonts w:hint="eastAsia" w:ascii="仿宋_GB2312" w:hAnsi="仿宋_GB2312" w:eastAsia="仿宋_GB2312" w:cs="仿宋_GB2312"/>
              <w:b/>
              <w:bCs/>
              <w:snapToGrid w:val="0"/>
              <w:kern w:val="0"/>
              <w:szCs w:val="21"/>
              <w:highlight w:val="none"/>
              <w:lang w:val="en-US" w:eastAsia="en-US" w:bidi="ar-SA"/>
            </w:rPr>
            <w:instrText xml:space="preserve"> HYPERLINK \l _Toc27551 </w:instrText>
          </w:r>
          <w:r>
            <w:rPr>
              <w:rFonts w:hint="eastAsia" w:ascii="仿宋_GB2312" w:hAnsi="仿宋_GB2312" w:eastAsia="仿宋_GB2312" w:cs="仿宋_GB2312"/>
              <w:b/>
              <w:bCs/>
              <w:snapToGrid w:val="0"/>
              <w:kern w:val="0"/>
              <w:szCs w:val="21"/>
              <w:highlight w:val="none"/>
              <w:lang w:val="en-US" w:eastAsia="en-US" w:bidi="ar-SA"/>
            </w:rPr>
            <w:fldChar w:fldCharType="separate"/>
          </w:r>
          <w:r>
            <w:rPr>
              <w:rFonts w:hint="eastAsia" w:ascii="仿宋_GB2312" w:hAnsi="仿宋_GB2312" w:eastAsia="仿宋_GB2312" w:cs="仿宋_GB2312"/>
              <w:b/>
              <w:bCs/>
              <w:highlight w:val="none"/>
              <w:lang w:val="en-US" w:eastAsia="zh-CN"/>
            </w:rPr>
            <w:t>第三部分</w:t>
          </w:r>
          <w:r>
            <w:rPr>
              <w:rFonts w:hint="eastAsia" w:ascii="仿宋_GB2312" w:hAnsi="仿宋_GB2312" w:cs="仿宋_GB2312"/>
              <w:b/>
              <w:bCs/>
              <w:highlight w:val="none"/>
              <w:lang w:val="en-US" w:eastAsia="zh-CN"/>
            </w:rPr>
            <w:t>《深圳经济特区消防条例》</w:t>
          </w:r>
          <w:r>
            <w:rPr>
              <w:rFonts w:hint="eastAsia" w:ascii="仿宋_GB2312" w:hAnsi="仿宋_GB2312" w:eastAsia="仿宋_GB2312" w:cs="仿宋_GB2312"/>
              <w:b/>
              <w:bCs/>
              <w:highlight w:val="none"/>
              <w:lang w:val="en-US" w:eastAsia="zh-CN"/>
            </w:rPr>
            <w:t>不予行政处罚事项清单</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_Toc27551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33</w:t>
          </w:r>
          <w:r>
            <w:rPr>
              <w:rFonts w:hint="eastAsia" w:ascii="仿宋_GB2312" w:hAnsi="仿宋_GB2312" w:eastAsia="仿宋_GB2312" w:cs="仿宋_GB2312"/>
              <w:b/>
              <w:bCs/>
            </w:rPr>
            <w:fldChar w:fldCharType="end"/>
          </w:r>
          <w:r>
            <w:rPr>
              <w:rFonts w:hint="eastAsia" w:ascii="仿宋_GB2312" w:hAnsi="仿宋_GB2312" w:eastAsia="仿宋_GB2312" w:cs="仿宋_GB2312"/>
              <w:b/>
              <w:bCs/>
              <w:snapToGrid w:val="0"/>
              <w:color w:val="000000"/>
              <w:kern w:val="0"/>
              <w:szCs w:val="21"/>
              <w:highlight w:val="none"/>
              <w:lang w:val="en-US" w:eastAsia="en-US" w:bidi="ar-SA"/>
            </w:rPr>
            <w:fldChar w:fldCharType="end"/>
          </w:r>
        </w:p>
        <w:p>
          <w:pPr>
            <w:kinsoku w:val="0"/>
            <w:autoSpaceDE w:val="0"/>
            <w:autoSpaceDN w:val="0"/>
            <w:adjustRightInd w:val="0"/>
            <w:snapToGrid w:val="0"/>
            <w:spacing w:line="294" w:lineRule="auto"/>
            <w:jc w:val="left"/>
            <w:textAlignment w:val="baseline"/>
            <w:rPr>
              <w:rFonts w:ascii="Arial" w:hAnsi="Arial" w:eastAsia="Arial" w:cs="Arial"/>
              <w:snapToGrid w:val="0"/>
              <w:color w:val="000000"/>
              <w:kern w:val="0"/>
              <w:sz w:val="32"/>
              <w:szCs w:val="21"/>
              <w:highlight w:val="none"/>
              <w:lang w:val="en-US" w:eastAsia="en-US" w:bidi="ar-SA"/>
            </w:rPr>
            <w:sectPr>
              <w:footerReference r:id="rId5" w:type="default"/>
              <w:pgSz w:w="11907" w:h="16839"/>
              <w:pgMar w:top="1431" w:right="1213" w:bottom="1314" w:left="1528" w:header="0" w:footer="950" w:gutter="0"/>
              <w:cols w:space="720" w:num="1"/>
            </w:sectPr>
          </w:pPr>
          <w:r>
            <w:rPr>
              <w:rFonts w:ascii="Arial" w:hAnsi="Arial" w:eastAsia="Arial" w:cs="Arial"/>
              <w:snapToGrid w:val="0"/>
              <w:color w:val="000000"/>
              <w:kern w:val="0"/>
              <w:szCs w:val="21"/>
              <w:highlight w:val="none"/>
              <w:lang w:val="en-US" w:eastAsia="en-US" w:bidi="ar-SA"/>
            </w:rPr>
            <w:fldChar w:fldCharType="end"/>
          </w:r>
        </w:p>
      </w:sdtContent>
    </w:sdt>
    <w:p>
      <w:pPr>
        <w:pStyle w:val="5"/>
        <w:bidi w:val="0"/>
        <w:jc w:val="center"/>
        <w:rPr>
          <w:rFonts w:hint="default"/>
          <w:highlight w:val="none"/>
          <w:lang w:val="en-US" w:eastAsia="zh-CN"/>
        </w:rPr>
      </w:pPr>
      <w:bookmarkStart w:id="0" w:name="bookmark1"/>
      <w:bookmarkEnd w:id="0"/>
      <w:bookmarkStart w:id="1" w:name="_Toc20268"/>
      <w:bookmarkStart w:id="2" w:name="_Toc4948"/>
      <w:r>
        <w:rPr>
          <w:highlight w:val="none"/>
          <w:lang w:eastAsia="en-US"/>
        </w:rPr>
        <w:t>第一部分</w:t>
      </w:r>
      <w:r>
        <w:rPr>
          <w:rFonts w:hint="eastAsia"/>
          <w:highlight w:val="none"/>
          <w:lang w:val="en-US" w:eastAsia="zh-CN"/>
        </w:rPr>
        <w:t xml:space="preserve"> 适用说明</w:t>
      </w:r>
      <w:bookmarkEnd w:id="1"/>
      <w:bookmarkEnd w:id="2"/>
    </w:p>
    <w:p>
      <w:pPr>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highlight w:val="none"/>
          <w:lang w:val="en-US" w:eastAsia="en-US" w:bidi="ar-SA"/>
        </w:rPr>
      </w:pPr>
    </w:p>
    <w:p>
      <w:pPr>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highlight w:val="none"/>
          <w:lang w:val="en-US" w:eastAsia="en-US" w:bidi="ar-SA"/>
        </w:rPr>
      </w:pPr>
    </w:p>
    <w:p>
      <w:pPr>
        <w:spacing w:line="594" w:lineRule="exact"/>
        <w:ind w:firstLine="643" w:firstLineChars="200"/>
        <w:rPr>
          <w:rFonts w:hint="eastAsia" w:ascii="仿宋_GB2312" w:hAnsi="仿宋_GB2312" w:eastAsia="仿宋_GB2312" w:cs="仿宋_GB2312"/>
          <w:color w:val="auto"/>
          <w:sz w:val="32"/>
          <w:szCs w:val="32"/>
        </w:rPr>
      </w:pPr>
      <w:bookmarkStart w:id="3" w:name="_Toc18661"/>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color w:val="auto"/>
          <w:sz w:val="32"/>
          <w:szCs w:val="32"/>
        </w:rPr>
        <w:t xml:space="preserve">  为了规范</w:t>
      </w:r>
      <w:r>
        <w:rPr>
          <w:rFonts w:hint="eastAsia" w:ascii="仿宋_GB2312" w:hAnsi="仿宋_GB2312" w:cs="仿宋_GB2312"/>
          <w:color w:val="auto"/>
          <w:sz w:val="32"/>
          <w:szCs w:val="32"/>
          <w:lang w:val="en-US" w:eastAsia="zh-CN"/>
        </w:rPr>
        <w:t>行使</w:t>
      </w:r>
      <w:r>
        <w:rPr>
          <w:rFonts w:hint="eastAsia" w:ascii="仿宋_GB2312" w:hAnsi="仿宋_GB2312" w:eastAsia="仿宋_GB2312" w:cs="仿宋_GB2312"/>
          <w:color w:val="auto"/>
          <w:sz w:val="32"/>
          <w:szCs w:val="32"/>
        </w:rPr>
        <w:t>行政处罚裁量权，保护公民、法人或者其他组织的合法权益，</w:t>
      </w:r>
      <w:r>
        <w:rPr>
          <w:rFonts w:hint="eastAsia" w:ascii="仿宋_GB2312" w:hAnsi="仿宋_GB2312" w:cs="仿宋_GB2312"/>
          <w:color w:val="auto"/>
          <w:sz w:val="32"/>
          <w:szCs w:val="32"/>
          <w:lang w:val="en-US" w:eastAsia="zh-CN"/>
        </w:rPr>
        <w:t>依据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深圳经济特区消防条例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en-US"/>
        </w:rPr>
        <w:t>《消防行政处罚裁量权基准》《</w:t>
      </w:r>
      <w:r>
        <w:rPr>
          <w:rFonts w:hint="eastAsia" w:ascii="仿宋_GB2312" w:hAnsi="仿宋_GB2312" w:eastAsia="仿宋_GB2312" w:cs="仿宋_GB2312"/>
          <w:color w:val="auto"/>
          <w:sz w:val="32"/>
          <w:szCs w:val="32"/>
          <w:lang w:val="en-US" w:eastAsia="zh-CN"/>
        </w:rPr>
        <w:t>广东省</w:t>
      </w:r>
      <w:r>
        <w:rPr>
          <w:rFonts w:hint="eastAsia" w:ascii="仿宋_GB2312" w:hAnsi="仿宋_GB2312" w:eastAsia="仿宋_GB2312" w:cs="仿宋_GB2312"/>
          <w:color w:val="auto"/>
          <w:sz w:val="32"/>
          <w:szCs w:val="32"/>
          <w:lang w:eastAsia="en-US"/>
        </w:rPr>
        <w:t>消防行政处罚裁量权基准</w:t>
      </w:r>
      <w:r>
        <w:rPr>
          <w:rFonts w:hint="eastAsia" w:ascii="仿宋_GB2312" w:hAnsi="仿宋_GB2312" w:eastAsia="仿宋_GB2312" w:cs="仿宋_GB2312"/>
          <w:color w:val="auto"/>
          <w:sz w:val="32"/>
          <w:szCs w:val="32"/>
          <w:lang w:val="en-US" w:eastAsia="zh-CN"/>
        </w:rPr>
        <w:t>实施细则</w:t>
      </w:r>
      <w:r>
        <w:rPr>
          <w:rFonts w:hint="eastAsia" w:ascii="仿宋_GB2312" w:hAnsi="仿宋_GB2312" w:eastAsia="仿宋_GB2312" w:cs="仿宋_GB2312"/>
          <w:color w:val="auto"/>
          <w:sz w:val="32"/>
          <w:szCs w:val="32"/>
          <w:lang w:eastAsia="en-US"/>
        </w:rPr>
        <w:t>》</w:t>
      </w:r>
      <w:r>
        <w:rPr>
          <w:rFonts w:hint="eastAsia" w:ascii="仿宋_GB2312" w:hAnsi="仿宋_GB2312" w:eastAsia="仿宋_GB2312" w:cs="仿宋_GB2312"/>
          <w:color w:val="auto"/>
          <w:sz w:val="32"/>
          <w:szCs w:val="32"/>
        </w:rPr>
        <w:t>等法律、法规及其他相关规定，结合我市消防执法实际，制定《</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rPr>
        <w:t>深圳经济特区消防条例</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rPr>
        <w:t>行政处罚裁量</w:t>
      </w:r>
      <w:r>
        <w:rPr>
          <w:rFonts w:hint="eastAsia" w:ascii="仿宋_GB2312" w:hAnsi="仿宋_GB2312" w:cs="仿宋_GB2312"/>
          <w:color w:val="auto"/>
          <w:sz w:val="32"/>
          <w:szCs w:val="32"/>
          <w:lang w:val="en-US" w:eastAsia="zh-CN"/>
        </w:rPr>
        <w:t>权</w:t>
      </w:r>
      <w:r>
        <w:rPr>
          <w:rFonts w:hint="eastAsia" w:ascii="仿宋_GB2312" w:hAnsi="仿宋_GB2312" w:eastAsia="仿宋_GB2312" w:cs="仿宋_GB2312"/>
          <w:color w:val="auto"/>
          <w:sz w:val="32"/>
          <w:szCs w:val="32"/>
        </w:rPr>
        <w:t>基准》</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以下简称《裁量权基准》</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w:t>
      </w:r>
    </w:p>
    <w:p>
      <w:pPr>
        <w:spacing w:line="594"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二</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eastAsia="zh-CN"/>
        </w:rPr>
        <w:t>《裁量</w:t>
      </w:r>
      <w:r>
        <w:rPr>
          <w:rFonts w:hint="eastAsia" w:ascii="仿宋_GB2312" w:hAnsi="仿宋_GB2312" w:cs="仿宋_GB2312"/>
          <w:color w:val="auto"/>
          <w:sz w:val="32"/>
          <w:szCs w:val="32"/>
          <w:lang w:val="en-US" w:eastAsia="zh-CN"/>
        </w:rPr>
        <w:t>权</w:t>
      </w:r>
      <w:r>
        <w:rPr>
          <w:rFonts w:hint="eastAsia" w:ascii="仿宋_GB2312" w:hAnsi="仿宋_GB2312" w:cs="仿宋_GB2312"/>
          <w:color w:val="auto"/>
          <w:sz w:val="32"/>
          <w:szCs w:val="32"/>
          <w:lang w:eastAsia="zh-CN"/>
        </w:rPr>
        <w:t>基准》</w:t>
      </w:r>
      <w:r>
        <w:rPr>
          <w:rFonts w:hint="eastAsia" w:ascii="仿宋_GB2312" w:hAnsi="仿宋_GB2312" w:eastAsia="仿宋_GB2312" w:cs="仿宋_GB2312"/>
          <w:color w:val="auto"/>
          <w:sz w:val="32"/>
          <w:szCs w:val="32"/>
        </w:rPr>
        <w:t>适用于</w:t>
      </w:r>
      <w:r>
        <w:rPr>
          <w:rFonts w:hint="eastAsia" w:ascii="仿宋_GB2312" w:hAnsi="仿宋_GB2312" w:eastAsia="仿宋_GB2312" w:cs="仿宋_GB2312"/>
          <w:color w:val="auto"/>
          <w:sz w:val="32"/>
          <w:szCs w:val="32"/>
          <w:lang w:eastAsia="zh-CN"/>
        </w:rPr>
        <w:t>深圳</w:t>
      </w:r>
      <w:r>
        <w:rPr>
          <w:rFonts w:hint="eastAsia" w:ascii="仿宋_GB2312" w:hAnsi="仿宋_GB2312" w:eastAsia="仿宋_GB2312" w:cs="仿宋_GB2312"/>
          <w:color w:val="auto"/>
          <w:sz w:val="32"/>
          <w:szCs w:val="32"/>
        </w:rPr>
        <w:t>市各级消防救援机构和</w:t>
      </w:r>
      <w:r>
        <w:rPr>
          <w:rFonts w:hint="eastAsia" w:ascii="仿宋_GB2312" w:hAnsi="仿宋_GB2312" w:eastAsia="仿宋_GB2312" w:cs="仿宋_GB2312"/>
          <w:color w:val="auto"/>
          <w:sz w:val="32"/>
          <w:szCs w:val="32"/>
          <w:lang w:val="en-US" w:eastAsia="zh-CN"/>
        </w:rPr>
        <w:t>受</w:t>
      </w:r>
      <w:r>
        <w:rPr>
          <w:rFonts w:hint="eastAsia" w:ascii="仿宋_GB2312" w:hAnsi="仿宋_GB2312" w:eastAsia="仿宋_GB2312" w:cs="仿宋_GB2312"/>
          <w:color w:val="auto"/>
          <w:sz w:val="32"/>
          <w:szCs w:val="32"/>
        </w:rPr>
        <w:t>委托的执法主体</w:t>
      </w:r>
      <w:r>
        <w:rPr>
          <w:rFonts w:hint="eastAsia" w:ascii="仿宋_GB2312" w:hAnsi="仿宋_GB2312" w:eastAsia="仿宋_GB2312" w:cs="仿宋_GB2312"/>
          <w:color w:val="auto"/>
          <w:sz w:val="32"/>
          <w:szCs w:val="32"/>
          <w:lang w:val="en-US" w:eastAsia="zh-CN"/>
        </w:rPr>
        <w:t>规范行使裁量权。</w:t>
      </w:r>
    </w:p>
    <w:p>
      <w:pPr>
        <w:spacing w:line="594"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三</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eastAsia="zh-CN"/>
        </w:rPr>
        <w:t>《裁量</w:t>
      </w:r>
      <w:r>
        <w:rPr>
          <w:rFonts w:hint="eastAsia" w:ascii="仿宋_GB2312" w:hAnsi="仿宋_GB2312" w:cs="仿宋_GB2312"/>
          <w:color w:val="auto"/>
          <w:sz w:val="32"/>
          <w:szCs w:val="32"/>
          <w:lang w:val="en-US" w:eastAsia="zh-CN"/>
        </w:rPr>
        <w:t>权</w:t>
      </w:r>
      <w:r>
        <w:rPr>
          <w:rFonts w:hint="eastAsia" w:ascii="仿宋_GB2312" w:hAnsi="仿宋_GB2312" w:cs="仿宋_GB2312"/>
          <w:color w:val="auto"/>
          <w:sz w:val="32"/>
          <w:szCs w:val="32"/>
          <w:lang w:eastAsia="zh-CN"/>
        </w:rPr>
        <w:t>基准》</w:t>
      </w:r>
      <w:r>
        <w:rPr>
          <w:rFonts w:hint="eastAsia" w:ascii="仿宋_GB2312" w:hAnsi="仿宋_GB2312" w:eastAsia="仿宋_GB2312" w:cs="仿宋_GB2312"/>
          <w:color w:val="auto"/>
          <w:sz w:val="32"/>
          <w:szCs w:val="32"/>
        </w:rPr>
        <w:t>所称行政处罚裁量权，是指消防救援机构依据法定职权实施消防行政处罚时，根据立法目的和处罚原则，在法律、法规和规章</w:t>
      </w:r>
      <w:r>
        <w:rPr>
          <w:rFonts w:hint="eastAsia" w:ascii="仿宋_GB2312" w:hAnsi="仿宋_GB2312" w:cs="仿宋_GB2312"/>
          <w:color w:val="auto"/>
          <w:sz w:val="32"/>
          <w:szCs w:val="32"/>
          <w:lang w:val="en-US" w:eastAsia="zh-CN"/>
        </w:rPr>
        <w:t>等</w:t>
      </w:r>
      <w:r>
        <w:rPr>
          <w:rFonts w:hint="eastAsia" w:ascii="仿宋_GB2312" w:hAnsi="仿宋_GB2312" w:eastAsia="仿宋_GB2312" w:cs="仿宋_GB2312"/>
          <w:color w:val="auto"/>
          <w:sz w:val="32"/>
          <w:szCs w:val="32"/>
        </w:rPr>
        <w:t>规定的处罚种类和幅度内，综合考量违法的事实、性质、情节以及社会危害程度和改正措施等因素，决定是否给予处罚、给予何种处罚以及何种幅度处罚的权限。</w:t>
      </w:r>
    </w:p>
    <w:p>
      <w:pPr>
        <w:spacing w:line="594" w:lineRule="exact"/>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第四条</w:t>
      </w:r>
      <w:r>
        <w:rPr>
          <w:rFonts w:hint="eastAsia" w:ascii="仿宋_GB2312" w:hAnsi="仿宋_GB2312" w:eastAsia="仿宋_GB2312" w:cs="仿宋_GB2312"/>
          <w:color w:val="auto"/>
          <w:sz w:val="32"/>
          <w:szCs w:val="32"/>
        </w:rPr>
        <w:t xml:space="preserve">  行使行政处罚裁量权，应当遵循合法、合理、公开、过罚相当和处罚与教育相结合原则。</w:t>
      </w:r>
    </w:p>
    <w:p>
      <w:pPr>
        <w:keepNext w:val="0"/>
        <w:keepLines w:val="0"/>
        <w:pageBreakBefore w:val="0"/>
        <w:widowControl/>
        <w:kinsoku/>
        <w:wordWrap/>
        <w:overflowPunct/>
        <w:topLinePunct w:val="0"/>
        <w:autoSpaceDE/>
        <w:autoSpaceDN/>
        <w:bidi w:val="0"/>
        <w:adjustRightInd/>
        <w:snapToGrid/>
        <w:spacing w:line="579" w:lineRule="exact"/>
        <w:ind w:left="0" w:righ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第五条</w:t>
      </w:r>
      <w:r>
        <w:rPr>
          <w:rFonts w:hint="eastAsia" w:ascii="仿宋_GB2312" w:hAnsi="仿宋_GB2312" w:eastAsia="仿宋_GB2312" w:cs="仿宋_GB2312"/>
          <w:color w:val="auto"/>
          <w:sz w:val="32"/>
          <w:szCs w:val="32"/>
        </w:rPr>
        <w:t>　行使行政处罚裁量权，应当符合法律、法规和规章的立法目的，正确适用法律。</w:t>
      </w:r>
    </w:p>
    <w:p>
      <w:pPr>
        <w:spacing w:line="594" w:lineRule="exact"/>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六</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 xml:space="preserve">  对事实、性质、情节、社会危害程度等因素相同或者相似的违法行为，所适用的行政处罚种类和幅度应当基本相</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w:t>
      </w:r>
    </w:p>
    <w:p>
      <w:pPr>
        <w:spacing w:line="594" w:lineRule="exact"/>
        <w:ind w:firstLine="643"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七</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 xml:space="preserve">  同一违法行为可以适用多部法律、法规、规章的，</w:t>
      </w:r>
      <w:r>
        <w:rPr>
          <w:rFonts w:hint="eastAsia" w:ascii="仿宋_GB2312" w:hAnsi="仿宋_GB2312" w:eastAsia="仿宋_GB2312" w:cs="仿宋_GB2312"/>
          <w:color w:val="auto"/>
          <w:sz w:val="32"/>
          <w:szCs w:val="32"/>
          <w:lang w:val="en-US" w:eastAsia="zh-CN"/>
        </w:rPr>
        <w:t>应当按照《中华人民共和国立法法》和《中华人民共和国行政处罚法》规定的适用规则适用。</w:t>
      </w:r>
    </w:p>
    <w:p>
      <w:pPr>
        <w:spacing w:line="594"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八</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 xml:space="preserve">  行政处罚应在法定处罚种类和处罚幅度内实施</w:t>
      </w:r>
      <w:bookmarkStart w:id="4" w:name="OLE_LINK2"/>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深圳经济特区消防条例</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规定的行政执法事项，适用</w:t>
      </w:r>
      <w:r>
        <w:rPr>
          <w:rFonts w:hint="eastAsia" w:ascii="仿宋_GB2312" w:hAnsi="仿宋_GB2312" w:cs="仿宋_GB2312"/>
          <w:color w:val="auto"/>
          <w:sz w:val="32"/>
          <w:szCs w:val="32"/>
          <w:lang w:eastAsia="zh-CN"/>
        </w:rPr>
        <w:t>《裁量</w:t>
      </w:r>
      <w:r>
        <w:rPr>
          <w:rFonts w:hint="eastAsia" w:ascii="仿宋_GB2312" w:hAnsi="仿宋_GB2312" w:cs="仿宋_GB2312"/>
          <w:color w:val="auto"/>
          <w:sz w:val="32"/>
          <w:szCs w:val="32"/>
          <w:lang w:val="en-US" w:eastAsia="zh-CN"/>
        </w:rPr>
        <w:t>权</w:t>
      </w:r>
      <w:r>
        <w:rPr>
          <w:rFonts w:hint="eastAsia" w:ascii="仿宋_GB2312" w:hAnsi="仿宋_GB2312" w:cs="仿宋_GB2312"/>
          <w:color w:val="auto"/>
          <w:sz w:val="32"/>
          <w:szCs w:val="32"/>
          <w:lang w:eastAsia="zh-CN"/>
        </w:rPr>
        <w:t>基准》</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cs="仿宋_GB2312"/>
          <w:color w:val="auto"/>
          <w:sz w:val="32"/>
          <w:szCs w:val="32"/>
          <w:highlight w:val="none"/>
          <w:lang w:val="en-US" w:eastAsia="zh-CN"/>
        </w:rPr>
        <w:t>国家消防救援局、广东省消防救援局</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cs="仿宋_GB2312"/>
          <w:color w:val="auto"/>
          <w:sz w:val="32"/>
          <w:szCs w:val="32"/>
          <w:highlight w:val="none"/>
          <w:lang w:val="en-US" w:eastAsia="zh-CN"/>
        </w:rPr>
        <w:t>其他</w:t>
      </w:r>
      <w:r>
        <w:rPr>
          <w:rFonts w:hint="eastAsia" w:ascii="仿宋_GB2312" w:hAnsi="仿宋_GB2312" w:eastAsia="仿宋_GB2312" w:cs="仿宋_GB2312"/>
          <w:color w:val="auto"/>
          <w:sz w:val="32"/>
          <w:szCs w:val="32"/>
          <w:highlight w:val="none"/>
          <w:lang w:eastAsia="zh-CN"/>
        </w:rPr>
        <w:t>行政执法事项</w:t>
      </w:r>
      <w:r>
        <w:rPr>
          <w:rFonts w:hint="eastAsia" w:ascii="仿宋_GB2312" w:hAnsi="仿宋_GB2312" w:cs="仿宋_GB2312"/>
          <w:color w:val="auto"/>
          <w:sz w:val="32"/>
          <w:szCs w:val="32"/>
          <w:highlight w:val="none"/>
          <w:lang w:val="en-US" w:eastAsia="zh-CN"/>
        </w:rPr>
        <w:t>及适用规则</w:t>
      </w:r>
      <w:r>
        <w:rPr>
          <w:rFonts w:hint="eastAsia" w:ascii="仿宋_GB2312" w:hAnsi="仿宋_GB2312" w:eastAsia="仿宋_GB2312" w:cs="仿宋_GB2312"/>
          <w:color w:val="auto"/>
          <w:sz w:val="32"/>
          <w:szCs w:val="32"/>
          <w:highlight w:val="none"/>
          <w:lang w:eastAsia="zh-CN"/>
        </w:rPr>
        <w:t>已经制定行政裁量权</w:t>
      </w:r>
      <w:r>
        <w:rPr>
          <w:rFonts w:hint="eastAsia" w:ascii="仿宋_GB2312" w:hAnsi="仿宋_GB2312" w:cs="仿宋_GB2312"/>
          <w:color w:val="auto"/>
          <w:sz w:val="32"/>
          <w:szCs w:val="32"/>
          <w:highlight w:val="none"/>
          <w:lang w:val="en-US" w:eastAsia="zh-CN"/>
        </w:rPr>
        <w:t>相关规定</w:t>
      </w:r>
      <w:r>
        <w:rPr>
          <w:rFonts w:hint="eastAsia" w:ascii="仿宋_GB2312" w:hAnsi="仿宋_GB2312" w:eastAsia="仿宋_GB2312" w:cs="仿宋_GB2312"/>
          <w:color w:val="auto"/>
          <w:sz w:val="32"/>
          <w:szCs w:val="32"/>
          <w:highlight w:val="none"/>
          <w:lang w:eastAsia="zh-CN"/>
        </w:rPr>
        <w:t>的，市、区消防救援机构</w:t>
      </w:r>
      <w:r>
        <w:rPr>
          <w:rFonts w:hint="eastAsia" w:ascii="仿宋_GB2312" w:hAnsi="仿宋_GB2312" w:cs="仿宋_GB2312"/>
          <w:color w:val="auto"/>
          <w:sz w:val="32"/>
          <w:szCs w:val="32"/>
          <w:highlight w:val="none"/>
          <w:lang w:val="en-US" w:eastAsia="zh-CN"/>
        </w:rPr>
        <w:t>及受委托的执法主体可</w:t>
      </w:r>
      <w:r>
        <w:rPr>
          <w:rFonts w:hint="eastAsia" w:ascii="仿宋_GB2312" w:hAnsi="仿宋_GB2312" w:eastAsia="仿宋_GB2312" w:cs="仿宋_GB2312"/>
          <w:color w:val="auto"/>
          <w:sz w:val="32"/>
          <w:szCs w:val="32"/>
          <w:highlight w:val="none"/>
          <w:lang w:eastAsia="zh-CN"/>
        </w:rPr>
        <w:t>直接适用。</w:t>
      </w:r>
    </w:p>
    <w:p>
      <w:pPr>
        <w:spacing w:line="594"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lang w:val="en-US" w:eastAsia="zh-CN"/>
        </w:rPr>
        <w:t>第九条</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当事人有下列情形之一的，不予行政处罚：</w:t>
      </w:r>
    </w:p>
    <w:p>
      <w:pPr>
        <w:keepNext w:val="0"/>
        <w:keepLines w:val="0"/>
        <w:pageBreakBefore w:val="0"/>
        <w:widowControl/>
        <w:kinsoku/>
        <w:wordWrap/>
        <w:overflowPunct/>
        <w:topLinePunct w:val="0"/>
        <w:autoSpaceDE/>
        <w:autoSpaceDN/>
        <w:bidi w:val="0"/>
        <w:adjustRightInd/>
        <w:snapToGrid/>
        <w:spacing w:line="594" w:lineRule="exact"/>
        <w:ind w:left="0" w:right="0" w:firstLine="640" w:firstLineChars="200"/>
        <w:jc w:val="left"/>
        <w:textAlignment w:val="auto"/>
        <w:rPr>
          <w:rFonts w:hint="eastAsia" w:ascii="仿宋_GB2312" w:hAnsi="仿宋_GB2312" w:eastAsia="仿宋_GB2312" w:cs="仿宋_GB2312"/>
          <w:b w:val="0"/>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lang w:val="en-US" w:eastAsia="zh-CN"/>
        </w:rPr>
        <w:t>（一）不满十四周岁的未成年人有消防安全违法行为的；</w:t>
      </w:r>
    </w:p>
    <w:p>
      <w:pPr>
        <w:keepNext w:val="0"/>
        <w:keepLines w:val="0"/>
        <w:pageBreakBefore w:val="0"/>
        <w:widowControl/>
        <w:kinsoku/>
        <w:wordWrap/>
        <w:overflowPunct/>
        <w:topLinePunct w:val="0"/>
        <w:autoSpaceDE/>
        <w:autoSpaceDN/>
        <w:bidi w:val="0"/>
        <w:adjustRightInd/>
        <w:snapToGrid/>
        <w:spacing w:line="594" w:lineRule="exact"/>
        <w:ind w:left="0" w:right="0" w:firstLine="640" w:firstLineChars="200"/>
        <w:jc w:val="left"/>
        <w:textAlignment w:val="auto"/>
        <w:rPr>
          <w:rFonts w:hint="eastAsia" w:ascii="仿宋_GB2312" w:hAnsi="仿宋_GB2312" w:eastAsia="仿宋_GB2312" w:cs="仿宋_GB2312"/>
          <w:b w:val="0"/>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lang w:val="en-US" w:eastAsia="zh-CN"/>
        </w:rPr>
        <w:t>（二）精神病人、智力残疾人在不能辨认或者不能控制自己行为时有消防安全违法行为的；</w:t>
      </w:r>
    </w:p>
    <w:p>
      <w:pPr>
        <w:keepNext w:val="0"/>
        <w:keepLines w:val="0"/>
        <w:pageBreakBefore w:val="0"/>
        <w:widowControl/>
        <w:kinsoku/>
        <w:wordWrap/>
        <w:overflowPunct/>
        <w:topLinePunct w:val="0"/>
        <w:autoSpaceDE/>
        <w:autoSpaceDN/>
        <w:bidi w:val="0"/>
        <w:adjustRightInd/>
        <w:snapToGrid/>
        <w:spacing w:line="594" w:lineRule="exact"/>
        <w:ind w:left="0" w:right="0" w:firstLine="640" w:firstLineChars="200"/>
        <w:jc w:val="left"/>
        <w:textAlignment w:val="auto"/>
        <w:rPr>
          <w:rFonts w:hint="eastAsia" w:ascii="仿宋_GB2312" w:hAnsi="仿宋_GB2312" w:eastAsia="仿宋_GB2312" w:cs="仿宋_GB2312"/>
          <w:b w:val="0"/>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lang w:val="en-US" w:eastAsia="zh-CN"/>
        </w:rPr>
        <w:t>（三）消防安全违法行为轻微并及时改正，没有造成危害后果的；</w:t>
      </w:r>
    </w:p>
    <w:p>
      <w:pPr>
        <w:keepNext w:val="0"/>
        <w:keepLines w:val="0"/>
        <w:pageBreakBefore w:val="0"/>
        <w:widowControl/>
        <w:kinsoku/>
        <w:wordWrap/>
        <w:overflowPunct/>
        <w:topLinePunct w:val="0"/>
        <w:autoSpaceDE/>
        <w:autoSpaceDN/>
        <w:bidi w:val="0"/>
        <w:adjustRightInd/>
        <w:snapToGrid/>
        <w:spacing w:line="594" w:lineRule="exact"/>
        <w:ind w:left="0" w:right="0" w:firstLine="640" w:firstLineChars="200"/>
        <w:jc w:val="left"/>
        <w:textAlignment w:val="auto"/>
        <w:rPr>
          <w:rFonts w:hint="eastAsia" w:ascii="仿宋_GB2312" w:hAnsi="仿宋_GB2312" w:eastAsia="仿宋_GB2312" w:cs="仿宋_GB2312"/>
          <w:b w:val="0"/>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lang w:val="en-US" w:eastAsia="zh-CN"/>
        </w:rPr>
        <w:t>（四）当事人有证据足以证明没有主观过错的，法律、行政法规另有规定的，从其规定；</w:t>
      </w:r>
    </w:p>
    <w:p>
      <w:pPr>
        <w:keepNext w:val="0"/>
        <w:keepLines w:val="0"/>
        <w:pageBreakBefore w:val="0"/>
        <w:widowControl/>
        <w:kinsoku/>
        <w:wordWrap/>
        <w:overflowPunct/>
        <w:topLinePunct w:val="0"/>
        <w:autoSpaceDE/>
        <w:autoSpaceDN/>
        <w:bidi w:val="0"/>
        <w:adjustRightInd/>
        <w:snapToGrid/>
        <w:spacing w:line="594" w:lineRule="exact"/>
        <w:ind w:left="0" w:right="0" w:firstLine="640" w:firstLineChars="200"/>
        <w:jc w:val="left"/>
        <w:textAlignment w:val="auto"/>
        <w:rPr>
          <w:rFonts w:hint="eastAsia" w:ascii="仿宋_GB2312" w:hAnsi="仿宋_GB2312" w:eastAsia="仿宋_GB2312" w:cs="仿宋_GB2312"/>
          <w:b w:val="0"/>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lang w:val="en-US" w:eastAsia="zh-CN"/>
        </w:rPr>
        <w:t>（五）消防安全违法行为终了且在二年内未被发现的，但涉及公民生命健康安全且有危害后果的，上述期限延长至五年，法律另有规定的除外；</w:t>
      </w:r>
    </w:p>
    <w:p>
      <w:pPr>
        <w:keepNext w:val="0"/>
        <w:keepLines w:val="0"/>
        <w:pageBreakBefore w:val="0"/>
        <w:widowControl/>
        <w:kinsoku/>
        <w:wordWrap/>
        <w:overflowPunct/>
        <w:topLinePunct w:val="0"/>
        <w:autoSpaceDE/>
        <w:autoSpaceDN/>
        <w:bidi w:val="0"/>
        <w:adjustRightInd/>
        <w:snapToGrid/>
        <w:spacing w:line="594" w:lineRule="exact"/>
        <w:ind w:left="0" w:right="0" w:firstLine="640" w:firstLineChars="200"/>
        <w:jc w:val="left"/>
        <w:textAlignment w:val="auto"/>
        <w:rPr>
          <w:rFonts w:hint="eastAsia" w:ascii="仿宋_GB2312" w:hAnsi="仿宋_GB2312" w:eastAsia="仿宋_GB2312" w:cs="仿宋_GB2312"/>
          <w:b w:val="0"/>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lang w:val="en-US" w:eastAsia="zh-CN"/>
        </w:rPr>
        <w:t>（六）其他依法不予行政处罚的。</w:t>
      </w:r>
    </w:p>
    <w:p>
      <w:pPr>
        <w:keepNext w:val="0"/>
        <w:keepLines w:val="0"/>
        <w:pageBreakBefore w:val="0"/>
        <w:widowControl/>
        <w:kinsoku/>
        <w:wordWrap/>
        <w:overflowPunct/>
        <w:topLinePunct w:val="0"/>
        <w:autoSpaceDE/>
        <w:autoSpaceDN/>
        <w:bidi w:val="0"/>
        <w:adjustRightInd/>
        <w:snapToGrid/>
        <w:spacing w:line="594" w:lineRule="exact"/>
        <w:ind w:left="0" w:right="0" w:firstLine="640" w:firstLineChars="200"/>
        <w:jc w:val="left"/>
        <w:textAlignment w:val="auto"/>
        <w:rPr>
          <w:rFonts w:hint="eastAsia" w:ascii="仿宋_GB2312" w:hAnsi="仿宋_GB2312" w:eastAsia="仿宋_GB2312" w:cs="仿宋_GB2312"/>
          <w:b w:val="0"/>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lang w:val="en-US" w:eastAsia="zh-CN"/>
        </w:rPr>
        <w:t>初次违法且危害后果轻微并及时改正的，可以不予行政处罚。</w:t>
      </w:r>
    </w:p>
    <w:p>
      <w:pPr>
        <w:keepNext w:val="0"/>
        <w:keepLines w:val="0"/>
        <w:pageBreakBefore w:val="0"/>
        <w:widowControl/>
        <w:kinsoku w:val="0"/>
        <w:wordWrap/>
        <w:overflowPunct/>
        <w:topLinePunct w:val="0"/>
        <w:autoSpaceDE w:val="0"/>
        <w:autoSpaceDN w:val="0"/>
        <w:bidi w:val="0"/>
        <w:adjustRightInd w:val="0"/>
        <w:snapToGrid w:val="0"/>
        <w:spacing w:before="148" w:line="594" w:lineRule="exact"/>
        <w:ind w:left="2" w:right="0" w:firstLine="641" w:firstLineChars="0"/>
        <w:jc w:val="left"/>
        <w:textAlignment w:val="baseline"/>
        <w:rPr>
          <w:rFonts w:hint="eastAsia" w:ascii="仿宋_GB2312" w:hAnsi="仿宋_GB2312" w:eastAsia="仿宋_GB2312" w:cs="仿宋_GB2312"/>
          <w:snapToGrid w:val="0"/>
          <w:color w:val="000000"/>
          <w:spacing w:val="3"/>
          <w:kern w:val="0"/>
          <w:sz w:val="32"/>
          <w:szCs w:val="32"/>
          <w:highlight w:val="none"/>
          <w:lang w:eastAsia="en-US" w:bidi="ar"/>
        </w:rPr>
      </w:pPr>
      <w:r>
        <w:rPr>
          <w:rFonts w:hint="eastAsia" w:ascii="仿宋_GB2312" w:hAnsi="仿宋_GB2312" w:eastAsia="仿宋_GB2312" w:cs="仿宋_GB2312"/>
          <w:b/>
          <w:color w:val="auto"/>
          <w:sz w:val="32"/>
          <w:szCs w:val="32"/>
          <w:lang w:val="en-US" w:eastAsia="zh-CN"/>
        </w:rPr>
        <w:t>第十条</w:t>
      </w:r>
      <w:r>
        <w:rPr>
          <w:rFonts w:hint="eastAsia" w:ascii="仿宋_GB2312" w:hAnsi="仿宋_GB2312" w:eastAsia="仿宋_GB2312" w:cs="仿宋_GB2312"/>
          <w:color w:val="FF0000"/>
          <w:sz w:val="32"/>
          <w:szCs w:val="32"/>
          <w:highlight w:val="none"/>
          <w:lang w:val="en-US" w:eastAsia="zh-CN"/>
        </w:rPr>
        <w:t xml:space="preserve">  </w:t>
      </w:r>
      <w:r>
        <w:rPr>
          <w:rFonts w:hint="eastAsia" w:ascii="仿宋_GB2312" w:hAnsi="仿宋_GB2312" w:eastAsia="仿宋_GB2312" w:cs="仿宋_GB2312"/>
          <w:snapToGrid w:val="0"/>
          <w:color w:val="000000"/>
          <w:spacing w:val="3"/>
          <w:kern w:val="0"/>
          <w:sz w:val="32"/>
          <w:szCs w:val="32"/>
          <w:highlight w:val="none"/>
          <w:lang w:val="en-US" w:eastAsia="en-US" w:bidi="ar"/>
        </w:rPr>
        <w:t>《裁量</w:t>
      </w:r>
      <w:r>
        <w:rPr>
          <w:rFonts w:hint="eastAsia" w:ascii="仿宋_GB2312" w:hAnsi="仿宋_GB2312" w:eastAsia="仿宋_GB2312" w:cs="仿宋_GB2312"/>
          <w:snapToGrid w:val="0"/>
          <w:color w:val="000000"/>
          <w:spacing w:val="3"/>
          <w:kern w:val="0"/>
          <w:sz w:val="32"/>
          <w:szCs w:val="32"/>
          <w:highlight w:val="none"/>
          <w:lang w:val="en-US" w:eastAsia="zh-CN" w:bidi="ar"/>
        </w:rPr>
        <w:t>权</w:t>
      </w:r>
      <w:r>
        <w:rPr>
          <w:rFonts w:hint="eastAsia" w:ascii="仿宋_GB2312" w:hAnsi="仿宋_GB2312" w:eastAsia="仿宋_GB2312" w:cs="仿宋_GB2312"/>
          <w:snapToGrid w:val="0"/>
          <w:color w:val="000000"/>
          <w:spacing w:val="3"/>
          <w:kern w:val="0"/>
          <w:sz w:val="32"/>
          <w:szCs w:val="32"/>
          <w:highlight w:val="none"/>
          <w:lang w:val="en-US" w:eastAsia="en-US" w:bidi="ar"/>
        </w:rPr>
        <w:t>基准》</w:t>
      </w:r>
      <w:r>
        <w:rPr>
          <w:rFonts w:hint="eastAsia" w:ascii="仿宋_GB2312" w:hAnsi="仿宋_GB2312" w:eastAsia="仿宋_GB2312" w:cs="仿宋_GB2312"/>
          <w:snapToGrid w:val="0"/>
          <w:color w:val="000000"/>
          <w:spacing w:val="3"/>
          <w:kern w:val="0"/>
          <w:sz w:val="32"/>
          <w:szCs w:val="32"/>
          <w:highlight w:val="none"/>
          <w:lang w:eastAsia="en-US" w:bidi="ar"/>
        </w:rPr>
        <w:t>未列明的违法行为，符合《</w:t>
      </w:r>
      <w:r>
        <w:rPr>
          <w:rFonts w:hint="eastAsia" w:ascii="仿宋_GB2312" w:hAnsi="仿宋_GB2312" w:eastAsia="仿宋_GB2312" w:cs="仿宋_GB2312"/>
          <w:snapToGrid w:val="0"/>
          <w:color w:val="000000"/>
          <w:spacing w:val="3"/>
          <w:kern w:val="0"/>
          <w:sz w:val="32"/>
          <w:szCs w:val="32"/>
          <w:highlight w:val="none"/>
          <w:lang w:eastAsia="zh-CN" w:bidi="ar"/>
        </w:rPr>
        <w:t>中华人民共和国</w:t>
      </w:r>
      <w:r>
        <w:rPr>
          <w:rFonts w:hint="eastAsia" w:ascii="仿宋_GB2312" w:hAnsi="仿宋_GB2312" w:eastAsia="仿宋_GB2312" w:cs="仿宋_GB2312"/>
          <w:snapToGrid w:val="0"/>
          <w:color w:val="000000"/>
          <w:spacing w:val="3"/>
          <w:kern w:val="0"/>
          <w:sz w:val="32"/>
          <w:szCs w:val="32"/>
          <w:highlight w:val="none"/>
          <w:lang w:eastAsia="en-US" w:bidi="ar"/>
        </w:rPr>
        <w:t>行政处罚法》等法律法规规定的不予行政处罚条件的，依法</w:t>
      </w:r>
      <w:r>
        <w:rPr>
          <w:rFonts w:hint="eastAsia" w:ascii="仿宋_GB2312" w:hAnsi="仿宋_GB2312" w:eastAsia="仿宋_GB2312" w:cs="仿宋_GB2312"/>
          <w:snapToGrid w:val="0"/>
          <w:color w:val="000000"/>
          <w:spacing w:val="3"/>
          <w:kern w:val="0"/>
          <w:sz w:val="32"/>
          <w:szCs w:val="32"/>
          <w:highlight w:val="none"/>
          <w:lang w:eastAsia="zh-CN" w:bidi="ar"/>
        </w:rPr>
        <w:t>作出</w:t>
      </w:r>
      <w:r>
        <w:rPr>
          <w:rFonts w:hint="eastAsia" w:ascii="仿宋_GB2312" w:hAnsi="仿宋_GB2312" w:eastAsia="仿宋_GB2312" w:cs="仿宋_GB2312"/>
          <w:snapToGrid w:val="0"/>
          <w:color w:val="000000"/>
          <w:spacing w:val="3"/>
          <w:kern w:val="0"/>
          <w:sz w:val="32"/>
          <w:szCs w:val="32"/>
          <w:highlight w:val="none"/>
          <w:lang w:eastAsia="en-US" w:bidi="ar"/>
        </w:rPr>
        <w:t>不予行政处罚</w:t>
      </w:r>
      <w:r>
        <w:rPr>
          <w:rFonts w:hint="eastAsia" w:ascii="仿宋_GB2312" w:hAnsi="仿宋_GB2312" w:eastAsia="仿宋_GB2312" w:cs="仿宋_GB2312"/>
          <w:snapToGrid w:val="0"/>
          <w:color w:val="000000"/>
          <w:spacing w:val="3"/>
          <w:kern w:val="0"/>
          <w:sz w:val="32"/>
          <w:szCs w:val="32"/>
          <w:highlight w:val="none"/>
          <w:lang w:eastAsia="zh-CN" w:bidi="ar"/>
        </w:rPr>
        <w:t>决定。</w:t>
      </w:r>
      <w:r>
        <w:rPr>
          <w:rFonts w:hint="eastAsia" w:ascii="仿宋_GB2312" w:hAnsi="仿宋_GB2312" w:eastAsia="仿宋_GB2312" w:cs="仿宋_GB2312"/>
          <w:snapToGrid w:val="0"/>
          <w:color w:val="000000"/>
          <w:spacing w:val="3"/>
          <w:kern w:val="0"/>
          <w:sz w:val="32"/>
          <w:szCs w:val="32"/>
          <w:highlight w:val="none"/>
          <w:lang w:eastAsia="en-US" w:bidi="ar"/>
        </w:rPr>
        <w:t>依法不予行政处罚的，</w:t>
      </w:r>
      <w:r>
        <w:rPr>
          <w:rFonts w:hint="eastAsia" w:ascii="仿宋_GB2312" w:hAnsi="仿宋_GB2312" w:eastAsia="仿宋_GB2312" w:cs="仿宋_GB2312"/>
          <w:snapToGrid w:val="0"/>
          <w:color w:val="000000"/>
          <w:spacing w:val="3"/>
          <w:kern w:val="0"/>
          <w:sz w:val="32"/>
          <w:szCs w:val="32"/>
          <w:highlight w:val="none"/>
          <w:lang w:val="en-US" w:eastAsia="zh-CN" w:bidi="ar"/>
        </w:rPr>
        <w:t>消防救援机构</w:t>
      </w:r>
      <w:r>
        <w:rPr>
          <w:rFonts w:hint="eastAsia" w:ascii="仿宋_GB2312" w:hAnsi="仿宋_GB2312" w:eastAsia="仿宋_GB2312" w:cs="仿宋_GB2312"/>
          <w:snapToGrid w:val="0"/>
          <w:color w:val="000000"/>
          <w:spacing w:val="3"/>
          <w:kern w:val="0"/>
          <w:sz w:val="32"/>
          <w:szCs w:val="32"/>
          <w:highlight w:val="none"/>
          <w:lang w:eastAsia="en-US" w:bidi="ar"/>
        </w:rPr>
        <w:t>应当</w:t>
      </w:r>
      <w:r>
        <w:rPr>
          <w:rFonts w:hint="eastAsia" w:ascii="仿宋_GB2312" w:hAnsi="仿宋_GB2312" w:eastAsia="仿宋_GB2312" w:cs="仿宋_GB2312"/>
          <w:snapToGrid w:val="0"/>
          <w:color w:val="000000"/>
          <w:spacing w:val="3"/>
          <w:kern w:val="0"/>
          <w:sz w:val="32"/>
          <w:szCs w:val="32"/>
          <w:highlight w:val="none"/>
          <w:lang w:val="en-US" w:eastAsia="zh-CN" w:bidi="ar"/>
        </w:rPr>
        <w:t>对当事人采取</w:t>
      </w:r>
      <w:r>
        <w:rPr>
          <w:rFonts w:hint="eastAsia" w:ascii="仿宋_GB2312" w:hAnsi="仿宋_GB2312" w:eastAsia="仿宋_GB2312" w:cs="仿宋_GB2312"/>
          <w:snapToGrid w:val="0"/>
          <w:color w:val="000000"/>
          <w:spacing w:val="3"/>
          <w:kern w:val="0"/>
          <w:sz w:val="32"/>
          <w:szCs w:val="32"/>
          <w:highlight w:val="none"/>
          <w:lang w:eastAsia="en-US" w:bidi="ar"/>
        </w:rPr>
        <w:t>批评教育、约谈警示、指导服务、普法宣传等措施，教育、督促</w:t>
      </w:r>
      <w:r>
        <w:rPr>
          <w:rFonts w:hint="eastAsia" w:ascii="仿宋_GB2312" w:hAnsi="仿宋_GB2312" w:eastAsia="仿宋_GB2312" w:cs="仿宋_GB2312"/>
          <w:snapToGrid w:val="0"/>
          <w:color w:val="000000"/>
          <w:spacing w:val="3"/>
          <w:kern w:val="0"/>
          <w:sz w:val="32"/>
          <w:szCs w:val="32"/>
          <w:highlight w:val="none"/>
          <w:lang w:val="en-US" w:eastAsia="zh-CN" w:bidi="ar"/>
        </w:rPr>
        <w:t>其</w:t>
      </w:r>
      <w:r>
        <w:rPr>
          <w:rFonts w:hint="eastAsia" w:ascii="仿宋_GB2312" w:hAnsi="仿宋_GB2312" w:eastAsia="仿宋_GB2312" w:cs="仿宋_GB2312"/>
          <w:snapToGrid w:val="0"/>
          <w:color w:val="000000"/>
          <w:spacing w:val="3"/>
          <w:kern w:val="0"/>
          <w:sz w:val="32"/>
          <w:szCs w:val="32"/>
          <w:highlight w:val="none"/>
          <w:lang w:eastAsia="en-US" w:bidi="ar"/>
        </w:rPr>
        <w:t>依法依规开展活动。</w:t>
      </w:r>
    </w:p>
    <w:p>
      <w:pPr>
        <w:keepNext w:val="0"/>
        <w:keepLines w:val="0"/>
        <w:pageBreakBefore w:val="0"/>
        <w:widowControl/>
        <w:kinsoku w:val="0"/>
        <w:wordWrap/>
        <w:overflowPunct/>
        <w:topLinePunct w:val="0"/>
        <w:autoSpaceDE w:val="0"/>
        <w:autoSpaceDN w:val="0"/>
        <w:bidi w:val="0"/>
        <w:adjustRightInd w:val="0"/>
        <w:snapToGrid w:val="0"/>
        <w:spacing w:before="148" w:line="594" w:lineRule="exact"/>
        <w:ind w:left="2" w:right="0" w:firstLine="641" w:firstLineChars="0"/>
        <w:jc w:val="left"/>
        <w:textAlignment w:val="baseline"/>
        <w:rPr>
          <w:rFonts w:hint="eastAsia" w:ascii="仿宋_GB2312" w:hAnsi="仿宋_GB2312" w:eastAsia="仿宋_GB2312" w:cs="仿宋_GB2312"/>
          <w:snapToGrid w:val="0"/>
          <w:color w:val="000000"/>
          <w:spacing w:val="3"/>
          <w:kern w:val="0"/>
          <w:sz w:val="32"/>
          <w:szCs w:val="32"/>
          <w:highlight w:val="none"/>
          <w:lang w:eastAsia="en-US" w:bidi="ar"/>
        </w:rPr>
      </w:pPr>
      <w:r>
        <w:rPr>
          <w:rFonts w:hint="eastAsia" w:ascii="仿宋_GB2312" w:hAnsi="仿宋_GB2312" w:eastAsia="仿宋_GB2312" w:cs="仿宋_GB2312"/>
          <w:snapToGrid w:val="0"/>
          <w:color w:val="000000"/>
          <w:spacing w:val="3"/>
          <w:kern w:val="0"/>
          <w:sz w:val="32"/>
          <w:szCs w:val="32"/>
          <w:highlight w:val="none"/>
          <w:lang w:eastAsia="en-US" w:bidi="ar"/>
        </w:rPr>
        <w:t>不予行政处罚的，可以不立案，但</w:t>
      </w:r>
      <w:r>
        <w:rPr>
          <w:rFonts w:hint="eastAsia" w:ascii="仿宋_GB2312" w:hAnsi="仿宋_GB2312" w:eastAsia="仿宋_GB2312" w:cs="仿宋_GB2312"/>
          <w:snapToGrid w:val="0"/>
          <w:color w:val="000000"/>
          <w:spacing w:val="3"/>
          <w:kern w:val="0"/>
          <w:sz w:val="32"/>
          <w:szCs w:val="32"/>
          <w:highlight w:val="none"/>
          <w:lang w:val="en-US" w:eastAsia="en-US" w:bidi="ar"/>
        </w:rPr>
        <w:t>执法人员</w:t>
      </w:r>
      <w:r>
        <w:rPr>
          <w:rFonts w:hint="eastAsia" w:ascii="仿宋_GB2312" w:hAnsi="仿宋_GB2312" w:eastAsia="仿宋_GB2312" w:cs="仿宋_GB2312"/>
          <w:snapToGrid w:val="0"/>
          <w:color w:val="000000"/>
          <w:spacing w:val="3"/>
          <w:kern w:val="0"/>
          <w:sz w:val="32"/>
          <w:szCs w:val="32"/>
          <w:highlight w:val="none"/>
          <w:lang w:eastAsia="en-US" w:bidi="ar"/>
        </w:rPr>
        <w:t>应当制作《行政指导建议书》，载明当事人基本情况、违法事实、有关证据和有关行政指导建议，在3个工作日内送达当事人；受案后经调查认为违法行为可以不予处罚的，按照《消防救援机构办理行政案件程序规定》有关要求作出不予处罚决定。</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left"/>
        <w:textAlignment w:val="baseline"/>
        <w:rPr>
          <w:rFonts w:hint="eastAsia" w:ascii="仿宋_GB2312" w:hAnsi="仿宋_GB2312" w:eastAsia="仿宋_GB2312" w:cs="仿宋_GB2312"/>
          <w:snapToGrid w:val="0"/>
          <w:color w:val="000000"/>
          <w:spacing w:val="3"/>
          <w:kern w:val="0"/>
          <w:sz w:val="32"/>
          <w:szCs w:val="32"/>
          <w:highlight w:val="none"/>
          <w:lang w:eastAsia="en-US" w:bidi="ar"/>
        </w:rPr>
      </w:pPr>
      <w:r>
        <w:rPr>
          <w:rFonts w:hint="eastAsia" w:ascii="仿宋_GB2312" w:hAnsi="仿宋_GB2312" w:eastAsia="仿宋_GB2312" w:cs="仿宋_GB2312"/>
          <w:b/>
          <w:color w:val="auto"/>
          <w:sz w:val="32"/>
          <w:szCs w:val="32"/>
          <w:lang w:val="en-US" w:eastAsia="zh-CN"/>
        </w:rPr>
        <w:t xml:space="preserve">第十一条 </w:t>
      </w:r>
      <w:r>
        <w:rPr>
          <w:rFonts w:hint="eastAsia" w:ascii="仿宋_GB2312" w:hAnsi="仿宋_GB2312" w:cs="仿宋_GB2312"/>
          <w:snapToGrid w:val="0"/>
          <w:color w:val="000000"/>
          <w:spacing w:val="3"/>
          <w:kern w:val="0"/>
          <w:sz w:val="32"/>
          <w:szCs w:val="32"/>
          <w:highlight w:val="none"/>
          <w:lang w:val="en-US" w:eastAsia="zh-CN" w:bidi="ar"/>
        </w:rPr>
        <w:t xml:space="preserve"> </w:t>
      </w:r>
      <w:r>
        <w:rPr>
          <w:rFonts w:hint="eastAsia" w:ascii="仿宋_GB2312" w:hAnsi="仿宋_GB2312" w:eastAsia="仿宋_GB2312" w:cs="仿宋_GB2312"/>
          <w:snapToGrid w:val="0"/>
          <w:color w:val="000000"/>
          <w:spacing w:val="3"/>
          <w:kern w:val="0"/>
          <w:sz w:val="32"/>
          <w:szCs w:val="32"/>
          <w:highlight w:val="none"/>
          <w:lang w:val="en-US" w:eastAsia="en-US" w:bidi="ar"/>
        </w:rPr>
        <w:t>当事人</w:t>
      </w:r>
      <w:r>
        <w:rPr>
          <w:rFonts w:hint="eastAsia" w:ascii="仿宋_GB2312" w:hAnsi="仿宋_GB2312" w:eastAsia="仿宋_GB2312" w:cs="仿宋_GB2312"/>
          <w:snapToGrid w:val="0"/>
          <w:color w:val="000000"/>
          <w:spacing w:val="3"/>
          <w:kern w:val="0"/>
          <w:sz w:val="32"/>
          <w:szCs w:val="32"/>
          <w:highlight w:val="none"/>
          <w:lang w:eastAsia="en-US" w:bidi="ar"/>
        </w:rPr>
        <w:t>有下列情形之一的，应当从轻或者减轻行政处罚：</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2" w:firstLineChars="200"/>
        <w:jc w:val="left"/>
        <w:textAlignment w:val="baseline"/>
        <w:rPr>
          <w:rFonts w:hint="eastAsia" w:ascii="仿宋_GB2312" w:hAnsi="仿宋_GB2312" w:eastAsia="仿宋_GB2312" w:cs="仿宋_GB2312"/>
          <w:snapToGrid w:val="0"/>
          <w:color w:val="000000"/>
          <w:spacing w:val="3"/>
          <w:kern w:val="0"/>
          <w:sz w:val="32"/>
          <w:szCs w:val="32"/>
          <w:highlight w:val="none"/>
          <w:lang w:eastAsia="en-US" w:bidi="ar"/>
        </w:rPr>
      </w:pPr>
      <w:r>
        <w:rPr>
          <w:rFonts w:hint="eastAsia" w:ascii="仿宋_GB2312" w:hAnsi="仿宋_GB2312" w:eastAsia="仿宋_GB2312" w:cs="仿宋_GB2312"/>
          <w:snapToGrid w:val="0"/>
          <w:color w:val="000000"/>
          <w:spacing w:val="3"/>
          <w:kern w:val="0"/>
          <w:sz w:val="32"/>
          <w:szCs w:val="32"/>
          <w:highlight w:val="none"/>
          <w:lang w:eastAsia="en-US" w:bidi="ar"/>
        </w:rPr>
        <w:t>（一）已满十四周岁不满十八周岁的未成年人</w:t>
      </w:r>
      <w:r>
        <w:rPr>
          <w:rFonts w:hint="eastAsia" w:ascii="仿宋_GB2312" w:hAnsi="仿宋_GB2312" w:eastAsia="仿宋_GB2312" w:cs="仿宋_GB2312"/>
          <w:snapToGrid w:val="0"/>
          <w:color w:val="000000"/>
          <w:spacing w:val="3"/>
          <w:kern w:val="0"/>
          <w:sz w:val="32"/>
          <w:szCs w:val="32"/>
          <w:highlight w:val="none"/>
          <w:lang w:val="en-US" w:eastAsia="en-US" w:bidi="ar"/>
        </w:rPr>
        <w:t>有</w:t>
      </w:r>
      <w:r>
        <w:rPr>
          <w:rFonts w:hint="eastAsia" w:ascii="仿宋_GB2312" w:hAnsi="仿宋_GB2312" w:eastAsia="仿宋_GB2312" w:cs="仿宋_GB2312"/>
          <w:snapToGrid w:val="0"/>
          <w:color w:val="000000"/>
          <w:spacing w:val="3"/>
          <w:kern w:val="0"/>
          <w:sz w:val="32"/>
          <w:szCs w:val="32"/>
          <w:highlight w:val="none"/>
          <w:lang w:eastAsia="en-US" w:bidi="ar"/>
        </w:rPr>
        <w:t>消防安全违法行为的；</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2" w:firstLineChars="200"/>
        <w:jc w:val="left"/>
        <w:textAlignment w:val="baseline"/>
        <w:rPr>
          <w:rFonts w:hint="eastAsia" w:ascii="仿宋_GB2312" w:hAnsi="仿宋_GB2312" w:eastAsia="仿宋_GB2312" w:cs="仿宋_GB2312"/>
          <w:snapToGrid w:val="0"/>
          <w:color w:val="000000"/>
          <w:spacing w:val="3"/>
          <w:kern w:val="0"/>
          <w:sz w:val="32"/>
          <w:szCs w:val="32"/>
          <w:highlight w:val="none"/>
          <w:lang w:eastAsia="en-US" w:bidi="ar"/>
        </w:rPr>
      </w:pPr>
      <w:r>
        <w:rPr>
          <w:rFonts w:hint="eastAsia" w:ascii="仿宋_GB2312" w:hAnsi="仿宋_GB2312" w:eastAsia="仿宋_GB2312" w:cs="仿宋_GB2312"/>
          <w:snapToGrid w:val="0"/>
          <w:color w:val="000000"/>
          <w:spacing w:val="3"/>
          <w:kern w:val="0"/>
          <w:sz w:val="32"/>
          <w:szCs w:val="32"/>
          <w:highlight w:val="none"/>
          <w:lang w:eastAsia="en-US" w:bidi="ar"/>
        </w:rPr>
        <w:t>（二）主动消除或者减轻消防安全违法行为危害后果的；</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2" w:firstLineChars="200"/>
        <w:jc w:val="left"/>
        <w:textAlignment w:val="baseline"/>
        <w:rPr>
          <w:rFonts w:hint="eastAsia" w:ascii="仿宋_GB2312" w:hAnsi="仿宋_GB2312" w:eastAsia="仿宋_GB2312" w:cs="仿宋_GB2312"/>
          <w:snapToGrid w:val="0"/>
          <w:color w:val="000000"/>
          <w:spacing w:val="3"/>
          <w:kern w:val="0"/>
          <w:sz w:val="32"/>
          <w:szCs w:val="32"/>
          <w:highlight w:val="none"/>
          <w:lang w:eastAsia="en-US" w:bidi="ar"/>
        </w:rPr>
      </w:pPr>
      <w:r>
        <w:rPr>
          <w:rFonts w:hint="eastAsia" w:ascii="仿宋_GB2312" w:hAnsi="仿宋_GB2312" w:eastAsia="仿宋_GB2312" w:cs="仿宋_GB2312"/>
          <w:snapToGrid w:val="0"/>
          <w:color w:val="000000"/>
          <w:spacing w:val="3"/>
          <w:kern w:val="0"/>
          <w:sz w:val="32"/>
          <w:szCs w:val="32"/>
          <w:highlight w:val="none"/>
          <w:lang w:eastAsia="en-US" w:bidi="ar"/>
        </w:rPr>
        <w:t>（三）受他人胁迫或者诱骗实施消防安全违法行为的；</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2" w:firstLineChars="200"/>
        <w:jc w:val="left"/>
        <w:textAlignment w:val="baseline"/>
        <w:rPr>
          <w:rFonts w:hint="eastAsia" w:ascii="仿宋_GB2312" w:hAnsi="仿宋_GB2312" w:eastAsia="仿宋_GB2312" w:cs="仿宋_GB2312"/>
          <w:snapToGrid w:val="0"/>
          <w:color w:val="000000"/>
          <w:spacing w:val="3"/>
          <w:kern w:val="0"/>
          <w:sz w:val="32"/>
          <w:szCs w:val="32"/>
          <w:highlight w:val="none"/>
          <w:lang w:eastAsia="en-US" w:bidi="ar"/>
        </w:rPr>
      </w:pPr>
      <w:r>
        <w:rPr>
          <w:rFonts w:hint="eastAsia" w:ascii="仿宋_GB2312" w:hAnsi="仿宋_GB2312" w:eastAsia="仿宋_GB2312" w:cs="仿宋_GB2312"/>
          <w:snapToGrid w:val="0"/>
          <w:color w:val="000000"/>
          <w:spacing w:val="3"/>
          <w:kern w:val="0"/>
          <w:sz w:val="32"/>
          <w:szCs w:val="32"/>
          <w:highlight w:val="none"/>
          <w:lang w:eastAsia="en-US" w:bidi="ar"/>
        </w:rPr>
        <w:t>（四）主动供述消防救援机构尚未掌握的消防安全违法行为的；</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2" w:firstLineChars="200"/>
        <w:jc w:val="left"/>
        <w:textAlignment w:val="baseline"/>
        <w:rPr>
          <w:rFonts w:hint="eastAsia" w:ascii="仿宋_GB2312" w:hAnsi="仿宋_GB2312" w:eastAsia="仿宋_GB2312" w:cs="仿宋_GB2312"/>
          <w:snapToGrid w:val="0"/>
          <w:color w:val="000000"/>
          <w:spacing w:val="3"/>
          <w:kern w:val="0"/>
          <w:sz w:val="32"/>
          <w:szCs w:val="32"/>
          <w:highlight w:val="none"/>
          <w:lang w:eastAsia="en-US" w:bidi="ar"/>
        </w:rPr>
      </w:pPr>
      <w:r>
        <w:rPr>
          <w:rFonts w:hint="eastAsia" w:ascii="仿宋_GB2312" w:hAnsi="仿宋_GB2312" w:eastAsia="仿宋_GB2312" w:cs="仿宋_GB2312"/>
          <w:snapToGrid w:val="0"/>
          <w:color w:val="000000"/>
          <w:spacing w:val="3"/>
          <w:kern w:val="0"/>
          <w:sz w:val="32"/>
          <w:szCs w:val="32"/>
          <w:highlight w:val="none"/>
          <w:lang w:eastAsia="en-US" w:bidi="ar"/>
        </w:rPr>
        <w:t>（五）配合消防救援机构查处违法行为有立功表现的；</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2" w:firstLineChars="200"/>
        <w:jc w:val="left"/>
        <w:textAlignment w:val="baseline"/>
        <w:rPr>
          <w:rFonts w:hint="eastAsia" w:ascii="仿宋_GB2312" w:hAnsi="仿宋_GB2312" w:eastAsia="仿宋_GB2312" w:cs="仿宋_GB2312"/>
          <w:snapToGrid w:val="0"/>
          <w:color w:val="000000"/>
          <w:spacing w:val="3"/>
          <w:kern w:val="0"/>
          <w:sz w:val="32"/>
          <w:szCs w:val="32"/>
          <w:highlight w:val="none"/>
          <w:lang w:eastAsia="en-US" w:bidi="ar"/>
        </w:rPr>
      </w:pPr>
      <w:r>
        <w:rPr>
          <w:rFonts w:hint="eastAsia" w:ascii="仿宋_GB2312" w:hAnsi="仿宋_GB2312" w:eastAsia="仿宋_GB2312" w:cs="仿宋_GB2312"/>
          <w:snapToGrid w:val="0"/>
          <w:color w:val="000000"/>
          <w:spacing w:val="3"/>
          <w:kern w:val="0"/>
          <w:sz w:val="32"/>
          <w:szCs w:val="32"/>
          <w:highlight w:val="none"/>
          <w:lang w:eastAsia="en-US" w:bidi="ar"/>
        </w:rPr>
        <w:t>（六）其他依法</w:t>
      </w:r>
      <w:r>
        <w:rPr>
          <w:rFonts w:hint="eastAsia" w:ascii="仿宋_GB2312" w:hAnsi="仿宋_GB2312" w:eastAsia="仿宋_GB2312" w:cs="仿宋_GB2312"/>
          <w:snapToGrid w:val="0"/>
          <w:color w:val="000000"/>
          <w:spacing w:val="3"/>
          <w:kern w:val="0"/>
          <w:sz w:val="32"/>
          <w:szCs w:val="32"/>
          <w:highlight w:val="none"/>
          <w:lang w:val="en-US" w:eastAsia="en-US" w:bidi="ar"/>
        </w:rPr>
        <w:t>应当</w:t>
      </w:r>
      <w:r>
        <w:rPr>
          <w:rFonts w:hint="eastAsia" w:ascii="仿宋_GB2312" w:hAnsi="仿宋_GB2312" w:eastAsia="仿宋_GB2312" w:cs="仿宋_GB2312"/>
          <w:snapToGrid w:val="0"/>
          <w:color w:val="000000"/>
          <w:spacing w:val="3"/>
          <w:kern w:val="0"/>
          <w:sz w:val="32"/>
          <w:szCs w:val="32"/>
          <w:highlight w:val="none"/>
          <w:lang w:eastAsia="en-US" w:bidi="ar"/>
        </w:rPr>
        <w:t>从轻或者减轻行政处罚的。</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2" w:firstLineChars="200"/>
        <w:jc w:val="left"/>
        <w:textAlignment w:val="baseline"/>
        <w:rPr>
          <w:rFonts w:hint="eastAsia" w:ascii="仿宋_GB2312" w:hAnsi="仿宋_GB2312" w:eastAsia="仿宋_GB2312" w:cs="仿宋_GB2312"/>
          <w:snapToGrid w:val="0"/>
          <w:color w:val="000000"/>
          <w:spacing w:val="3"/>
          <w:kern w:val="0"/>
          <w:sz w:val="32"/>
          <w:szCs w:val="32"/>
          <w:highlight w:val="none"/>
          <w:lang w:eastAsia="en-US" w:bidi="ar"/>
        </w:rPr>
      </w:pPr>
      <w:r>
        <w:rPr>
          <w:rFonts w:hint="eastAsia" w:ascii="仿宋_GB2312" w:hAnsi="仿宋_GB2312" w:eastAsia="仿宋_GB2312" w:cs="仿宋_GB2312"/>
          <w:snapToGrid w:val="0"/>
          <w:color w:val="000000"/>
          <w:spacing w:val="3"/>
          <w:kern w:val="0"/>
          <w:sz w:val="32"/>
          <w:szCs w:val="32"/>
          <w:highlight w:val="none"/>
          <w:lang w:eastAsia="en-US" w:bidi="ar"/>
        </w:rPr>
        <w:t>尚未完全丧失辨认或者控制自己行为能力的精神病人、智力残疾人</w:t>
      </w:r>
      <w:r>
        <w:rPr>
          <w:rFonts w:hint="eastAsia" w:ascii="仿宋_GB2312" w:hAnsi="仿宋_GB2312" w:eastAsia="仿宋_GB2312" w:cs="仿宋_GB2312"/>
          <w:snapToGrid w:val="0"/>
          <w:color w:val="000000"/>
          <w:spacing w:val="3"/>
          <w:kern w:val="0"/>
          <w:sz w:val="32"/>
          <w:szCs w:val="32"/>
          <w:highlight w:val="none"/>
          <w:lang w:val="en-US" w:eastAsia="en-US" w:bidi="ar"/>
        </w:rPr>
        <w:t>有</w:t>
      </w:r>
      <w:r>
        <w:rPr>
          <w:rFonts w:hint="eastAsia" w:ascii="仿宋_GB2312" w:hAnsi="仿宋_GB2312" w:eastAsia="仿宋_GB2312" w:cs="仿宋_GB2312"/>
          <w:snapToGrid w:val="0"/>
          <w:color w:val="000000"/>
          <w:spacing w:val="3"/>
          <w:kern w:val="0"/>
          <w:sz w:val="32"/>
          <w:szCs w:val="32"/>
          <w:highlight w:val="none"/>
          <w:lang w:eastAsia="en-US" w:bidi="ar"/>
        </w:rPr>
        <w:t>违法行为的，可以从轻或者减轻行政处罚。</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2" w:firstLineChars="200"/>
        <w:jc w:val="left"/>
        <w:textAlignment w:val="baseline"/>
        <w:rPr>
          <w:rFonts w:hint="eastAsia" w:ascii="仿宋_GB2312" w:hAnsi="仿宋_GB2312" w:eastAsia="仿宋_GB2312" w:cs="仿宋_GB2312"/>
          <w:snapToGrid w:val="0"/>
          <w:color w:val="000000"/>
          <w:spacing w:val="3"/>
          <w:kern w:val="0"/>
          <w:sz w:val="32"/>
          <w:szCs w:val="32"/>
          <w:highlight w:val="none"/>
          <w:lang w:eastAsia="en-US" w:bidi="ar"/>
        </w:rPr>
      </w:pPr>
      <w:r>
        <w:rPr>
          <w:rFonts w:hint="eastAsia" w:ascii="仿宋_GB2312" w:hAnsi="仿宋_GB2312" w:eastAsia="仿宋_GB2312" w:cs="仿宋_GB2312"/>
          <w:snapToGrid w:val="0"/>
          <w:color w:val="000000"/>
          <w:spacing w:val="3"/>
          <w:kern w:val="0"/>
          <w:sz w:val="32"/>
          <w:szCs w:val="32"/>
          <w:highlight w:val="none"/>
          <w:lang w:eastAsia="en-US" w:bidi="ar"/>
        </w:rPr>
        <w:t>违法行为被发现前，单位（个人）已经积极采取整改措施的或者违法行为被发现后，单位（个人）在行政处罚告知前完成整改并主动向消防救援机构书面报告核实的，视为主动消除或者减轻消防安全违法行为危害后果。</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left"/>
        <w:textAlignment w:val="baseline"/>
        <w:rPr>
          <w:rFonts w:hint="eastAsia" w:ascii="仿宋_GB2312" w:hAnsi="仿宋_GB2312" w:eastAsia="仿宋_GB2312" w:cs="仿宋_GB2312"/>
          <w:snapToGrid w:val="0"/>
          <w:color w:val="000000"/>
          <w:spacing w:val="3"/>
          <w:kern w:val="0"/>
          <w:sz w:val="32"/>
          <w:szCs w:val="32"/>
          <w:highlight w:val="none"/>
          <w:lang w:val="en-US" w:eastAsia="en-US" w:bidi="ar"/>
        </w:rPr>
      </w:pPr>
      <w:r>
        <w:rPr>
          <w:rFonts w:hint="eastAsia" w:ascii="仿宋_GB2312" w:hAnsi="仿宋_GB2312" w:eastAsia="仿宋_GB2312" w:cs="仿宋_GB2312"/>
          <w:b/>
          <w:color w:val="auto"/>
          <w:sz w:val="32"/>
          <w:szCs w:val="32"/>
          <w:lang w:val="en-US" w:eastAsia="zh-CN"/>
        </w:rPr>
        <w:t>第十二条</w:t>
      </w:r>
      <w:r>
        <w:rPr>
          <w:rFonts w:hint="eastAsia" w:ascii="仿宋_GB2312" w:hAnsi="仿宋_GB2312" w:cs="仿宋_GB2312"/>
          <w:snapToGrid w:val="0"/>
          <w:color w:val="000000"/>
          <w:spacing w:val="3"/>
          <w:kern w:val="0"/>
          <w:sz w:val="32"/>
          <w:szCs w:val="32"/>
          <w:highlight w:val="none"/>
          <w:lang w:val="en-US" w:eastAsia="zh-CN" w:bidi="ar"/>
        </w:rPr>
        <w:t xml:space="preserve">  </w:t>
      </w:r>
      <w:r>
        <w:rPr>
          <w:rFonts w:hint="eastAsia" w:ascii="仿宋_GB2312" w:hAnsi="仿宋_GB2312" w:eastAsia="仿宋_GB2312" w:cs="仿宋_GB2312"/>
          <w:snapToGrid w:val="0"/>
          <w:color w:val="000000"/>
          <w:spacing w:val="3"/>
          <w:kern w:val="0"/>
          <w:sz w:val="32"/>
          <w:szCs w:val="32"/>
          <w:highlight w:val="none"/>
          <w:lang w:eastAsia="en-US" w:bidi="ar"/>
        </w:rPr>
        <w:t>从轻处罚的，应当在法定处罚种类和处罚幅度内，适用较轻、较少的处罚种类或者较低的处罚幅度。处罚</w:t>
      </w:r>
      <w:r>
        <w:rPr>
          <w:rFonts w:hint="eastAsia" w:ascii="仿宋_GB2312" w:hAnsi="仿宋_GB2312" w:eastAsia="仿宋_GB2312" w:cs="仿宋_GB2312"/>
          <w:snapToGrid w:val="0"/>
          <w:color w:val="000000"/>
          <w:spacing w:val="3"/>
          <w:kern w:val="0"/>
          <w:sz w:val="32"/>
          <w:szCs w:val="32"/>
          <w:highlight w:val="none"/>
          <w:lang w:val="en-US" w:eastAsia="en-US" w:bidi="ar"/>
        </w:rPr>
        <w:t>幅度的从轻</w:t>
      </w:r>
      <w:r>
        <w:rPr>
          <w:rFonts w:hint="eastAsia" w:ascii="仿宋_GB2312" w:hAnsi="仿宋_GB2312" w:eastAsia="仿宋_GB2312" w:cs="仿宋_GB2312"/>
          <w:snapToGrid w:val="0"/>
          <w:color w:val="000000"/>
          <w:spacing w:val="3"/>
          <w:kern w:val="0"/>
          <w:sz w:val="32"/>
          <w:szCs w:val="32"/>
          <w:highlight w:val="none"/>
          <w:lang w:eastAsia="en-US" w:bidi="ar"/>
        </w:rPr>
        <w:t>，是指按照本《</w:t>
      </w:r>
      <w:r>
        <w:rPr>
          <w:rFonts w:hint="eastAsia" w:ascii="仿宋_GB2312" w:hAnsi="仿宋_GB2312" w:cs="仿宋_GB2312"/>
          <w:snapToGrid w:val="0"/>
          <w:color w:val="000000"/>
          <w:spacing w:val="3"/>
          <w:kern w:val="0"/>
          <w:sz w:val="32"/>
          <w:szCs w:val="32"/>
          <w:highlight w:val="none"/>
          <w:lang w:val="en-US" w:eastAsia="zh-CN" w:bidi="ar"/>
        </w:rPr>
        <w:t>裁量权基准</w:t>
      </w:r>
      <w:r>
        <w:rPr>
          <w:rFonts w:hint="eastAsia" w:ascii="仿宋_GB2312" w:hAnsi="仿宋_GB2312" w:eastAsia="仿宋_GB2312" w:cs="仿宋_GB2312"/>
          <w:snapToGrid w:val="0"/>
          <w:color w:val="000000"/>
          <w:spacing w:val="3"/>
          <w:kern w:val="0"/>
          <w:sz w:val="32"/>
          <w:szCs w:val="32"/>
          <w:highlight w:val="none"/>
          <w:lang w:eastAsia="en-US" w:bidi="ar"/>
        </w:rPr>
        <w:t>》确定的违法</w:t>
      </w:r>
      <w:r>
        <w:rPr>
          <w:rFonts w:hint="eastAsia" w:ascii="仿宋_GB2312" w:hAnsi="仿宋_GB2312" w:eastAsia="仿宋_GB2312" w:cs="仿宋_GB2312"/>
          <w:snapToGrid w:val="0"/>
          <w:color w:val="000000"/>
          <w:spacing w:val="3"/>
          <w:kern w:val="0"/>
          <w:sz w:val="32"/>
          <w:szCs w:val="32"/>
          <w:highlight w:val="none"/>
          <w:lang w:val="en-US" w:eastAsia="en-US" w:bidi="ar"/>
        </w:rPr>
        <w:t>情节</w:t>
      </w:r>
      <w:r>
        <w:rPr>
          <w:rFonts w:hint="eastAsia" w:ascii="仿宋_GB2312" w:hAnsi="仿宋_GB2312" w:eastAsia="仿宋_GB2312" w:cs="仿宋_GB2312"/>
          <w:snapToGrid w:val="0"/>
          <w:color w:val="000000"/>
          <w:spacing w:val="3"/>
          <w:kern w:val="0"/>
          <w:sz w:val="32"/>
          <w:szCs w:val="32"/>
          <w:highlight w:val="none"/>
          <w:lang w:eastAsia="en-US" w:bidi="ar"/>
        </w:rPr>
        <w:t>的下一违法</w:t>
      </w:r>
      <w:r>
        <w:rPr>
          <w:rFonts w:hint="eastAsia" w:ascii="仿宋_GB2312" w:hAnsi="仿宋_GB2312" w:eastAsia="仿宋_GB2312" w:cs="仿宋_GB2312"/>
          <w:snapToGrid w:val="0"/>
          <w:color w:val="000000"/>
          <w:spacing w:val="3"/>
          <w:kern w:val="0"/>
          <w:sz w:val="32"/>
          <w:szCs w:val="32"/>
          <w:highlight w:val="none"/>
          <w:lang w:val="en-US" w:eastAsia="en-US" w:bidi="ar"/>
        </w:rPr>
        <w:t>情节</w:t>
      </w:r>
      <w:r>
        <w:rPr>
          <w:rFonts w:hint="eastAsia" w:ascii="仿宋_GB2312" w:hAnsi="仿宋_GB2312" w:eastAsia="仿宋_GB2312" w:cs="仿宋_GB2312"/>
          <w:snapToGrid w:val="0"/>
          <w:color w:val="000000"/>
          <w:spacing w:val="3"/>
          <w:kern w:val="0"/>
          <w:sz w:val="32"/>
          <w:szCs w:val="32"/>
          <w:highlight w:val="none"/>
          <w:lang w:eastAsia="en-US" w:bidi="ar"/>
        </w:rPr>
        <w:t>实施处罚。如果本《</w:t>
      </w:r>
      <w:r>
        <w:rPr>
          <w:rFonts w:hint="eastAsia" w:ascii="仿宋_GB2312" w:hAnsi="仿宋_GB2312" w:cs="仿宋_GB2312"/>
          <w:snapToGrid w:val="0"/>
          <w:color w:val="000000"/>
          <w:spacing w:val="3"/>
          <w:kern w:val="0"/>
          <w:sz w:val="32"/>
          <w:szCs w:val="32"/>
          <w:highlight w:val="none"/>
          <w:lang w:val="en-US" w:eastAsia="zh-CN" w:bidi="ar"/>
        </w:rPr>
        <w:t>裁量权基准</w:t>
      </w:r>
      <w:r>
        <w:rPr>
          <w:rFonts w:hint="eastAsia" w:ascii="仿宋_GB2312" w:hAnsi="仿宋_GB2312" w:eastAsia="仿宋_GB2312" w:cs="仿宋_GB2312"/>
          <w:snapToGrid w:val="0"/>
          <w:color w:val="000000"/>
          <w:spacing w:val="3"/>
          <w:kern w:val="0"/>
          <w:sz w:val="32"/>
          <w:szCs w:val="32"/>
          <w:highlight w:val="none"/>
          <w:lang w:eastAsia="en-US" w:bidi="ar"/>
        </w:rPr>
        <w:t>》确定的</w:t>
      </w:r>
      <w:r>
        <w:rPr>
          <w:rFonts w:hint="eastAsia" w:ascii="仿宋_GB2312" w:hAnsi="仿宋_GB2312" w:eastAsia="仿宋_GB2312" w:cs="仿宋_GB2312"/>
          <w:snapToGrid w:val="0"/>
          <w:color w:val="000000"/>
          <w:spacing w:val="3"/>
          <w:kern w:val="0"/>
          <w:sz w:val="32"/>
          <w:szCs w:val="32"/>
          <w:highlight w:val="none"/>
          <w:lang w:val="en-US" w:eastAsia="en-US" w:bidi="ar"/>
        </w:rPr>
        <w:t>违法情节是轻微的，则在轻微违法情节量罚幅度内适用较低的金额实施处罚。</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2" w:firstLineChars="200"/>
        <w:jc w:val="left"/>
        <w:textAlignment w:val="baseline"/>
        <w:rPr>
          <w:rFonts w:hint="eastAsia" w:ascii="仿宋_GB2312" w:hAnsi="仿宋_GB2312" w:eastAsia="仿宋_GB2312" w:cs="仿宋_GB2312"/>
          <w:snapToGrid w:val="0"/>
          <w:color w:val="000000"/>
          <w:spacing w:val="3"/>
          <w:kern w:val="0"/>
          <w:sz w:val="32"/>
          <w:szCs w:val="32"/>
          <w:highlight w:val="none"/>
          <w:lang w:eastAsia="en-US" w:bidi="ar"/>
        </w:rPr>
      </w:pPr>
      <w:r>
        <w:rPr>
          <w:rFonts w:hint="eastAsia" w:ascii="仿宋_GB2312" w:hAnsi="仿宋_GB2312" w:eastAsia="仿宋_GB2312" w:cs="仿宋_GB2312"/>
          <w:snapToGrid w:val="0"/>
          <w:color w:val="000000"/>
          <w:spacing w:val="3"/>
          <w:kern w:val="0"/>
          <w:sz w:val="32"/>
          <w:szCs w:val="32"/>
          <w:highlight w:val="none"/>
          <w:lang w:eastAsia="en-US" w:bidi="ar"/>
        </w:rPr>
        <w:t>减轻处罚的，应当适用法定处罚最低限度</w:t>
      </w:r>
      <w:r>
        <w:rPr>
          <w:rFonts w:hint="eastAsia" w:ascii="仿宋_GB2312" w:hAnsi="仿宋_GB2312" w:eastAsia="仿宋_GB2312" w:cs="仿宋_GB2312"/>
          <w:snapToGrid w:val="0"/>
          <w:color w:val="000000"/>
          <w:spacing w:val="3"/>
          <w:kern w:val="0"/>
          <w:sz w:val="32"/>
          <w:szCs w:val="32"/>
          <w:highlight w:val="none"/>
          <w:lang w:val="en-US" w:eastAsia="en-US" w:bidi="ar"/>
        </w:rPr>
        <w:t>以下的</w:t>
      </w:r>
      <w:r>
        <w:rPr>
          <w:rFonts w:hint="eastAsia" w:ascii="仿宋_GB2312" w:hAnsi="仿宋_GB2312" w:eastAsia="仿宋_GB2312" w:cs="仿宋_GB2312"/>
          <w:snapToGrid w:val="0"/>
          <w:color w:val="000000"/>
          <w:spacing w:val="3"/>
          <w:kern w:val="0"/>
          <w:sz w:val="32"/>
          <w:szCs w:val="32"/>
          <w:highlight w:val="none"/>
          <w:lang w:eastAsia="en-US" w:bidi="ar"/>
        </w:rPr>
        <w:t>处罚种类或者处罚幅度，包括应当并处时不并处、在法定最低罚款限值以下确定罚款数额等情形。对当事人作出减轻处罚决定的，应当经消防救援机构负责人组织集体讨论。</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left"/>
        <w:textAlignment w:val="baseline"/>
        <w:rPr>
          <w:rFonts w:hint="eastAsia" w:ascii="仿宋_GB2312" w:hAnsi="仿宋_GB2312" w:eastAsia="仿宋_GB2312" w:cs="仿宋_GB2312"/>
          <w:snapToGrid w:val="0"/>
          <w:color w:val="000000"/>
          <w:spacing w:val="3"/>
          <w:kern w:val="0"/>
          <w:sz w:val="32"/>
          <w:szCs w:val="32"/>
          <w:highlight w:val="none"/>
          <w:lang w:eastAsia="en-US" w:bidi="ar"/>
        </w:rPr>
      </w:pPr>
      <w:r>
        <w:rPr>
          <w:rFonts w:hint="eastAsia" w:ascii="仿宋_GB2312" w:hAnsi="仿宋_GB2312" w:eastAsia="仿宋_GB2312" w:cs="仿宋_GB2312"/>
          <w:b/>
          <w:color w:val="auto"/>
          <w:sz w:val="32"/>
          <w:szCs w:val="32"/>
          <w:lang w:val="en-US" w:eastAsia="zh-CN"/>
        </w:rPr>
        <w:t>第十三条</w:t>
      </w:r>
      <w:r>
        <w:rPr>
          <w:rFonts w:hint="eastAsia" w:ascii="仿宋_GB2312" w:hAnsi="仿宋_GB2312" w:cs="仿宋_GB2312"/>
          <w:snapToGrid w:val="0"/>
          <w:color w:val="000000"/>
          <w:spacing w:val="3"/>
          <w:kern w:val="0"/>
          <w:sz w:val="32"/>
          <w:szCs w:val="32"/>
          <w:highlight w:val="none"/>
          <w:lang w:val="en-US" w:eastAsia="zh-CN" w:bidi="ar"/>
        </w:rPr>
        <w:t xml:space="preserve">  </w:t>
      </w:r>
      <w:r>
        <w:rPr>
          <w:rFonts w:hint="eastAsia" w:ascii="仿宋_GB2312" w:hAnsi="仿宋_GB2312" w:eastAsia="仿宋_GB2312" w:cs="仿宋_GB2312"/>
          <w:snapToGrid w:val="0"/>
          <w:color w:val="000000"/>
          <w:spacing w:val="3"/>
          <w:kern w:val="0"/>
          <w:sz w:val="32"/>
          <w:szCs w:val="32"/>
          <w:highlight w:val="none"/>
          <w:lang w:val="en-US" w:eastAsia="en-US" w:bidi="ar"/>
        </w:rPr>
        <w:t>当事人</w:t>
      </w:r>
      <w:r>
        <w:rPr>
          <w:rFonts w:hint="eastAsia" w:ascii="仿宋_GB2312" w:hAnsi="仿宋_GB2312" w:eastAsia="仿宋_GB2312" w:cs="仿宋_GB2312"/>
          <w:snapToGrid w:val="0"/>
          <w:color w:val="000000"/>
          <w:spacing w:val="3"/>
          <w:kern w:val="0"/>
          <w:sz w:val="32"/>
          <w:szCs w:val="32"/>
          <w:highlight w:val="none"/>
          <w:lang w:eastAsia="en-US" w:bidi="ar"/>
        </w:rPr>
        <w:t>有下列情形之一的，</w:t>
      </w:r>
      <w:r>
        <w:rPr>
          <w:rFonts w:hint="eastAsia" w:ascii="仿宋_GB2312" w:hAnsi="仿宋_GB2312" w:cs="仿宋_GB2312"/>
          <w:snapToGrid w:val="0"/>
          <w:color w:val="000000"/>
          <w:spacing w:val="3"/>
          <w:kern w:val="0"/>
          <w:sz w:val="32"/>
          <w:szCs w:val="32"/>
          <w:highlight w:val="none"/>
          <w:lang w:val="en-US" w:eastAsia="zh-CN" w:bidi="ar"/>
        </w:rPr>
        <w:t>可以</w:t>
      </w:r>
      <w:r>
        <w:rPr>
          <w:rFonts w:hint="eastAsia" w:ascii="仿宋_GB2312" w:hAnsi="仿宋_GB2312" w:eastAsia="仿宋_GB2312" w:cs="仿宋_GB2312"/>
          <w:snapToGrid w:val="0"/>
          <w:color w:val="000000"/>
          <w:spacing w:val="3"/>
          <w:kern w:val="0"/>
          <w:sz w:val="32"/>
          <w:szCs w:val="32"/>
          <w:highlight w:val="none"/>
          <w:lang w:eastAsia="en-US" w:bidi="ar"/>
        </w:rPr>
        <w:t>从重行政处罚：</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2" w:firstLineChars="200"/>
        <w:jc w:val="left"/>
        <w:textAlignment w:val="baseline"/>
        <w:rPr>
          <w:rFonts w:hint="eastAsia" w:ascii="仿宋_GB2312" w:hAnsi="仿宋_GB2312" w:eastAsia="仿宋_GB2312" w:cs="仿宋_GB2312"/>
          <w:snapToGrid w:val="0"/>
          <w:color w:val="000000"/>
          <w:spacing w:val="3"/>
          <w:kern w:val="0"/>
          <w:sz w:val="32"/>
          <w:szCs w:val="32"/>
          <w:highlight w:val="none"/>
          <w:lang w:eastAsia="en-US" w:bidi="ar"/>
        </w:rPr>
      </w:pPr>
      <w:r>
        <w:rPr>
          <w:rFonts w:hint="eastAsia" w:ascii="仿宋_GB2312" w:hAnsi="仿宋_GB2312" w:eastAsia="仿宋_GB2312" w:cs="仿宋_GB2312"/>
          <w:snapToGrid w:val="0"/>
          <w:color w:val="000000"/>
          <w:spacing w:val="3"/>
          <w:kern w:val="0"/>
          <w:sz w:val="32"/>
          <w:szCs w:val="32"/>
          <w:highlight w:val="none"/>
          <w:lang w:eastAsia="en-US" w:bidi="ar"/>
        </w:rPr>
        <w:t>（一）违法行为情节恶劣，造成严重社会影响，或者发生火灾事故造成人员伤亡的；</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2" w:firstLineChars="200"/>
        <w:jc w:val="left"/>
        <w:textAlignment w:val="baseline"/>
        <w:rPr>
          <w:rFonts w:hint="eastAsia" w:ascii="仿宋_GB2312" w:hAnsi="仿宋_GB2312" w:eastAsia="仿宋_GB2312" w:cs="仿宋_GB2312"/>
          <w:snapToGrid w:val="0"/>
          <w:color w:val="000000"/>
          <w:spacing w:val="3"/>
          <w:kern w:val="0"/>
          <w:sz w:val="32"/>
          <w:szCs w:val="32"/>
          <w:highlight w:val="none"/>
          <w:lang w:eastAsia="en-US" w:bidi="ar"/>
        </w:rPr>
      </w:pPr>
      <w:r>
        <w:rPr>
          <w:rFonts w:hint="eastAsia" w:ascii="仿宋_GB2312" w:hAnsi="仿宋_GB2312" w:eastAsia="仿宋_GB2312" w:cs="仿宋_GB2312"/>
          <w:snapToGrid w:val="0"/>
          <w:color w:val="000000"/>
          <w:spacing w:val="3"/>
          <w:kern w:val="0"/>
          <w:sz w:val="32"/>
          <w:szCs w:val="32"/>
          <w:highlight w:val="none"/>
          <w:lang w:eastAsia="en-US" w:bidi="ar"/>
        </w:rPr>
        <w:t>（二）对举报人、证人或者消防执法人员打击报复的；</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2" w:firstLineChars="200"/>
        <w:jc w:val="left"/>
        <w:textAlignment w:val="baseline"/>
        <w:rPr>
          <w:rFonts w:hint="eastAsia" w:ascii="仿宋_GB2312" w:hAnsi="仿宋_GB2312" w:eastAsia="仿宋_GB2312" w:cs="仿宋_GB2312"/>
          <w:snapToGrid w:val="0"/>
          <w:color w:val="000000"/>
          <w:spacing w:val="3"/>
          <w:kern w:val="0"/>
          <w:sz w:val="32"/>
          <w:szCs w:val="32"/>
          <w:highlight w:val="none"/>
          <w:lang w:eastAsia="en-US" w:bidi="ar"/>
        </w:rPr>
      </w:pPr>
      <w:r>
        <w:rPr>
          <w:rFonts w:hint="eastAsia" w:ascii="仿宋_GB2312" w:hAnsi="仿宋_GB2312" w:eastAsia="仿宋_GB2312" w:cs="仿宋_GB2312"/>
          <w:snapToGrid w:val="0"/>
          <w:color w:val="000000"/>
          <w:spacing w:val="3"/>
          <w:kern w:val="0"/>
          <w:sz w:val="32"/>
          <w:szCs w:val="32"/>
          <w:highlight w:val="none"/>
          <w:lang w:eastAsia="en-US" w:bidi="ar"/>
        </w:rPr>
        <w:t>（三）因同一消防安全违法行为受过刑事处罚，或者一年内因同一</w:t>
      </w:r>
      <w:r>
        <w:rPr>
          <w:rFonts w:hint="eastAsia" w:ascii="仿宋_GB2312" w:hAnsi="仿宋_GB2312" w:eastAsia="仿宋_GB2312" w:cs="仿宋_GB2312"/>
          <w:snapToGrid w:val="0"/>
          <w:color w:val="000000"/>
          <w:spacing w:val="3"/>
          <w:kern w:val="0"/>
          <w:sz w:val="32"/>
          <w:szCs w:val="32"/>
          <w:highlight w:val="none"/>
          <w:lang w:val="en-US" w:eastAsia="en-US" w:bidi="ar"/>
        </w:rPr>
        <w:t>种消防安全违法</w:t>
      </w:r>
      <w:r>
        <w:rPr>
          <w:rFonts w:hint="eastAsia" w:ascii="仿宋_GB2312" w:hAnsi="仿宋_GB2312" w:eastAsia="仿宋_GB2312" w:cs="仿宋_GB2312"/>
          <w:snapToGrid w:val="0"/>
          <w:color w:val="000000"/>
          <w:spacing w:val="3"/>
          <w:kern w:val="0"/>
          <w:sz w:val="32"/>
          <w:szCs w:val="32"/>
          <w:highlight w:val="none"/>
          <w:lang w:eastAsia="en-US" w:bidi="ar"/>
        </w:rPr>
        <w:t>行为受</w:t>
      </w:r>
      <w:r>
        <w:rPr>
          <w:rFonts w:hint="eastAsia" w:ascii="仿宋_GB2312" w:hAnsi="仿宋_GB2312" w:eastAsia="仿宋_GB2312" w:cs="仿宋_GB2312"/>
          <w:snapToGrid w:val="0"/>
          <w:color w:val="000000"/>
          <w:spacing w:val="3"/>
          <w:kern w:val="0"/>
          <w:sz w:val="32"/>
          <w:szCs w:val="32"/>
          <w:highlight w:val="none"/>
          <w:lang w:val="en-US" w:eastAsia="en-US" w:bidi="ar"/>
        </w:rPr>
        <w:t>过消防行政处</w:t>
      </w:r>
      <w:r>
        <w:rPr>
          <w:rFonts w:hint="eastAsia" w:ascii="仿宋_GB2312" w:hAnsi="仿宋_GB2312" w:eastAsia="仿宋_GB2312" w:cs="仿宋_GB2312"/>
          <w:snapToGrid w:val="0"/>
          <w:color w:val="000000"/>
          <w:spacing w:val="3"/>
          <w:kern w:val="0"/>
          <w:sz w:val="32"/>
          <w:szCs w:val="32"/>
          <w:highlight w:val="none"/>
          <w:lang w:eastAsia="en-US" w:bidi="ar"/>
        </w:rPr>
        <w:t>罚的；</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2" w:firstLineChars="200"/>
        <w:jc w:val="left"/>
        <w:textAlignment w:val="baseline"/>
        <w:rPr>
          <w:rFonts w:hint="eastAsia" w:ascii="仿宋_GB2312" w:hAnsi="仿宋_GB2312" w:eastAsia="仿宋_GB2312" w:cs="仿宋_GB2312"/>
          <w:snapToGrid w:val="0"/>
          <w:color w:val="000000"/>
          <w:spacing w:val="3"/>
          <w:kern w:val="0"/>
          <w:sz w:val="32"/>
          <w:szCs w:val="32"/>
          <w:highlight w:val="none"/>
          <w:lang w:eastAsia="en-US" w:bidi="ar"/>
        </w:rPr>
      </w:pPr>
      <w:r>
        <w:rPr>
          <w:rFonts w:hint="eastAsia" w:ascii="仿宋_GB2312" w:hAnsi="仿宋_GB2312" w:eastAsia="仿宋_GB2312" w:cs="仿宋_GB2312"/>
          <w:snapToGrid w:val="0"/>
          <w:color w:val="000000"/>
          <w:spacing w:val="3"/>
          <w:kern w:val="0"/>
          <w:sz w:val="32"/>
          <w:szCs w:val="32"/>
          <w:highlight w:val="none"/>
          <w:lang w:eastAsia="en-US" w:bidi="ar"/>
        </w:rPr>
        <w:t>（四）拒绝、阻碍或者以暴力方式威胁消防执法人员执行职务的；</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2" w:firstLineChars="200"/>
        <w:jc w:val="left"/>
        <w:textAlignment w:val="baseline"/>
        <w:rPr>
          <w:rFonts w:hint="eastAsia" w:ascii="仿宋_GB2312" w:hAnsi="仿宋_GB2312" w:eastAsia="仿宋_GB2312" w:cs="仿宋_GB2312"/>
          <w:snapToGrid w:val="0"/>
          <w:color w:val="000000"/>
          <w:spacing w:val="3"/>
          <w:kern w:val="0"/>
          <w:sz w:val="32"/>
          <w:szCs w:val="32"/>
          <w:highlight w:val="none"/>
          <w:lang w:eastAsia="en-US" w:bidi="ar"/>
        </w:rPr>
      </w:pPr>
      <w:r>
        <w:rPr>
          <w:rFonts w:hint="eastAsia" w:ascii="仿宋_GB2312" w:hAnsi="仿宋_GB2312" w:eastAsia="仿宋_GB2312" w:cs="仿宋_GB2312"/>
          <w:snapToGrid w:val="0"/>
          <w:color w:val="000000"/>
          <w:spacing w:val="3"/>
          <w:kern w:val="0"/>
          <w:sz w:val="32"/>
          <w:szCs w:val="32"/>
          <w:highlight w:val="none"/>
          <w:lang w:eastAsia="en-US" w:bidi="ar"/>
        </w:rPr>
        <w:t>（五）伪造、隐匿、销毁证据的；</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2" w:firstLineChars="200"/>
        <w:jc w:val="left"/>
        <w:textAlignment w:val="baseline"/>
        <w:rPr>
          <w:rFonts w:hint="eastAsia" w:ascii="仿宋_GB2312" w:hAnsi="仿宋_GB2312" w:eastAsia="仿宋_GB2312" w:cs="仿宋_GB2312"/>
          <w:snapToGrid w:val="0"/>
          <w:color w:val="000000"/>
          <w:spacing w:val="3"/>
          <w:kern w:val="0"/>
          <w:sz w:val="32"/>
          <w:szCs w:val="32"/>
          <w:highlight w:val="none"/>
          <w:lang w:eastAsia="en-US" w:bidi="ar"/>
        </w:rPr>
      </w:pPr>
      <w:r>
        <w:rPr>
          <w:rFonts w:hint="eastAsia" w:ascii="仿宋_GB2312" w:hAnsi="仿宋_GB2312" w:eastAsia="仿宋_GB2312" w:cs="仿宋_GB2312"/>
          <w:snapToGrid w:val="0"/>
          <w:color w:val="000000"/>
          <w:spacing w:val="3"/>
          <w:kern w:val="0"/>
          <w:sz w:val="32"/>
          <w:szCs w:val="32"/>
          <w:highlight w:val="none"/>
          <w:lang w:eastAsia="en-US" w:bidi="ar"/>
        </w:rPr>
        <w:t>（</w:t>
      </w:r>
      <w:r>
        <w:rPr>
          <w:rFonts w:hint="eastAsia" w:ascii="仿宋_GB2312" w:hAnsi="仿宋_GB2312" w:eastAsia="仿宋_GB2312" w:cs="仿宋_GB2312"/>
          <w:snapToGrid w:val="0"/>
          <w:color w:val="000000"/>
          <w:spacing w:val="3"/>
          <w:kern w:val="0"/>
          <w:sz w:val="32"/>
          <w:szCs w:val="32"/>
          <w:highlight w:val="none"/>
          <w:lang w:val="en-US" w:eastAsia="en-US" w:bidi="ar"/>
        </w:rPr>
        <w:t>六）</w:t>
      </w:r>
      <w:r>
        <w:rPr>
          <w:rFonts w:hint="eastAsia" w:ascii="仿宋_GB2312" w:hAnsi="仿宋_GB2312" w:eastAsia="仿宋_GB2312" w:cs="仿宋_GB2312"/>
          <w:snapToGrid w:val="0"/>
          <w:color w:val="000000"/>
          <w:spacing w:val="3"/>
          <w:kern w:val="0"/>
          <w:sz w:val="32"/>
          <w:szCs w:val="32"/>
          <w:highlight w:val="none"/>
          <w:lang w:eastAsia="en-US" w:bidi="ar"/>
        </w:rPr>
        <w:t>在规定期限内拒不整改或者未完成整改，违法行为处于持续状态的；</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2" w:firstLineChars="200"/>
        <w:jc w:val="left"/>
        <w:textAlignment w:val="baseline"/>
        <w:rPr>
          <w:rFonts w:hint="eastAsia" w:ascii="仿宋_GB2312" w:hAnsi="仿宋_GB2312" w:eastAsia="仿宋_GB2312" w:cs="仿宋_GB2312"/>
          <w:snapToGrid w:val="0"/>
          <w:color w:val="000000"/>
          <w:spacing w:val="3"/>
          <w:kern w:val="0"/>
          <w:sz w:val="32"/>
          <w:szCs w:val="32"/>
          <w:highlight w:val="none"/>
          <w:lang w:val="en-US" w:eastAsia="en-US" w:bidi="ar"/>
        </w:rPr>
      </w:pPr>
      <w:r>
        <w:rPr>
          <w:rFonts w:hint="eastAsia" w:ascii="仿宋_GB2312" w:hAnsi="仿宋_GB2312" w:eastAsia="仿宋_GB2312" w:cs="仿宋_GB2312"/>
          <w:snapToGrid w:val="0"/>
          <w:color w:val="000000"/>
          <w:spacing w:val="3"/>
          <w:kern w:val="0"/>
          <w:sz w:val="32"/>
          <w:szCs w:val="32"/>
          <w:highlight w:val="none"/>
          <w:lang w:eastAsia="en-US" w:bidi="ar"/>
        </w:rPr>
        <w:t>（</w:t>
      </w:r>
      <w:r>
        <w:rPr>
          <w:rFonts w:hint="eastAsia" w:ascii="仿宋_GB2312" w:hAnsi="仿宋_GB2312" w:eastAsia="仿宋_GB2312" w:cs="仿宋_GB2312"/>
          <w:snapToGrid w:val="0"/>
          <w:color w:val="000000"/>
          <w:spacing w:val="3"/>
          <w:kern w:val="0"/>
          <w:sz w:val="32"/>
          <w:szCs w:val="32"/>
          <w:highlight w:val="none"/>
          <w:lang w:val="en-US" w:eastAsia="en-US" w:bidi="ar"/>
        </w:rPr>
        <w:t>七）发生火灾事故后逃匿或者瞒报、谎报的；</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2" w:firstLineChars="200"/>
        <w:jc w:val="left"/>
        <w:textAlignment w:val="baseline"/>
        <w:rPr>
          <w:rFonts w:hint="eastAsia" w:ascii="仿宋_GB2312" w:hAnsi="仿宋_GB2312" w:eastAsia="仿宋_GB2312" w:cs="仿宋_GB2312"/>
          <w:snapToGrid w:val="0"/>
          <w:color w:val="000000"/>
          <w:spacing w:val="3"/>
          <w:kern w:val="0"/>
          <w:sz w:val="32"/>
          <w:szCs w:val="32"/>
          <w:highlight w:val="none"/>
          <w:lang w:eastAsia="en-US" w:bidi="ar"/>
        </w:rPr>
      </w:pPr>
      <w:r>
        <w:rPr>
          <w:rFonts w:hint="eastAsia" w:ascii="仿宋_GB2312" w:hAnsi="仿宋_GB2312" w:eastAsia="仿宋_GB2312" w:cs="仿宋_GB2312"/>
          <w:snapToGrid w:val="0"/>
          <w:color w:val="000000"/>
          <w:spacing w:val="3"/>
          <w:kern w:val="0"/>
          <w:sz w:val="32"/>
          <w:szCs w:val="32"/>
          <w:highlight w:val="none"/>
          <w:lang w:eastAsia="en-US" w:bidi="ar"/>
        </w:rPr>
        <w:t>（</w:t>
      </w:r>
      <w:r>
        <w:rPr>
          <w:rFonts w:hint="eastAsia" w:ascii="仿宋_GB2312" w:hAnsi="仿宋_GB2312" w:eastAsia="仿宋_GB2312" w:cs="仿宋_GB2312"/>
          <w:snapToGrid w:val="0"/>
          <w:color w:val="000000"/>
          <w:spacing w:val="3"/>
          <w:kern w:val="0"/>
          <w:sz w:val="32"/>
          <w:szCs w:val="32"/>
          <w:highlight w:val="none"/>
          <w:lang w:val="en-US" w:eastAsia="en-US" w:bidi="ar"/>
        </w:rPr>
        <w:t>八</w:t>
      </w:r>
      <w:r>
        <w:rPr>
          <w:rFonts w:hint="eastAsia" w:ascii="仿宋_GB2312" w:hAnsi="仿宋_GB2312" w:eastAsia="仿宋_GB2312" w:cs="仿宋_GB2312"/>
          <w:snapToGrid w:val="0"/>
          <w:color w:val="000000"/>
          <w:spacing w:val="3"/>
          <w:kern w:val="0"/>
          <w:sz w:val="32"/>
          <w:szCs w:val="32"/>
          <w:highlight w:val="none"/>
          <w:lang w:eastAsia="en-US" w:bidi="ar"/>
        </w:rPr>
        <w:t>）其他依法从重行政处罚的。</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2" w:firstLineChars="200"/>
        <w:jc w:val="left"/>
        <w:textAlignment w:val="baseline"/>
        <w:rPr>
          <w:rFonts w:hint="eastAsia" w:ascii="仿宋_GB2312" w:hAnsi="仿宋_GB2312" w:eastAsia="仿宋_GB2312" w:cs="仿宋_GB2312"/>
          <w:snapToGrid w:val="0"/>
          <w:color w:val="000000"/>
          <w:spacing w:val="3"/>
          <w:kern w:val="0"/>
          <w:sz w:val="32"/>
          <w:szCs w:val="32"/>
          <w:highlight w:val="none"/>
          <w:lang w:eastAsia="en-US" w:bidi="ar"/>
        </w:rPr>
      </w:pPr>
      <w:r>
        <w:rPr>
          <w:rFonts w:hint="eastAsia" w:ascii="仿宋_GB2312" w:hAnsi="仿宋_GB2312" w:eastAsia="仿宋_GB2312" w:cs="仿宋_GB2312"/>
          <w:snapToGrid w:val="0"/>
          <w:color w:val="000000"/>
          <w:spacing w:val="3"/>
          <w:kern w:val="0"/>
          <w:sz w:val="32"/>
          <w:szCs w:val="32"/>
          <w:highlight w:val="none"/>
          <w:lang w:eastAsia="en-US" w:bidi="ar"/>
        </w:rPr>
        <w:t>发生火灾等突发事件，为了控制、减轻和消除突发事件引起的社会危害，对违反突发事件应对措施的行为，应当依法快速、从重处罚。</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left"/>
        <w:textAlignment w:val="baseline"/>
        <w:rPr>
          <w:rFonts w:hint="eastAsia" w:ascii="仿宋_GB2312" w:hAnsi="仿宋_GB2312" w:eastAsia="仿宋_GB2312" w:cs="仿宋_GB2312"/>
          <w:snapToGrid w:val="0"/>
          <w:color w:val="000000"/>
          <w:spacing w:val="3"/>
          <w:kern w:val="0"/>
          <w:sz w:val="32"/>
          <w:szCs w:val="32"/>
          <w:highlight w:val="none"/>
          <w:lang w:eastAsia="en-US" w:bidi="ar"/>
        </w:rPr>
      </w:pPr>
      <w:r>
        <w:rPr>
          <w:rFonts w:hint="eastAsia" w:ascii="仿宋_GB2312" w:hAnsi="仿宋_GB2312" w:eastAsia="仿宋_GB2312" w:cs="仿宋_GB2312"/>
          <w:b/>
          <w:color w:val="auto"/>
          <w:sz w:val="32"/>
          <w:szCs w:val="32"/>
          <w:lang w:val="en-US" w:eastAsia="zh-CN"/>
        </w:rPr>
        <w:t>第十四条</w:t>
      </w:r>
      <w:r>
        <w:rPr>
          <w:rFonts w:hint="eastAsia" w:ascii="仿宋_GB2312" w:hAnsi="仿宋_GB2312" w:cs="仿宋_GB2312"/>
          <w:snapToGrid w:val="0"/>
          <w:color w:val="000000"/>
          <w:spacing w:val="3"/>
          <w:kern w:val="0"/>
          <w:sz w:val="32"/>
          <w:szCs w:val="32"/>
          <w:highlight w:val="none"/>
          <w:lang w:val="en-US" w:eastAsia="zh-CN" w:bidi="ar"/>
        </w:rPr>
        <w:t xml:space="preserve">  </w:t>
      </w:r>
      <w:r>
        <w:rPr>
          <w:rFonts w:hint="eastAsia" w:ascii="仿宋_GB2312" w:hAnsi="仿宋_GB2312" w:eastAsia="仿宋_GB2312" w:cs="仿宋_GB2312"/>
          <w:snapToGrid w:val="0"/>
          <w:color w:val="000000"/>
          <w:spacing w:val="3"/>
          <w:kern w:val="0"/>
          <w:sz w:val="32"/>
          <w:szCs w:val="32"/>
          <w:highlight w:val="none"/>
          <w:lang w:eastAsia="en-US" w:bidi="ar"/>
        </w:rPr>
        <w:t>从重处罚的，</w:t>
      </w:r>
      <w:r>
        <w:rPr>
          <w:rFonts w:hint="eastAsia" w:ascii="仿宋_GB2312" w:hAnsi="仿宋_GB2312" w:eastAsia="仿宋_GB2312" w:cs="仿宋_GB2312"/>
          <w:snapToGrid w:val="0"/>
          <w:color w:val="000000"/>
          <w:spacing w:val="3"/>
          <w:kern w:val="0"/>
          <w:sz w:val="32"/>
          <w:szCs w:val="32"/>
          <w:highlight w:val="none"/>
          <w:lang w:val="en-US" w:eastAsia="en-US" w:bidi="ar"/>
        </w:rPr>
        <w:t>应当在法定处罚种类和幅度内对当事人适用较重种类或者较高幅度的处罚。处罚幅度的从重，是指</w:t>
      </w:r>
      <w:r>
        <w:rPr>
          <w:rFonts w:hint="eastAsia" w:ascii="仿宋_GB2312" w:hAnsi="仿宋_GB2312" w:eastAsia="仿宋_GB2312" w:cs="仿宋_GB2312"/>
          <w:snapToGrid w:val="0"/>
          <w:color w:val="000000"/>
          <w:spacing w:val="3"/>
          <w:kern w:val="0"/>
          <w:sz w:val="32"/>
          <w:szCs w:val="32"/>
          <w:highlight w:val="none"/>
          <w:lang w:eastAsia="en-US" w:bidi="ar"/>
        </w:rPr>
        <w:t>按照本《</w:t>
      </w:r>
      <w:r>
        <w:rPr>
          <w:rFonts w:hint="eastAsia" w:ascii="仿宋_GB2312" w:hAnsi="仿宋_GB2312" w:cs="仿宋_GB2312"/>
          <w:snapToGrid w:val="0"/>
          <w:color w:val="000000"/>
          <w:spacing w:val="3"/>
          <w:kern w:val="0"/>
          <w:sz w:val="32"/>
          <w:szCs w:val="32"/>
          <w:highlight w:val="none"/>
          <w:lang w:val="en-US" w:eastAsia="zh-CN" w:bidi="ar"/>
        </w:rPr>
        <w:t>裁量权基准</w:t>
      </w:r>
      <w:r>
        <w:rPr>
          <w:rFonts w:hint="eastAsia" w:ascii="仿宋_GB2312" w:hAnsi="仿宋_GB2312" w:eastAsia="仿宋_GB2312" w:cs="仿宋_GB2312"/>
          <w:snapToGrid w:val="0"/>
          <w:color w:val="000000"/>
          <w:spacing w:val="3"/>
          <w:kern w:val="0"/>
          <w:sz w:val="32"/>
          <w:szCs w:val="32"/>
          <w:highlight w:val="none"/>
          <w:lang w:eastAsia="en-US" w:bidi="ar"/>
        </w:rPr>
        <w:t>》确定的违法</w:t>
      </w:r>
      <w:r>
        <w:rPr>
          <w:rFonts w:hint="eastAsia" w:ascii="仿宋_GB2312" w:hAnsi="仿宋_GB2312" w:eastAsia="仿宋_GB2312" w:cs="仿宋_GB2312"/>
          <w:snapToGrid w:val="0"/>
          <w:color w:val="000000"/>
          <w:spacing w:val="3"/>
          <w:kern w:val="0"/>
          <w:sz w:val="32"/>
          <w:szCs w:val="32"/>
          <w:highlight w:val="none"/>
          <w:lang w:val="en-US" w:eastAsia="en-US" w:bidi="ar"/>
        </w:rPr>
        <w:t>情节的</w:t>
      </w:r>
      <w:r>
        <w:rPr>
          <w:rFonts w:hint="eastAsia" w:ascii="仿宋_GB2312" w:hAnsi="仿宋_GB2312" w:eastAsia="仿宋_GB2312" w:cs="仿宋_GB2312"/>
          <w:snapToGrid w:val="0"/>
          <w:color w:val="000000"/>
          <w:spacing w:val="3"/>
          <w:kern w:val="0"/>
          <w:sz w:val="32"/>
          <w:szCs w:val="32"/>
          <w:highlight w:val="none"/>
          <w:lang w:eastAsia="en-US" w:bidi="ar"/>
        </w:rPr>
        <w:t>上一违法</w:t>
      </w:r>
      <w:r>
        <w:rPr>
          <w:rFonts w:hint="eastAsia" w:ascii="仿宋_GB2312" w:hAnsi="仿宋_GB2312" w:eastAsia="仿宋_GB2312" w:cs="仿宋_GB2312"/>
          <w:snapToGrid w:val="0"/>
          <w:color w:val="000000"/>
          <w:spacing w:val="3"/>
          <w:kern w:val="0"/>
          <w:sz w:val="32"/>
          <w:szCs w:val="32"/>
          <w:highlight w:val="none"/>
          <w:lang w:val="en-US" w:eastAsia="en-US" w:bidi="ar"/>
        </w:rPr>
        <w:t>情节</w:t>
      </w:r>
      <w:r>
        <w:rPr>
          <w:rFonts w:hint="eastAsia" w:ascii="仿宋_GB2312" w:hAnsi="仿宋_GB2312" w:eastAsia="仿宋_GB2312" w:cs="仿宋_GB2312"/>
          <w:snapToGrid w:val="0"/>
          <w:color w:val="000000"/>
          <w:spacing w:val="3"/>
          <w:kern w:val="0"/>
          <w:sz w:val="32"/>
          <w:szCs w:val="32"/>
          <w:highlight w:val="none"/>
          <w:lang w:eastAsia="en-US" w:bidi="ar"/>
        </w:rPr>
        <w:t>实施处罚。如果本《</w:t>
      </w:r>
      <w:r>
        <w:rPr>
          <w:rFonts w:hint="eastAsia" w:ascii="仿宋_GB2312" w:hAnsi="仿宋_GB2312" w:cs="仿宋_GB2312"/>
          <w:snapToGrid w:val="0"/>
          <w:color w:val="000000"/>
          <w:spacing w:val="3"/>
          <w:kern w:val="0"/>
          <w:sz w:val="32"/>
          <w:szCs w:val="32"/>
          <w:highlight w:val="none"/>
          <w:lang w:val="en-US" w:eastAsia="zh-CN" w:bidi="ar"/>
        </w:rPr>
        <w:t>裁量权基准</w:t>
      </w:r>
      <w:r>
        <w:rPr>
          <w:rFonts w:hint="eastAsia" w:ascii="仿宋_GB2312" w:hAnsi="仿宋_GB2312" w:eastAsia="仿宋_GB2312" w:cs="仿宋_GB2312"/>
          <w:snapToGrid w:val="0"/>
          <w:color w:val="000000"/>
          <w:spacing w:val="3"/>
          <w:kern w:val="0"/>
          <w:sz w:val="32"/>
          <w:szCs w:val="32"/>
          <w:highlight w:val="none"/>
          <w:lang w:eastAsia="en-US" w:bidi="ar"/>
        </w:rPr>
        <w:t>》确定的违法</w:t>
      </w:r>
      <w:r>
        <w:rPr>
          <w:rFonts w:hint="eastAsia" w:ascii="仿宋_GB2312" w:hAnsi="仿宋_GB2312" w:eastAsia="仿宋_GB2312" w:cs="仿宋_GB2312"/>
          <w:snapToGrid w:val="0"/>
          <w:color w:val="000000"/>
          <w:spacing w:val="3"/>
          <w:kern w:val="0"/>
          <w:sz w:val="32"/>
          <w:szCs w:val="32"/>
          <w:highlight w:val="none"/>
          <w:lang w:val="en-US" w:eastAsia="en-US" w:bidi="ar"/>
        </w:rPr>
        <w:t>情节是严重</w:t>
      </w:r>
      <w:r>
        <w:rPr>
          <w:rFonts w:hint="eastAsia" w:ascii="仿宋_GB2312" w:hAnsi="仿宋_GB2312" w:eastAsia="仿宋_GB2312" w:cs="仿宋_GB2312"/>
          <w:snapToGrid w:val="0"/>
          <w:color w:val="000000"/>
          <w:spacing w:val="3"/>
          <w:kern w:val="0"/>
          <w:sz w:val="32"/>
          <w:szCs w:val="32"/>
          <w:highlight w:val="none"/>
          <w:lang w:eastAsia="en-US" w:bidi="ar"/>
        </w:rPr>
        <w:t>的，则在</w:t>
      </w:r>
      <w:r>
        <w:rPr>
          <w:rFonts w:hint="eastAsia" w:ascii="仿宋_GB2312" w:hAnsi="仿宋_GB2312" w:eastAsia="仿宋_GB2312" w:cs="仿宋_GB2312"/>
          <w:snapToGrid w:val="0"/>
          <w:color w:val="000000"/>
          <w:spacing w:val="3"/>
          <w:kern w:val="0"/>
          <w:sz w:val="32"/>
          <w:szCs w:val="32"/>
          <w:highlight w:val="none"/>
          <w:lang w:val="en-US" w:eastAsia="en-US" w:bidi="ar"/>
        </w:rPr>
        <w:t>严重违法情节量罚幅度</w:t>
      </w:r>
      <w:r>
        <w:rPr>
          <w:rFonts w:hint="eastAsia" w:ascii="仿宋_GB2312" w:hAnsi="仿宋_GB2312" w:eastAsia="仿宋_GB2312" w:cs="仿宋_GB2312"/>
          <w:snapToGrid w:val="0"/>
          <w:color w:val="000000"/>
          <w:spacing w:val="3"/>
          <w:kern w:val="0"/>
          <w:sz w:val="32"/>
          <w:szCs w:val="32"/>
          <w:highlight w:val="none"/>
          <w:lang w:eastAsia="en-US" w:bidi="ar"/>
        </w:rPr>
        <w:t>内适用较高的金额实施处罚。</w:t>
      </w:r>
    </w:p>
    <w:p>
      <w:pPr>
        <w:pStyle w:val="2"/>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cs="仿宋_GB2312"/>
          <w:snapToGrid w:val="0"/>
          <w:color w:val="000000"/>
          <w:spacing w:val="3"/>
          <w:kern w:val="0"/>
          <w:sz w:val="32"/>
          <w:szCs w:val="32"/>
          <w:highlight w:val="none"/>
          <w:lang w:val="en-US" w:eastAsia="zh-CN" w:bidi="ar"/>
        </w:rPr>
        <w:t xml:space="preserve">    </w:t>
      </w:r>
      <w:r>
        <w:rPr>
          <w:rFonts w:hint="eastAsia" w:ascii="仿宋_GB2312" w:hAnsi="仿宋_GB2312" w:cs="仿宋_GB2312"/>
          <w:b/>
          <w:bCs/>
          <w:snapToGrid w:val="0"/>
          <w:color w:val="000000"/>
          <w:spacing w:val="3"/>
          <w:kern w:val="0"/>
          <w:sz w:val="32"/>
          <w:szCs w:val="32"/>
          <w:highlight w:val="none"/>
          <w:lang w:val="en-US" w:eastAsia="zh-CN" w:bidi="ar"/>
        </w:rPr>
        <w:t>第十五条</w:t>
      </w:r>
      <w:r>
        <w:rPr>
          <w:rFonts w:hint="eastAsia" w:ascii="仿宋_GB2312" w:hAnsi="仿宋_GB2312" w:cs="仿宋_GB2312"/>
          <w:snapToGrid w:val="0"/>
          <w:color w:val="000000"/>
          <w:spacing w:val="3"/>
          <w:kern w:val="0"/>
          <w:sz w:val="32"/>
          <w:szCs w:val="32"/>
          <w:highlight w:val="none"/>
          <w:lang w:val="en-US" w:eastAsia="zh-CN" w:bidi="ar"/>
        </w:rPr>
        <w:t xml:space="preserve">  当事人有同一案由中的多个违法行为的，分别裁量，按照较重的违法行为确定处罚种类和幅度。</w:t>
      </w:r>
    </w:p>
    <w:bookmarkEnd w:id="4"/>
    <w:p>
      <w:pPr>
        <w:spacing w:line="594"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第</w:t>
      </w:r>
      <w:r>
        <w:rPr>
          <w:rFonts w:hint="eastAsia" w:ascii="仿宋_GB2312" w:hAnsi="仿宋_GB2312" w:cs="仿宋_GB2312"/>
          <w:b/>
          <w:color w:val="auto"/>
          <w:kern w:val="0"/>
          <w:sz w:val="32"/>
          <w:szCs w:val="32"/>
          <w:lang w:val="en-US" w:eastAsia="zh-CN"/>
        </w:rPr>
        <w:t>十六</w:t>
      </w:r>
      <w:r>
        <w:rPr>
          <w:rFonts w:hint="eastAsia" w:ascii="仿宋_GB2312" w:hAnsi="仿宋_GB2312" w:eastAsia="仿宋_GB2312" w:cs="仿宋_GB2312"/>
          <w:b/>
          <w:color w:val="auto"/>
          <w:kern w:val="0"/>
          <w:sz w:val="32"/>
          <w:szCs w:val="32"/>
        </w:rPr>
        <w:t>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各级消防救援机构作出行政处罚决定前，应当告知当事人拟作出行政处罚的内容及事实、理由、依据，并告知当事人依法享有陈述、申辩、要求听证等权利。</w:t>
      </w:r>
    </w:p>
    <w:p>
      <w:pPr>
        <w:adjustRightInd w:val="0"/>
        <w:snapToGrid w:val="0"/>
        <w:spacing w:line="594"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对符合听证条件的，应当告知当事人依法享有要求听证的权利。当事人在法定期限内要求听证的，应当组织听证。</w:t>
      </w:r>
    </w:p>
    <w:p>
      <w:pPr>
        <w:spacing w:line="594" w:lineRule="exact"/>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第十</w:t>
      </w:r>
      <w:r>
        <w:rPr>
          <w:rFonts w:hint="eastAsia" w:ascii="仿宋_GB2312" w:hAnsi="仿宋_GB2312" w:cs="仿宋_GB2312"/>
          <w:b/>
          <w:color w:val="auto"/>
          <w:kern w:val="0"/>
          <w:sz w:val="32"/>
          <w:szCs w:val="32"/>
          <w:lang w:val="en-US" w:eastAsia="zh-CN"/>
        </w:rPr>
        <w:t>七</w:t>
      </w:r>
      <w:r>
        <w:rPr>
          <w:rFonts w:hint="eastAsia" w:ascii="仿宋_GB2312" w:hAnsi="仿宋_GB2312" w:eastAsia="仿宋_GB2312" w:cs="仿宋_GB2312"/>
          <w:b/>
          <w:color w:val="auto"/>
          <w:kern w:val="0"/>
          <w:sz w:val="32"/>
          <w:szCs w:val="32"/>
        </w:rPr>
        <w:t>条</w:t>
      </w:r>
      <w:r>
        <w:rPr>
          <w:rFonts w:hint="eastAsia" w:ascii="仿宋_GB2312" w:hAnsi="仿宋_GB2312" w:eastAsia="仿宋_GB2312" w:cs="仿宋_GB2312"/>
          <w:color w:val="auto"/>
          <w:kern w:val="0"/>
          <w:sz w:val="32"/>
          <w:szCs w:val="32"/>
        </w:rPr>
        <w:t xml:space="preserve">  </w:t>
      </w:r>
      <w:bookmarkStart w:id="5" w:name="OLE_LINK4"/>
      <w:r>
        <w:rPr>
          <w:rFonts w:hint="eastAsia" w:ascii="仿宋_GB2312" w:hAnsi="仿宋_GB2312" w:eastAsia="仿宋_GB2312" w:cs="仿宋_GB2312"/>
          <w:color w:val="auto"/>
          <w:sz w:val="32"/>
          <w:szCs w:val="32"/>
        </w:rPr>
        <w:t>各级消防救援机构在查处违法行为过程中，发现需要移送有关主管部门处理的事项，应当依法办理移送。</w:t>
      </w:r>
    </w:p>
    <w:p>
      <w:pPr>
        <w:spacing w:line="594"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第十</w:t>
      </w:r>
      <w:r>
        <w:rPr>
          <w:rFonts w:hint="eastAsia" w:ascii="仿宋_GB2312" w:hAnsi="仿宋_GB2312" w:cs="仿宋_GB2312"/>
          <w:b/>
          <w:color w:val="auto"/>
          <w:sz w:val="32"/>
          <w:szCs w:val="32"/>
          <w:lang w:val="en-US" w:eastAsia="zh-CN"/>
        </w:rPr>
        <w:t>八</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 xml:space="preserve">  市消防救援支队应当加</w:t>
      </w:r>
      <w:bookmarkEnd w:id="5"/>
      <w:r>
        <w:rPr>
          <w:rFonts w:hint="eastAsia" w:ascii="仿宋_GB2312" w:hAnsi="仿宋_GB2312" w:eastAsia="仿宋_GB2312" w:cs="仿宋_GB2312"/>
          <w:color w:val="auto"/>
          <w:sz w:val="32"/>
          <w:szCs w:val="32"/>
        </w:rPr>
        <w:t>强对区消防救援大队和</w:t>
      </w:r>
      <w:r>
        <w:rPr>
          <w:rFonts w:hint="eastAsia" w:ascii="仿宋_GB2312" w:hAnsi="仿宋_GB2312" w:eastAsia="仿宋_GB2312" w:cs="仿宋_GB2312"/>
          <w:color w:val="auto"/>
          <w:sz w:val="32"/>
          <w:szCs w:val="32"/>
          <w:lang w:val="en-US" w:eastAsia="zh-CN"/>
        </w:rPr>
        <w:t>受</w:t>
      </w:r>
      <w:r>
        <w:rPr>
          <w:rFonts w:hint="eastAsia" w:ascii="仿宋_GB2312" w:hAnsi="仿宋_GB2312" w:eastAsia="仿宋_GB2312" w:cs="仿宋_GB2312"/>
          <w:color w:val="auto"/>
          <w:sz w:val="32"/>
          <w:szCs w:val="32"/>
        </w:rPr>
        <w:t>委托的执法主体行政处罚裁量权行使情况的监督，发现区消防救援大队和</w:t>
      </w:r>
      <w:r>
        <w:rPr>
          <w:rFonts w:hint="eastAsia" w:ascii="仿宋_GB2312" w:hAnsi="仿宋_GB2312" w:eastAsia="仿宋_GB2312" w:cs="仿宋_GB2312"/>
          <w:color w:val="auto"/>
          <w:sz w:val="32"/>
          <w:szCs w:val="32"/>
          <w:lang w:val="en-US" w:eastAsia="zh-CN"/>
        </w:rPr>
        <w:t>受</w:t>
      </w:r>
      <w:r>
        <w:rPr>
          <w:rFonts w:hint="eastAsia" w:ascii="仿宋_GB2312" w:hAnsi="仿宋_GB2312" w:eastAsia="仿宋_GB2312" w:cs="仿宋_GB2312"/>
          <w:color w:val="auto"/>
          <w:sz w:val="32"/>
          <w:szCs w:val="32"/>
        </w:rPr>
        <w:t>委托的执法主体存在违法或不当行使行政处罚裁量权行为的，应当责令纠正。</w:t>
      </w:r>
    </w:p>
    <w:p>
      <w:pPr>
        <w:spacing w:line="594"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第十</w:t>
      </w:r>
      <w:r>
        <w:rPr>
          <w:rFonts w:hint="eastAsia" w:ascii="仿宋_GB2312" w:hAnsi="仿宋_GB2312" w:cs="仿宋_GB2312"/>
          <w:b/>
          <w:color w:val="auto"/>
          <w:sz w:val="32"/>
          <w:szCs w:val="32"/>
          <w:lang w:val="en-US" w:eastAsia="zh-CN"/>
        </w:rPr>
        <w:t>九</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 xml:space="preserve">  各级消防执法人员违反</w:t>
      </w:r>
      <w:r>
        <w:rPr>
          <w:rFonts w:hint="eastAsia" w:ascii="仿宋_GB2312" w:hAnsi="仿宋_GB2312" w:cs="仿宋_GB2312"/>
          <w:color w:val="auto"/>
          <w:sz w:val="32"/>
          <w:szCs w:val="32"/>
          <w:lang w:eastAsia="zh-CN"/>
        </w:rPr>
        <w:t>《裁量</w:t>
      </w:r>
      <w:r>
        <w:rPr>
          <w:rFonts w:hint="eastAsia" w:ascii="仿宋_GB2312" w:hAnsi="仿宋_GB2312" w:cs="仿宋_GB2312"/>
          <w:color w:val="auto"/>
          <w:sz w:val="32"/>
          <w:szCs w:val="32"/>
          <w:lang w:val="en-US" w:eastAsia="zh-CN"/>
        </w:rPr>
        <w:t>权</w:t>
      </w:r>
      <w:r>
        <w:rPr>
          <w:rFonts w:hint="eastAsia" w:ascii="仿宋_GB2312" w:hAnsi="仿宋_GB2312" w:cs="仿宋_GB2312"/>
          <w:color w:val="auto"/>
          <w:sz w:val="32"/>
          <w:szCs w:val="32"/>
          <w:lang w:eastAsia="zh-CN"/>
        </w:rPr>
        <w:t>基准》</w:t>
      </w:r>
      <w:r>
        <w:rPr>
          <w:rFonts w:hint="eastAsia" w:ascii="仿宋_GB2312" w:hAnsi="仿宋_GB2312" w:eastAsia="仿宋_GB2312" w:cs="仿宋_GB2312"/>
          <w:color w:val="auto"/>
          <w:sz w:val="32"/>
          <w:szCs w:val="32"/>
        </w:rPr>
        <w:t>行使行政处罚裁量权的，应当及时予以纠正，情节严重的，依照有关规定追究责任。</w:t>
      </w:r>
    </w:p>
    <w:p>
      <w:pPr>
        <w:pStyle w:val="2"/>
        <w:ind w:left="0" w:leftChars="0" w:firstLine="0" w:firstLineChars="0"/>
        <w:rPr>
          <w:rFonts w:hint="default" w:eastAsia="仿宋_GB2312"/>
          <w:lang w:val="en-US" w:eastAsia="zh-CN"/>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b/>
          <w:color w:val="auto"/>
          <w:kern w:val="2"/>
          <w:sz w:val="32"/>
          <w:szCs w:val="32"/>
          <w:lang w:val="en-US" w:eastAsia="zh-CN" w:bidi="ar-SA"/>
        </w:rPr>
        <w:t>第二十条</w:t>
      </w:r>
      <w:r>
        <w:rPr>
          <w:rFonts w:hint="eastAsia" w:ascii="仿宋_GB2312" w:hAnsi="仿宋_GB2312" w:eastAsia="仿宋_GB2312" w:cs="仿宋_GB2312"/>
          <w:color w:val="auto"/>
          <w:sz w:val="32"/>
          <w:szCs w:val="32"/>
        </w:rPr>
        <w:t xml:space="preserve">  </w:t>
      </w:r>
      <w:r>
        <w:rPr>
          <w:rFonts w:hint="default" w:ascii="仿宋_GB2312" w:hAnsi="仿宋_GB2312" w:eastAsia="仿宋_GB2312" w:cs="仿宋_GB2312"/>
          <w:color w:val="auto"/>
          <w:kern w:val="2"/>
          <w:sz w:val="32"/>
          <w:szCs w:val="32"/>
          <w:lang w:val="en-US" w:eastAsia="zh-CN" w:bidi="ar-SA"/>
        </w:rPr>
        <w:t>除有特别说明以外，</w:t>
      </w:r>
      <w:r>
        <w:rPr>
          <w:rFonts w:hint="eastAsia" w:ascii="仿宋_GB2312" w:hAnsi="仿宋_GB2312" w:cs="仿宋_GB2312"/>
          <w:color w:val="auto"/>
          <w:sz w:val="32"/>
          <w:szCs w:val="32"/>
          <w:lang w:eastAsia="zh-CN"/>
        </w:rPr>
        <w:t>《裁量</w:t>
      </w:r>
      <w:r>
        <w:rPr>
          <w:rFonts w:hint="eastAsia" w:ascii="仿宋_GB2312" w:hAnsi="仿宋_GB2312" w:cs="仿宋_GB2312"/>
          <w:color w:val="auto"/>
          <w:sz w:val="32"/>
          <w:szCs w:val="32"/>
          <w:lang w:val="en-US" w:eastAsia="zh-CN"/>
        </w:rPr>
        <w:t>权</w:t>
      </w:r>
      <w:r>
        <w:rPr>
          <w:rFonts w:hint="eastAsia" w:ascii="仿宋_GB2312" w:hAnsi="仿宋_GB2312" w:cs="仿宋_GB2312"/>
          <w:color w:val="auto"/>
          <w:sz w:val="32"/>
          <w:szCs w:val="32"/>
          <w:lang w:eastAsia="zh-CN"/>
        </w:rPr>
        <w:t>基准》</w:t>
      </w:r>
      <w:r>
        <w:rPr>
          <w:rFonts w:hint="eastAsia" w:ascii="仿宋_GB2312" w:hAnsi="仿宋_GB2312" w:cs="仿宋_GB2312"/>
          <w:color w:val="auto"/>
          <w:sz w:val="32"/>
          <w:szCs w:val="32"/>
          <w:lang w:val="en-US" w:eastAsia="zh-CN"/>
        </w:rPr>
        <w:t>第二部分</w:t>
      </w:r>
      <w:r>
        <w:rPr>
          <w:rFonts w:hint="eastAsia" w:ascii="仿宋_GB2312" w:hAnsi="仿宋_GB2312" w:eastAsia="仿宋_GB2312" w:cs="仿宋_GB2312"/>
          <w:color w:val="auto"/>
          <w:kern w:val="2"/>
          <w:sz w:val="32"/>
          <w:szCs w:val="32"/>
          <w:lang w:val="en-US" w:eastAsia="zh-CN" w:bidi="ar-SA"/>
        </w:rPr>
        <w:t>处罚依据中的“以上”“以下”均包含本数</w:t>
      </w:r>
      <w:r>
        <w:rPr>
          <w:rFonts w:hint="eastAsia" w:ascii="仿宋_GB2312" w:hAnsi="仿宋_GB2312" w:cs="仿宋_GB2312"/>
          <w:color w:val="auto"/>
          <w:kern w:val="2"/>
          <w:sz w:val="32"/>
          <w:szCs w:val="32"/>
          <w:lang w:val="en-US" w:eastAsia="zh-CN" w:bidi="ar-SA"/>
        </w:rPr>
        <w:t>；</w:t>
      </w:r>
      <w:r>
        <w:rPr>
          <w:rFonts w:hint="eastAsia" w:ascii="仿宋_GB2312" w:hAnsi="仿宋_GB2312" w:cs="仿宋_GB2312"/>
          <w:color w:val="auto"/>
          <w:sz w:val="32"/>
          <w:szCs w:val="32"/>
          <w:lang w:val="en-US" w:eastAsia="zh-CN"/>
        </w:rPr>
        <w:t>“违法情节及具体情节”中</w:t>
      </w:r>
      <w:r>
        <w:rPr>
          <w:rFonts w:hint="default" w:ascii="仿宋_GB2312" w:hAnsi="仿宋_GB2312" w:eastAsia="仿宋_GB2312" w:cs="仿宋_GB2312"/>
          <w:color w:val="auto"/>
          <w:kern w:val="2"/>
          <w:sz w:val="32"/>
          <w:szCs w:val="32"/>
          <w:lang w:val="en-US" w:eastAsia="zh-CN" w:bidi="ar-SA"/>
        </w:rPr>
        <w:t>的“以上”含本数，“以下”不含本数；“超过”不含本数，“不超过”含本数。</w:t>
      </w:r>
    </w:p>
    <w:p>
      <w:pPr>
        <w:spacing w:line="594" w:lineRule="exact"/>
        <w:ind w:firstLine="643" w:firstLineChars="200"/>
        <w:rPr>
          <w:rFonts w:hint="eastAsia" w:ascii="仿宋_GB2312" w:hAnsi="仿宋_GB2312" w:eastAsia="仿宋_GB2312" w:cs="仿宋_GB2312"/>
          <w:color w:val="auto"/>
          <w:sz w:val="32"/>
          <w:szCs w:val="32"/>
          <w:lang w:eastAsia="zh-CN"/>
        </w:rPr>
        <w:sectPr>
          <w:footerReference r:id="rId6"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b/>
          <w:color w:val="auto"/>
          <w:sz w:val="32"/>
          <w:szCs w:val="32"/>
        </w:rPr>
        <w:t>第</w:t>
      </w:r>
      <w:r>
        <w:rPr>
          <w:rFonts w:hint="eastAsia" w:ascii="仿宋_GB2312" w:hAnsi="仿宋_GB2312" w:cs="仿宋_GB2312"/>
          <w:b/>
          <w:color w:val="auto"/>
          <w:sz w:val="32"/>
          <w:szCs w:val="32"/>
          <w:lang w:val="en-US" w:eastAsia="zh-CN"/>
        </w:rPr>
        <w:t>二十一</w:t>
      </w:r>
      <w:r>
        <w:rPr>
          <w:rFonts w:hint="eastAsia" w:ascii="仿宋_GB2312" w:hAnsi="仿宋_GB2312" w:eastAsia="仿宋_GB2312" w:cs="仿宋_GB2312"/>
          <w:b/>
          <w:color w:val="auto"/>
          <w:sz w:val="32"/>
          <w:szCs w:val="32"/>
        </w:rPr>
        <w:t xml:space="preserve">条 </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eastAsia="zh-CN"/>
        </w:rPr>
        <w:t>《裁量</w:t>
      </w:r>
      <w:r>
        <w:rPr>
          <w:rFonts w:hint="eastAsia" w:ascii="仿宋_GB2312" w:hAnsi="仿宋_GB2312" w:cs="仿宋_GB2312"/>
          <w:color w:val="auto"/>
          <w:sz w:val="32"/>
          <w:szCs w:val="32"/>
          <w:lang w:val="en-US" w:eastAsia="zh-CN"/>
        </w:rPr>
        <w:t>权</w:t>
      </w:r>
      <w:r>
        <w:rPr>
          <w:rFonts w:hint="eastAsia" w:ascii="仿宋_GB2312" w:hAnsi="仿宋_GB2312" w:cs="仿宋_GB2312"/>
          <w:color w:val="auto"/>
          <w:sz w:val="32"/>
          <w:szCs w:val="32"/>
          <w:lang w:eastAsia="zh-CN"/>
        </w:rPr>
        <w:t>基准》</w:t>
      </w:r>
      <w:r>
        <w:rPr>
          <w:rFonts w:hint="eastAsia" w:ascii="仿宋_GB2312" w:hAnsi="仿宋_GB2312" w:eastAsia="仿宋_GB2312" w:cs="仿宋_GB2312"/>
          <w:color w:val="auto"/>
          <w:sz w:val="32"/>
          <w:szCs w:val="32"/>
        </w:rPr>
        <w:t>自</w:t>
      </w:r>
      <w:r>
        <w:rPr>
          <w:rFonts w:hint="eastAsia" w:ascii="仿宋_GB2312" w:hAnsi="仿宋_GB2312" w:cs="仿宋_GB2312"/>
          <w:color w:val="auto"/>
          <w:sz w:val="32"/>
          <w:szCs w:val="32"/>
          <w:highlight w:val="none"/>
          <w:lang w:val="en-US" w:eastAsia="zh-CN"/>
        </w:rPr>
        <w:t>2026年4月1日</w:t>
      </w:r>
      <w:r>
        <w:rPr>
          <w:rFonts w:hint="eastAsia" w:ascii="仿宋_GB2312" w:hAnsi="仿宋_GB2312" w:eastAsia="仿宋_GB2312" w:cs="仿宋_GB2312"/>
          <w:color w:val="auto"/>
          <w:sz w:val="32"/>
          <w:szCs w:val="32"/>
        </w:rPr>
        <w:t>起施行，有效期5年</w:t>
      </w:r>
      <w:r>
        <w:rPr>
          <w:rFonts w:hint="eastAsia" w:ascii="仿宋_GB2312" w:hAnsi="仿宋_GB2312" w:cs="仿宋_GB2312"/>
          <w:color w:val="auto"/>
          <w:sz w:val="32"/>
          <w:szCs w:val="32"/>
          <w:lang w:eastAsia="zh-CN"/>
        </w:rPr>
        <w:t>。</w:t>
      </w:r>
    </w:p>
    <w:p>
      <w:pPr>
        <w:spacing w:line="560" w:lineRule="exact"/>
        <w:ind w:left="0" w:leftChars="0" w:firstLine="0" w:firstLineChars="0"/>
        <w:rPr>
          <w:sz w:val="32"/>
          <w:szCs w:val="32"/>
        </w:rPr>
      </w:pPr>
    </w:p>
    <w:p>
      <w:pPr>
        <w:pStyle w:val="5"/>
        <w:bidi w:val="0"/>
        <w:rPr>
          <w:rFonts w:hint="eastAsia"/>
          <w:color w:val="000000" w:themeColor="text1"/>
          <w:highlight w:val="none"/>
          <w:lang w:val="en-US" w:eastAsia="zh-CN"/>
          <w14:textFill>
            <w14:solidFill>
              <w14:schemeClr w14:val="tx1"/>
            </w14:solidFill>
          </w14:textFill>
        </w:rPr>
      </w:pPr>
      <w:bookmarkStart w:id="6" w:name="_Toc23694"/>
      <w:r>
        <w:rPr>
          <w:rFonts w:hint="eastAsia"/>
          <w:color w:val="000000" w:themeColor="text1"/>
          <w:highlight w:val="none"/>
          <w:lang w:val="en-US" w:eastAsia="zh-CN"/>
          <w14:textFill>
            <w14:solidFill>
              <w14:schemeClr w14:val="tx1"/>
            </w14:solidFill>
          </w14:textFill>
        </w:rPr>
        <w:t>第二部分 《深圳经济特区消防条例》裁量基准细则</w:t>
      </w:r>
      <w:bookmarkEnd w:id="3"/>
      <w:bookmarkEnd w:id="6"/>
    </w:p>
    <w:tbl>
      <w:tblPr>
        <w:tblStyle w:val="15"/>
        <w:tblW w:w="2038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8"/>
        <w:gridCol w:w="1940"/>
        <w:gridCol w:w="3633"/>
        <w:gridCol w:w="3793"/>
        <w:gridCol w:w="828"/>
        <w:gridCol w:w="5294"/>
        <w:gridCol w:w="4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blHeader/>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序号</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违法行为</w:t>
            </w:r>
          </w:p>
        </w:tc>
        <w:tc>
          <w:tcPr>
            <w:tcW w:w="3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法律规定</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处罚依据</w:t>
            </w:r>
          </w:p>
        </w:tc>
        <w:tc>
          <w:tcPr>
            <w:tcW w:w="6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违法情节及具体情形</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量罚幅度</w:t>
            </w:r>
            <w:r>
              <w:rPr>
                <w:rFonts w:hint="eastAsia" w:ascii="方正黑体_GBK" w:hAnsi="方正黑体_GBK" w:eastAsia="方正黑体_GBK" w:cs="方正黑体_GBK"/>
                <w:i w:val="0"/>
                <w:iCs w:val="0"/>
                <w:color w:val="auto"/>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auto"/>
                <w:kern w:val="0"/>
                <w:sz w:val="24"/>
                <w:szCs w:val="24"/>
                <w:highlight w:val="none"/>
                <w:u w:val="none"/>
                <w:lang w:val="en-US" w:eastAsia="zh-CN" w:bidi="ar"/>
              </w:rPr>
              <w:t>(×为具体罚款金额）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cs="仿宋_GB2312"/>
                <w:i w:val="0"/>
                <w:iCs w:val="0"/>
                <w:color w:val="auto"/>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bidi w:val="0"/>
              <w:rPr>
                <w:rFonts w:hint="eastAsia" w:ascii="仿宋_GB2312" w:hAnsi="仿宋_GB2312" w:eastAsia="仿宋_GB2312" w:cs="仿宋_GB2312"/>
                <w:i w:val="0"/>
                <w:iCs w:val="0"/>
                <w:color w:val="auto"/>
                <w:szCs w:val="24"/>
                <w:highlight w:val="none"/>
                <w:u w:val="none"/>
              </w:rPr>
            </w:pPr>
            <w:bookmarkStart w:id="7" w:name="_Toc10650"/>
            <w:bookmarkStart w:id="8" w:name="_Toc19389"/>
            <w:r>
              <w:rPr>
                <w:rFonts w:hint="eastAsia" w:ascii="仿宋_GB2312" w:hAnsi="仿宋_GB2312" w:eastAsia="仿宋_GB2312" w:cs="仿宋_GB2312"/>
                <w:color w:val="auto"/>
                <w:highlight w:val="none"/>
                <w:lang w:val="en-US" w:eastAsia="zh-CN"/>
              </w:rPr>
              <w:t>消防设施、器材或者消防安全标志的配置、设置不符合国家标准、行业标准的</w:t>
            </w:r>
            <w:bookmarkEnd w:id="7"/>
            <w:bookmarkEnd w:id="8"/>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《深圳经济特区消防条例》第十八条第一款第二项</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单位履行下列消防安全职责：</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（二）按照国家标准、行业标准配置消防设施、器材，设置消防安全标志，并定期组织检验、维修，确保完好有效；</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《深圳经济特区消防条例》第九十四条第一款第一项</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单位违反本条例规定，有下列行为之一的，由消防救援机构责令改正，处五千元以上五万元以下罚款；情节严重的，处五万元以上十万元以下罚款：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（一）消防设施、器材或者消防安全标志的配置、设置不符合国家标准、行业标准，或者未保持完好有效的；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疏散楼梯、安全出口设置的形式或者数量不符合工程建设消防技术标准要求的。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4.1万元≤×≤5万元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按标准应当设置而未设置火灾自动报警系统、自动灭火系统、消火栓系统、防烟排烟系统以及应急照明和疏散指示系统的。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3.2万元≤×＜4.1万元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1.按标准应当设置而未设置的消防设施类别，3类以上的；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2.按标准应当设置而未设置或者设置不符合标准要求的消防设施数量占该类应设总数量10%以上的。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2.3万元≤×＜3.2万元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7"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1.按标准应当设置而未设置的消防设施类别，2类的；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2.按标准应当设置而未设置或者设置不符合标准要求的消防设施数量占该类应设总数量10%以下的。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3.按标准应当设置而未设置或者设置不符合标准要求的消防器材或消防安全标志数量占该类应设总数量的50%以上的；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1.4万元≤×＜2.3万元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1.按标准应当设置而未设置的消防设施类别1类，或者其他情形的。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2.按标准应当设置而未设置或者设置不符合标准要求的消防器材或消防安全标志数量占该类应设总数量的50%以下的。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5000元≤×＜1.4万元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1.当事人存在</w:t>
            </w:r>
            <w:r>
              <w:rPr>
                <w:rFonts w:hint="eastAsia" w:ascii="仿宋_GB2312" w:hAnsi="仿宋_GB2312" w:cs="仿宋_GB2312"/>
                <w:i w:val="0"/>
                <w:iCs w:val="0"/>
                <w:color w:val="auto"/>
                <w:kern w:val="0"/>
                <w:sz w:val="24"/>
                <w:szCs w:val="24"/>
                <w:highlight w:val="none"/>
                <w:u w:val="none"/>
                <w:lang w:val="en-US" w:eastAsia="zh-CN" w:bidi="ar"/>
              </w:rPr>
              <w:t>适用</w:t>
            </w:r>
            <w:r>
              <w:rPr>
                <w:rFonts w:hint="eastAsia" w:ascii="仿宋_GB2312" w:hAnsi="仿宋_GB2312" w:eastAsia="仿宋_GB2312" w:cs="仿宋_GB2312"/>
                <w:i w:val="0"/>
                <w:iCs w:val="0"/>
                <w:color w:val="auto"/>
                <w:kern w:val="0"/>
                <w:sz w:val="24"/>
                <w:szCs w:val="24"/>
                <w:highlight w:val="none"/>
                <w:u w:val="none"/>
                <w:lang w:val="en-US" w:eastAsia="zh-CN" w:bidi="ar"/>
              </w:rPr>
              <w:t>同一责任条款的两个以上的违法行为，分别对应不同违法情节时，应当选择并存情形中较为严重的情节，拟制为一个违法行为处罚即可。例如同一场所，1类消防设施未保持完好有效和3类消防设施未按标准设置同时存在时，两个违法行为分别裁量，1类消防设施未保持完好有效判定为轻微，3类消防设施未按照标设置判定为一般时，仅按照消防设施未按照标</w:t>
            </w:r>
            <w:r>
              <w:rPr>
                <w:rFonts w:hint="eastAsia" w:ascii="仿宋_GB2312" w:hAnsi="仿宋_GB2312" w:cs="仿宋_GB2312"/>
                <w:i w:val="0"/>
                <w:iCs w:val="0"/>
                <w:color w:val="auto"/>
                <w:kern w:val="0"/>
                <w:sz w:val="24"/>
                <w:szCs w:val="24"/>
                <w:highlight w:val="none"/>
                <w:u w:val="none"/>
                <w:lang w:val="en-US" w:eastAsia="zh-CN" w:bidi="ar"/>
              </w:rPr>
              <w:t>准</w:t>
            </w:r>
            <w:r>
              <w:rPr>
                <w:rFonts w:hint="eastAsia" w:ascii="仿宋_GB2312" w:hAnsi="仿宋_GB2312" w:eastAsia="仿宋_GB2312" w:cs="仿宋_GB2312"/>
                <w:i w:val="0"/>
                <w:iCs w:val="0"/>
                <w:color w:val="auto"/>
                <w:kern w:val="0"/>
                <w:sz w:val="24"/>
                <w:szCs w:val="24"/>
                <w:highlight w:val="none"/>
                <w:u w:val="none"/>
                <w:lang w:val="en-US" w:eastAsia="zh-CN" w:bidi="ar"/>
              </w:rPr>
              <w:t>设置，违法情节一般处罚即可。</w:t>
            </w:r>
          </w:p>
          <w:p>
            <w:pPr>
              <w:pStyle w:val="2"/>
              <w:ind w:left="0" w:leftChars="0" w:firstLine="0" w:firstLineChars="0"/>
              <w:rPr>
                <w:rFonts w:hint="eastAsia" w:ascii="仿宋_GB2312" w:hAnsi="仿宋_GB2312" w:cs="仿宋_GB2312"/>
                <w:color w:val="auto"/>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2.该案由中设置不符合标准的消防设施、器材、消防安全标志所占的比例是指在整个系统中所占比例，并非占自身场所设置数量的比重。</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3.因该项违法行为直接引起1人以上死亡、3人以上重伤、受灾10户以上或者过火面积1000平方米以上的火灾事故，可以适用本条罚则中规定的情节严重处罚，</w:t>
            </w:r>
            <w:r>
              <w:rPr>
                <w:rFonts w:hint="eastAsia" w:ascii="仿宋_GB2312" w:hAnsi="仿宋_GB2312" w:eastAsia="仿宋_GB2312" w:cs="仿宋_GB2312"/>
                <w:i w:val="0"/>
                <w:iCs w:val="0"/>
                <w:color w:val="auto"/>
                <w:kern w:val="0"/>
                <w:sz w:val="24"/>
                <w:szCs w:val="24"/>
                <w:highlight w:val="none"/>
                <w:u w:val="none"/>
                <w:lang w:bidi="ar"/>
              </w:rPr>
              <w:t>处五万元以上十万元以下罚款</w:t>
            </w: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cs="仿宋_GB2312"/>
                <w:i w:val="0"/>
                <w:iCs w:val="0"/>
                <w:color w:val="auto"/>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bidi w:val="0"/>
              <w:rPr>
                <w:rFonts w:hint="eastAsia" w:ascii="仿宋_GB2312" w:hAnsi="仿宋_GB2312" w:eastAsia="仿宋_GB2312" w:cs="仿宋_GB2312"/>
                <w:i w:val="0"/>
                <w:iCs w:val="0"/>
                <w:color w:val="auto"/>
                <w:szCs w:val="24"/>
                <w:highlight w:val="none"/>
                <w:u w:val="none"/>
              </w:rPr>
            </w:pPr>
            <w:bookmarkStart w:id="9" w:name="_Toc8595"/>
            <w:bookmarkStart w:id="10" w:name="_Toc4944"/>
            <w:r>
              <w:rPr>
                <w:rFonts w:hint="eastAsia" w:ascii="仿宋_GB2312" w:hAnsi="仿宋_GB2312" w:eastAsia="仿宋_GB2312" w:cs="仿宋_GB2312"/>
                <w:color w:val="auto"/>
                <w:highlight w:val="none"/>
                <w:lang w:val="en-US" w:eastAsia="zh-CN"/>
              </w:rPr>
              <w:t>消防设施、器材或者消防安全标志未保持完好有效的</w:t>
            </w:r>
            <w:bookmarkEnd w:id="9"/>
            <w:bookmarkEnd w:id="10"/>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《深圳经济特区消防条例》第十八条第一款第二项</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单位履行下列消防安全职责：</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（二）按照国家标准、行业标准配置消防设施、器材，设置消防安全标志，并定期组织检验、维修，确保完好有效；</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《深圳经济特区消防条例》第九十四条第一款第一项</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单位违反本条例规定，有下列行为之一的，由消防救援机构责令改正，处五千元以上五万元以下罚款；情节严重的，处五万元以上十万元以下罚款：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（一）消防设施、器材或者消防安全标志的配置、设置不符合国家标准、行业标准，或者未保持完好有效的；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1.火灾自动报警系统、自动灭火系统、消火栓系统、防烟排烟系统严重损坏或者瘫痪，无法使用的。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2.防火门、防火卷帘等防火分隔设施损坏率达到90%以上或者瘫痪，无法使用的。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4.1万元≤×≤5万元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textAlignment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1.未保持完好有效的消防设施类别，5类以上的。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2.防火卷帘、防火门损坏率达到70%以上90%以下的；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3.2万元≤×＜4.1万元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textAlignment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1.未保持完好有效的单类消防设施数量占此类总数量10%以上，但不影响系统整体运行的；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2.未保持完好有效的消防设施类别，3类以上5类以下的。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3.防火卷帘、防火门损坏率达到30%以上70%以下的；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2.3万元≤×＜3.2万元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textAlignment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1.未保持完好有效的单类消防设施数量占此类总数量的10%以下的，但不影响系统整体运行的；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2.未保持完好有效的消防设施类别，2类的。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3.防火卷帘、防火门损坏率达到15%以上30%以下的；</w:t>
            </w:r>
          </w:p>
          <w:p>
            <w:pPr>
              <w:pStyle w:val="2"/>
              <w:ind w:left="0" w:leftChars="0" w:firstLine="0" w:firstLineChars="0"/>
              <w:rPr>
                <w:rFonts w:hint="eastAsia"/>
              </w:rPr>
            </w:pPr>
            <w:r>
              <w:rPr>
                <w:rFonts w:hint="eastAsia" w:ascii="仿宋_GB2312" w:hAnsi="仿宋_GB2312" w:eastAsia="仿宋_GB2312" w:cs="仿宋_GB2312"/>
                <w:i w:val="0"/>
                <w:iCs w:val="0"/>
                <w:color w:val="auto"/>
                <w:kern w:val="0"/>
                <w:sz w:val="24"/>
                <w:szCs w:val="24"/>
                <w:highlight w:val="none"/>
                <w:u w:val="none"/>
                <w:lang w:val="en-US" w:eastAsia="zh-CN" w:bidi="ar"/>
              </w:rPr>
              <w:t>4.未保持完好有效的消防器材或消防安全标志数量占该类</w:t>
            </w:r>
            <w:r>
              <w:rPr>
                <w:rFonts w:hint="eastAsia" w:ascii="仿宋_GB2312" w:hAnsi="仿宋_GB2312" w:cs="仿宋_GB2312"/>
                <w:i w:val="0"/>
                <w:iCs w:val="0"/>
                <w:color w:val="auto"/>
                <w:kern w:val="0"/>
                <w:sz w:val="24"/>
                <w:szCs w:val="24"/>
                <w:highlight w:val="none"/>
                <w:u w:val="none"/>
                <w:lang w:val="en-US" w:eastAsia="zh-CN" w:bidi="ar"/>
              </w:rPr>
              <w:t>设置</w:t>
            </w:r>
            <w:r>
              <w:rPr>
                <w:rFonts w:hint="eastAsia" w:ascii="仿宋_GB2312" w:hAnsi="仿宋_GB2312" w:eastAsia="仿宋_GB2312" w:cs="仿宋_GB2312"/>
                <w:i w:val="0"/>
                <w:iCs w:val="0"/>
                <w:color w:val="auto"/>
                <w:kern w:val="0"/>
                <w:sz w:val="24"/>
                <w:szCs w:val="24"/>
                <w:highlight w:val="none"/>
                <w:u w:val="none"/>
                <w:lang w:val="en-US" w:eastAsia="zh-CN" w:bidi="ar"/>
              </w:rPr>
              <w:t>总数量的50%以上的。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1.4万元≤×＜2.3万元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textAlignment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1.未保持完好有效的消防设施类别1类，或者其他情形的。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2.防火卷帘、防火门损坏率达到15%以下的；</w:t>
            </w:r>
          </w:p>
          <w:p>
            <w:pPr>
              <w:pStyle w:val="2"/>
              <w:ind w:left="0" w:leftChars="0" w:firstLine="0" w:firstLineChars="0"/>
              <w:rPr>
                <w:rFonts w:hint="eastAsia"/>
              </w:rPr>
            </w:pPr>
            <w:r>
              <w:rPr>
                <w:rFonts w:hint="eastAsia" w:ascii="仿宋_GB2312" w:hAnsi="仿宋_GB2312" w:eastAsia="仿宋_GB2312" w:cs="仿宋_GB2312"/>
                <w:i w:val="0"/>
                <w:iCs w:val="0"/>
                <w:color w:val="auto"/>
                <w:kern w:val="0"/>
                <w:sz w:val="24"/>
                <w:szCs w:val="24"/>
                <w:highlight w:val="none"/>
                <w:u w:val="none"/>
                <w:lang w:val="en-US" w:eastAsia="zh-CN" w:bidi="ar"/>
              </w:rPr>
              <w:t>3.未保持完好有效的消防器材或消防安全标志数量占该类</w:t>
            </w:r>
            <w:r>
              <w:rPr>
                <w:rFonts w:hint="eastAsia" w:ascii="仿宋_GB2312" w:hAnsi="仿宋_GB2312" w:cs="仿宋_GB2312"/>
                <w:i w:val="0"/>
                <w:iCs w:val="0"/>
                <w:color w:val="auto"/>
                <w:kern w:val="0"/>
                <w:sz w:val="24"/>
                <w:szCs w:val="24"/>
                <w:highlight w:val="none"/>
                <w:u w:val="none"/>
                <w:lang w:val="en-US" w:eastAsia="zh-CN" w:bidi="ar"/>
              </w:rPr>
              <w:t>设置</w:t>
            </w:r>
            <w:r>
              <w:rPr>
                <w:rFonts w:hint="eastAsia" w:ascii="仿宋_GB2312" w:hAnsi="仿宋_GB2312" w:eastAsia="仿宋_GB2312" w:cs="仿宋_GB2312"/>
                <w:i w:val="0"/>
                <w:iCs w:val="0"/>
                <w:color w:val="auto"/>
                <w:kern w:val="0"/>
                <w:sz w:val="24"/>
                <w:szCs w:val="24"/>
                <w:highlight w:val="none"/>
                <w:u w:val="none"/>
                <w:lang w:val="en-US" w:eastAsia="zh-CN" w:bidi="ar"/>
              </w:rPr>
              <w:t>总数量的50%以下的。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5000元≤×＜1.4万元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9"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both"/>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rPr>
                <w:rFonts w:hint="eastAsia" w:ascii="仿宋_GB2312" w:hAnsi="仿宋_GB2312" w:cs="仿宋_GB2312"/>
                <w:color w:val="auto"/>
                <w:lang w:val="en-US" w:eastAsia="zh-CN"/>
              </w:rPr>
            </w:pPr>
            <w:r>
              <w:rPr>
                <w:rFonts w:hint="eastAsia" w:ascii="仿宋_GB2312" w:hAnsi="仿宋_GB2312" w:cs="仿宋_GB2312"/>
                <w:i w:val="0"/>
                <w:iCs w:val="0"/>
                <w:color w:val="auto"/>
                <w:kern w:val="0"/>
                <w:sz w:val="24"/>
                <w:szCs w:val="24"/>
                <w:highlight w:val="none"/>
                <w:u w:val="none"/>
                <w:lang w:val="en-US" w:eastAsia="zh-CN" w:bidi="ar"/>
              </w:rPr>
              <w:t>1</w:t>
            </w:r>
            <w:r>
              <w:rPr>
                <w:rFonts w:hint="eastAsia" w:ascii="仿宋_GB2312" w:hAnsi="仿宋_GB2312" w:eastAsia="仿宋_GB2312" w:cs="仿宋_GB2312"/>
                <w:i w:val="0"/>
                <w:iCs w:val="0"/>
                <w:color w:val="auto"/>
                <w:kern w:val="0"/>
                <w:sz w:val="24"/>
                <w:szCs w:val="24"/>
                <w:highlight w:val="none"/>
                <w:u w:val="none"/>
                <w:lang w:val="en-US" w:eastAsia="zh-CN" w:bidi="ar"/>
              </w:rPr>
              <w:t>.该案由中</w:t>
            </w:r>
            <w:r>
              <w:rPr>
                <w:rFonts w:hint="eastAsia" w:ascii="仿宋_GB2312" w:hAnsi="仿宋_GB2312" w:cs="仿宋_GB2312"/>
                <w:i w:val="0"/>
                <w:iCs w:val="0"/>
                <w:color w:val="auto"/>
                <w:kern w:val="0"/>
                <w:sz w:val="24"/>
                <w:szCs w:val="24"/>
                <w:highlight w:val="none"/>
                <w:u w:val="none"/>
                <w:lang w:val="en-US" w:eastAsia="zh-CN" w:bidi="ar"/>
              </w:rPr>
              <w:t>未保持完好有效</w:t>
            </w:r>
            <w:r>
              <w:rPr>
                <w:rFonts w:hint="eastAsia" w:ascii="仿宋_GB2312" w:hAnsi="仿宋_GB2312" w:eastAsia="仿宋_GB2312" w:cs="仿宋_GB2312"/>
                <w:i w:val="0"/>
                <w:iCs w:val="0"/>
                <w:color w:val="auto"/>
                <w:kern w:val="0"/>
                <w:sz w:val="24"/>
                <w:szCs w:val="24"/>
                <w:highlight w:val="none"/>
                <w:u w:val="none"/>
                <w:lang w:val="en-US" w:eastAsia="zh-CN" w:bidi="ar"/>
              </w:rPr>
              <w:t>的消防设施、器材、消防安全标志所占的比例是指在整个系统中所占比例，并非占自身场所设置数量的比重。</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cs="仿宋_GB2312"/>
                <w:i w:val="0"/>
                <w:iCs w:val="0"/>
                <w:color w:val="auto"/>
                <w:kern w:val="0"/>
                <w:sz w:val="24"/>
                <w:szCs w:val="24"/>
                <w:highlight w:val="none"/>
                <w:u w:val="none"/>
                <w:lang w:val="en-US" w:eastAsia="zh-CN" w:bidi="ar"/>
              </w:rPr>
              <w:t>2.</w:t>
            </w:r>
            <w:r>
              <w:rPr>
                <w:rFonts w:hint="eastAsia" w:ascii="仿宋_GB2312" w:hAnsi="仿宋_GB2312" w:eastAsia="仿宋_GB2312" w:cs="仿宋_GB2312"/>
                <w:i w:val="0"/>
                <w:iCs w:val="0"/>
                <w:color w:val="auto"/>
                <w:kern w:val="0"/>
                <w:sz w:val="24"/>
                <w:szCs w:val="24"/>
                <w:highlight w:val="none"/>
                <w:u w:val="none"/>
                <w:lang w:val="en-US" w:eastAsia="zh-CN" w:bidi="ar"/>
              </w:rPr>
              <w:t>因该项违法行为直接引起1人以上死亡、3人以上重伤、受灾10户以上或者过火面积1000平方米以上的火灾事故，可以适用本条罚则中规定的情节严重处罚，</w:t>
            </w:r>
            <w:r>
              <w:rPr>
                <w:rFonts w:hint="eastAsia" w:ascii="仿宋_GB2312" w:hAnsi="仿宋_GB2312" w:eastAsia="仿宋_GB2312" w:cs="仿宋_GB2312"/>
                <w:i w:val="0"/>
                <w:iCs w:val="0"/>
                <w:color w:val="auto"/>
                <w:kern w:val="0"/>
                <w:sz w:val="24"/>
                <w:szCs w:val="24"/>
                <w:highlight w:val="none"/>
                <w:u w:val="none"/>
                <w:lang w:bidi="ar"/>
              </w:rPr>
              <w:t>处五万元以上十万元以下罚款</w:t>
            </w: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9"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cs="仿宋_GB2312"/>
                <w:i w:val="0"/>
                <w:iCs w:val="0"/>
                <w:color w:val="auto"/>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bidi w:val="0"/>
              <w:jc w:val="left"/>
              <w:rPr>
                <w:rFonts w:hint="eastAsia" w:ascii="仿宋_GB2312" w:hAnsi="仿宋_GB2312" w:eastAsia="仿宋_GB2312" w:cs="仿宋_GB2312"/>
                <w:i w:val="0"/>
                <w:iCs w:val="0"/>
                <w:color w:val="auto"/>
                <w:sz w:val="24"/>
                <w:szCs w:val="24"/>
                <w:highlight w:val="none"/>
                <w:u w:val="none"/>
              </w:rPr>
            </w:pPr>
            <w:bookmarkStart w:id="11" w:name="_Toc4659"/>
            <w:bookmarkStart w:id="12" w:name="_Toc4684"/>
            <w:r>
              <w:rPr>
                <w:rFonts w:hint="eastAsia" w:ascii="仿宋_GB2312" w:hAnsi="仿宋_GB2312" w:eastAsia="仿宋_GB2312" w:cs="仿宋_GB2312"/>
                <w:color w:val="auto"/>
                <w:highlight w:val="none"/>
                <w:lang w:val="en-US" w:eastAsia="zh-CN"/>
              </w:rPr>
              <w:t>损坏、挪用消防设施、器材的</w:t>
            </w:r>
            <w:bookmarkEnd w:id="11"/>
            <w:bookmarkEnd w:id="12"/>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《深圳经济特区消防条例》第四十五条第一款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任何单位和个人不得损坏、挪用或者擅自拆除、停用消防设施、器材，不得埋压、圈占、遮挡消火栓或者占用防火间距，不得占用、堵塞、封闭疏散通道、安全出口、消防车通道。人员密集场所的门窗不得设置影响逃生和灭火救援的障碍物。</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《深圳经济特区消防条例》第九十四条第一款第二项、第二款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bidi="ar"/>
              </w:rPr>
              <w:t>单位违反本条例规定，有下列行为之一的，由消防救援机构责令改正，处五千元以上五万元以下罚款；情节严重的，处五万元以上十万元以下罚款：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bidi="ar"/>
              </w:rPr>
              <w:t>（二）损坏、挪用或者擅自拆除、停用消防设施、器材的；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bidi="ar"/>
              </w:rPr>
              <w:t>个人有前款第二项、第三项、第四项、第五项行为之一的，处警告或者五百元以下罚款。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损坏火灾自动报警系统、自动灭火系统、消火栓系统、防烟排烟系统以及应急广播和应急照明等，导致3类以上系统整体无法正常使用的。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对单位处罚款（4.1万元≤×≤5万元）</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对个人处罚款（350元≤×≤500元）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损坏火灾自动报警系统、自动灭火系统、消火栓系统、防烟排烟系统以及应急广播和应急照明等，导致1类以上3类以下系统整体无法正常使用的。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对单位处罚款（3.2万元≤×＜4.1万元）</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对个人处罚款（200≤×＜350元）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1.损坏火灾自动报警、自动灭火、消火栓、防烟排烟以及应急广播和应急照明等系统组件，导致系统局部无法正常使用的；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2.损坏消防器材，3处以上的；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3.挪用消防设施、器材，4处以上的。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对单位处罚款（2.3万元≤×＜3.2万元）</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对个人处罚款（100元≤×＜200元）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1.损坏火灾自动报警、自动灭火、消火栓、防烟排烟以及应急广播和应急照明等系统组件，不影响系统正常使用的；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2.损坏消防器材，2处的；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3.挪用消防设施、器材，3处的。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对单位处罚款（1.4万元≤×＜2.3万元）</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对个人处罚款（×＜100元）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1.损坏消防器材，1处的；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2.挪用消防设施、器材，1处以上3处以下的。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对单位处罚款（5000元≤×＜1.4万元）</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对个人处警告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因该项违法行为直接引起1人以上死亡、3人以上重伤、受灾10户以上或者过火面积1000平方米以上的火灾事故，可以适用本条罚则中规定的情节严重处罚，</w:t>
            </w:r>
            <w:r>
              <w:rPr>
                <w:rFonts w:hint="eastAsia" w:ascii="仿宋_GB2312" w:hAnsi="仿宋_GB2312" w:eastAsia="仿宋_GB2312" w:cs="仿宋_GB2312"/>
                <w:i w:val="0"/>
                <w:iCs w:val="0"/>
                <w:color w:val="auto"/>
                <w:kern w:val="0"/>
                <w:sz w:val="24"/>
                <w:szCs w:val="24"/>
                <w:highlight w:val="none"/>
                <w:u w:val="none"/>
                <w:lang w:bidi="ar"/>
              </w:rPr>
              <w:t>处五万元以上十万元以下罚款</w:t>
            </w: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cs="仿宋_GB2312"/>
                <w:i w:val="0"/>
                <w:iCs w:val="0"/>
                <w:color w:val="auto"/>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bidi w:val="0"/>
              <w:jc w:val="left"/>
              <w:rPr>
                <w:rFonts w:hint="eastAsia" w:ascii="仿宋_GB2312" w:hAnsi="仿宋_GB2312" w:eastAsia="仿宋_GB2312" w:cs="仿宋_GB2312"/>
                <w:i w:val="0"/>
                <w:iCs w:val="0"/>
                <w:color w:val="auto"/>
                <w:sz w:val="24"/>
                <w:szCs w:val="24"/>
                <w:highlight w:val="none"/>
                <w:u w:val="none"/>
              </w:rPr>
            </w:pPr>
            <w:bookmarkStart w:id="13" w:name="_Toc15131"/>
            <w:bookmarkStart w:id="14" w:name="_Toc5364"/>
            <w:r>
              <w:rPr>
                <w:rFonts w:hint="eastAsia" w:ascii="仿宋_GB2312" w:hAnsi="仿宋_GB2312" w:eastAsia="仿宋_GB2312" w:cs="仿宋_GB2312"/>
                <w:color w:val="auto"/>
                <w:highlight w:val="none"/>
                <w:lang w:val="en-US" w:eastAsia="zh-CN"/>
              </w:rPr>
              <w:t>擅自拆除、停用消防设施、器材的</w:t>
            </w:r>
            <w:bookmarkEnd w:id="13"/>
            <w:bookmarkEnd w:id="14"/>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《深圳经济特区消防条例》第四十五条第一款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任何单位和个人不得损坏、挪用或者擅自拆除、停用消防设施、器材，不得埋压、圈占、遮挡消火栓或者占用防火间距，不得占用、堵塞、封闭疏散通道、安全出口、消防车通道。人员密集场所的门窗不得设置影响逃生和灭火救援的障碍物。</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《深圳经济特区消防条例》第九十四条第一款第二项、第二款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bidi="ar"/>
              </w:rPr>
              <w:t>单位违反本条例规定，有下列行为之一的，由消防救援机构责令改正，处五千元以上五万元以下罚款；情节严重的，处五万元以上十万元以下罚款：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bidi="ar"/>
              </w:rPr>
              <w:t>（二）损坏、挪用或者擅自拆除、停用消防设施、器材的；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bidi="ar"/>
              </w:rPr>
              <w:t>个人有前款第二项、第三项、第四项、第五项行为之一的，处警告或者五百元以下罚款。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擅自拆除、停用火灾自动报警系统、自动灭火系统、消火栓系统、防烟排烟系统以及应急广播和应急照明等，导致3类以上系统整体无法正常使用的。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对单位处罚款（4.1万元≤×≤5万元）</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对个人处罚款（350元≤×≤500元）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擅自拆除、停用火灾自动报警系统、自动灭火系统、消火栓系统、防烟排烟系统以及应急广播和应急照明等，导致1类以上3类以下系统整体无法正常使用的。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对单位处罚款（3.2万元≤×＜4.1万元）</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对个人处罚款（200≤×＜350元）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擅自拆除、停用火灾自动报警、自动灭火、消火栓、防烟排烟以及应急广播和应急照明等系统组件，导致系统局部无法正常使用的。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对单位处罚款（2.3万元≤×＜3.2万元）</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对个人处罚款（100元≤×＜200元）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1.擅自拆除、停用火灾自动报警、自动灭火、消火栓、防烟排烟以及应急广播和应急照明等系统组件，不影响系统正常使用的；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2.擅自拆除、停用消防器材，2处以上的；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3.擅自停用消防设施，2类以上的。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对单位处罚款（1.4万元≤×＜2.3万元）</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对个人处罚款（×＜100元）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1.擅自拆除、停用消防器材，1处的；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2.其他擅自停用消防设施的。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对单位处罚款（5000元≤×＜1.4万元）</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对个人处警告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因该项违法行为直接引起1人以上死亡、3人以上重伤、受灾10户以上或者过火面积1000平方米以上的火灾事故，可以适用本条罚则中规定的情节严重处罚，</w:t>
            </w:r>
            <w:r>
              <w:rPr>
                <w:rFonts w:hint="eastAsia" w:ascii="仿宋_GB2312" w:hAnsi="仿宋_GB2312" w:eastAsia="仿宋_GB2312" w:cs="仿宋_GB2312"/>
                <w:i w:val="0"/>
                <w:iCs w:val="0"/>
                <w:color w:val="auto"/>
                <w:kern w:val="0"/>
                <w:sz w:val="24"/>
                <w:szCs w:val="24"/>
                <w:highlight w:val="none"/>
                <w:u w:val="none"/>
                <w:lang w:bidi="ar"/>
              </w:rPr>
              <w:t>处五万元以上十万元以下罚款</w:t>
            </w: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cs="仿宋_GB2312"/>
                <w:i w:val="0"/>
                <w:iCs w:val="0"/>
                <w:color w:val="auto"/>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bidi w:val="0"/>
              <w:jc w:val="left"/>
              <w:rPr>
                <w:rFonts w:hint="eastAsia" w:ascii="仿宋_GB2312" w:hAnsi="仿宋_GB2312" w:eastAsia="仿宋_GB2312" w:cs="仿宋_GB2312"/>
                <w:i w:val="0"/>
                <w:iCs w:val="0"/>
                <w:color w:val="auto"/>
                <w:sz w:val="24"/>
                <w:szCs w:val="24"/>
                <w:highlight w:val="none"/>
                <w:u w:val="none"/>
              </w:rPr>
            </w:pPr>
            <w:bookmarkStart w:id="15" w:name="_Toc7289"/>
            <w:bookmarkStart w:id="16" w:name="_Toc12889"/>
            <w:r>
              <w:rPr>
                <w:rFonts w:hint="eastAsia" w:ascii="仿宋_GB2312" w:hAnsi="仿宋_GB2312" w:eastAsia="仿宋_GB2312" w:cs="仿宋_GB2312"/>
                <w:color w:val="auto"/>
                <w:highlight w:val="none"/>
                <w:lang w:val="en-US" w:eastAsia="zh-CN"/>
              </w:rPr>
              <w:t>占用、堵塞、封闭疏散通道、安全出口或者有其他妨碍安全疏散行为的</w:t>
            </w:r>
            <w:bookmarkEnd w:id="15"/>
            <w:bookmarkEnd w:id="16"/>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《深圳经济特区消防条例》第四十五条第一款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任何单位和个人不得损坏、挪用或者擅自拆除、停用消防设施、器材，不得埋压、圈占、遮挡消火栓或者占用防火间距，不得占用、堵塞、封闭疏散通道、安全出口、消防车通道。人员密集场所的门窗不得设置影响逃生和灭火救援的障碍物。</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《深圳经济特区消防条例》第九十四条第一款第三项、第二款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bidi="ar"/>
              </w:rPr>
              <w:t>单位违反本条例规定，有下列行为之一的，由消防救援机构责令改正，处五千元以上五万元以下罚款；情节严重的，处五万元以上十万元以下罚款：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（三）占用、堵塞、封闭疏散通道、安全出口或者有其他妨碍安全疏散行为的；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bidi="ar"/>
              </w:rPr>
              <w:t>个人有前款第二项、第三项、第四项、第五项行为之一的，处警告或者五百元以下罚款。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1.占用、堵塞、封闭疏散通道、安全出口，或者有其他妨碍安全疏散行为导致人员无法通行，且不能当场改正，2处以上的；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2.占用、堵塞、封闭疏散通道、安全出口或者有其他妨碍安全疏散行为，5处以上的。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对单位处罚款（4.1万元≤×≤5万元）</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对个人处罚款（350元≤×≤500元）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1.占用、堵塞、封闭疏散通道、安全出口，或者有其他妨碍安全疏散行为导致人员无法通行，且不能当场改正，1处的；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2.占用、堵塞、封闭疏散通道、安全出口或者有其他妨碍安全疏散行为，4处的。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对单位处罚款（3.2万元≤×＜4.1万元）</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对个人处罚款（200≤×＜350元）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1.占用、堵塞、封闭疏散通道、安全出口，或者有其他妨碍安全疏散行为导致人员无法通行，但能够当场改正的；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2.占用、堵塞的疏散通道、安全出口宽度占该疏散通道、安全出口宽度50%以上，且无法当场改正的；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3.占用、堵塞、封闭疏散通道、安全出口或者有其他妨碍安全疏散行为，3处的。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对单位处罚款（2.3万元≤×＜3.2万元）</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对个人处罚款（100元≤×＜200元）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1.占用、堵塞、封闭疏散通道、安全出口或者有其他妨碍安全疏散行为 ，2处的；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2.占用、堵塞的疏散通道、安全出口宽度占该疏散通道、安全出口宽度20%以上50%以下，且无法当场改正的。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对单位处罚款（1.4万元≤×＜2.3万元）</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对个人处罚款（×＜100元）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1.占用、堵塞、封闭疏散通道、安全出口或者有其他妨碍安全疏散行为，1处的；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2.占用、堵塞的疏散通道、安全出口宽度占该疏散通道、安全出口宽度20%以下，且无法当场改正的。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对单位处罚款（5000元≤×＜1.4万元）</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对个人处警告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因该项违法行为直接引起1人以上死亡、3人以上重伤、受灾10户以上或者过火面积1000平方米以上的火灾事故，可以适用本条罚则中规定的情节严重处罚，</w:t>
            </w:r>
            <w:r>
              <w:rPr>
                <w:rFonts w:hint="eastAsia" w:ascii="仿宋_GB2312" w:hAnsi="仿宋_GB2312" w:eastAsia="仿宋_GB2312" w:cs="仿宋_GB2312"/>
                <w:i w:val="0"/>
                <w:iCs w:val="0"/>
                <w:color w:val="auto"/>
                <w:kern w:val="0"/>
                <w:sz w:val="24"/>
                <w:szCs w:val="24"/>
                <w:highlight w:val="none"/>
                <w:u w:val="none"/>
                <w:lang w:bidi="ar"/>
              </w:rPr>
              <w:t>处五万元以上十万元以下罚款</w:t>
            </w: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cs="仿宋_GB2312"/>
                <w:i w:val="0"/>
                <w:iCs w:val="0"/>
                <w:color w:val="auto"/>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bidi w:val="0"/>
              <w:jc w:val="left"/>
              <w:rPr>
                <w:rFonts w:hint="eastAsia" w:ascii="仿宋_GB2312" w:hAnsi="仿宋_GB2312" w:eastAsia="仿宋_GB2312" w:cs="仿宋_GB2312"/>
                <w:color w:val="auto"/>
                <w:highlight w:val="none"/>
                <w:lang w:val="en-US" w:eastAsia="zh-CN"/>
              </w:rPr>
            </w:pPr>
            <w:bookmarkStart w:id="17" w:name="_Toc16075"/>
            <w:bookmarkStart w:id="18" w:name="_Toc15742"/>
            <w:r>
              <w:rPr>
                <w:rFonts w:hint="eastAsia" w:ascii="仿宋_GB2312" w:hAnsi="仿宋_GB2312" w:eastAsia="仿宋_GB2312" w:cs="仿宋_GB2312"/>
                <w:color w:val="auto"/>
                <w:highlight w:val="none"/>
                <w:lang w:val="en-US" w:eastAsia="zh-CN"/>
              </w:rPr>
              <w:t>埋压、圈占、遮挡消火栓的</w:t>
            </w:r>
            <w:bookmarkEnd w:id="17"/>
            <w:bookmarkEnd w:id="18"/>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《深圳经济特区消防条例》第四十五条第一款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任何单位和个人不得损坏、挪用或者擅自拆除、停用消防设施、器材，不得埋压、圈占、遮挡消火栓或者占用防火间距，不得占用、堵塞、封闭疏散通道、安全出口、消防车通道。人员密集场所的门窗不得设置影响逃生和灭火救援的障碍物。</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《深圳经济特区消防条例》第九十四条第一款第四项、第二款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bidi="ar"/>
              </w:rPr>
              <w:t>单位违反本条例规定，有下列行为之一的，由消防救援机构责令改正，处五千元以上五万元以下罚款；情节严重的，处五万元以上十万元以下罚款：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（四）埋压、圈占、遮挡消火栓或者占用防火间距的；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bidi="ar"/>
              </w:rPr>
              <w:t>个人有前款第二项、第三项、第四项、第五项行为之一的，处警告或者五百元以下罚款。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埋压、圈占、遮挡消火栓10处以上，且无法当场改正的。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对单位处罚款（4.1万元≤×≤5万元）</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对个人处罚款（350元≤×≤500元）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bidi w:val="0"/>
              <w:jc w:val="left"/>
              <w:rPr>
                <w:rFonts w:hint="eastAsia" w:ascii="仿宋_GB2312" w:hAnsi="仿宋_GB2312" w:eastAsia="仿宋_GB2312" w:cs="仿宋_GB2312"/>
                <w:color w:val="auto"/>
                <w:highlight w:val="none"/>
                <w:lang w:val="en-US" w:eastAsia="zh-CN"/>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埋压、圈占、遮挡消火栓5处以上10处以下，且无法当场改正的。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对单位处罚款（3.2万元≤×＜4.1万元）</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对个人处罚款（200≤×＜350元）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bidi w:val="0"/>
              <w:jc w:val="left"/>
              <w:rPr>
                <w:rFonts w:hint="eastAsia" w:ascii="仿宋_GB2312" w:hAnsi="仿宋_GB2312" w:eastAsia="仿宋_GB2312" w:cs="仿宋_GB2312"/>
                <w:color w:val="auto"/>
                <w:highlight w:val="none"/>
                <w:lang w:val="en-US" w:eastAsia="zh-CN"/>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埋压、圈占、遮挡消火栓3处以上5处以下，且无法当场改正的。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对单位处罚款（2.3万元≤×＜3.2万元）</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对个人处罚款（100元≤×＜200元）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bidi w:val="0"/>
              <w:jc w:val="left"/>
              <w:rPr>
                <w:rFonts w:hint="eastAsia" w:ascii="仿宋_GB2312" w:hAnsi="仿宋_GB2312" w:eastAsia="仿宋_GB2312" w:cs="仿宋_GB2312"/>
                <w:color w:val="auto"/>
                <w:highlight w:val="none"/>
                <w:lang w:val="en-US" w:eastAsia="zh-CN"/>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1.埋压、圈占、遮挡消火栓1处以上3处以下，且无法当场改正的；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2.埋压、圈占、遮挡消火栓2处以上 ，可以当场改正的。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对单位处罚款（1.4万元≤×＜2.3万元）</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对个人处罚款（×＜100元）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bidi w:val="0"/>
              <w:jc w:val="left"/>
              <w:rPr>
                <w:rFonts w:hint="eastAsia" w:ascii="仿宋_GB2312" w:hAnsi="仿宋_GB2312" w:eastAsia="仿宋_GB2312" w:cs="仿宋_GB2312"/>
                <w:color w:val="auto"/>
                <w:highlight w:val="none"/>
                <w:lang w:val="en-US" w:eastAsia="zh-CN"/>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埋压、圈占、遮挡消火栓1处，可以当场改正的。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对单位处罚款（5000元≤×＜1.4万元</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对个人处警告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因该项违法行为直接引起1人以上死亡、3人以上重伤、受灾10户以上或者过火面积1000平方米以上的火灾事故，可以适用本条罚则中规定的情节严重处罚，</w:t>
            </w:r>
            <w:r>
              <w:rPr>
                <w:rFonts w:hint="eastAsia" w:ascii="仿宋_GB2312" w:hAnsi="仿宋_GB2312" w:eastAsia="仿宋_GB2312" w:cs="仿宋_GB2312"/>
                <w:i w:val="0"/>
                <w:iCs w:val="0"/>
                <w:color w:val="auto"/>
                <w:kern w:val="0"/>
                <w:sz w:val="24"/>
                <w:szCs w:val="24"/>
                <w:highlight w:val="none"/>
                <w:u w:val="none"/>
                <w:lang w:bidi="ar"/>
              </w:rPr>
              <w:t>处五万元以上十万元以下罚款</w:t>
            </w: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cs="仿宋_GB2312"/>
                <w:i w:val="0"/>
                <w:iCs w:val="0"/>
                <w:color w:val="auto"/>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bidi w:val="0"/>
              <w:jc w:val="left"/>
              <w:rPr>
                <w:rFonts w:hint="eastAsia" w:ascii="仿宋_GB2312" w:hAnsi="仿宋_GB2312" w:eastAsia="仿宋_GB2312" w:cs="仿宋_GB2312"/>
                <w:color w:val="auto"/>
                <w:highlight w:val="none"/>
                <w:lang w:val="en-US" w:eastAsia="zh-CN"/>
              </w:rPr>
            </w:pPr>
            <w:bookmarkStart w:id="19" w:name="_Toc14271"/>
            <w:bookmarkStart w:id="20" w:name="_Toc13444"/>
            <w:r>
              <w:rPr>
                <w:rFonts w:hint="eastAsia" w:ascii="仿宋_GB2312" w:hAnsi="仿宋_GB2312" w:eastAsia="仿宋_GB2312" w:cs="仿宋_GB2312"/>
                <w:color w:val="auto"/>
                <w:highlight w:val="none"/>
                <w:lang w:val="en-US" w:eastAsia="zh-CN"/>
              </w:rPr>
              <w:t>占用防火间距的</w:t>
            </w:r>
            <w:bookmarkEnd w:id="19"/>
            <w:bookmarkEnd w:id="20"/>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《深圳经济特区消防条例》第四十五条第一款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任何单位和个人不得损坏、挪用或者擅自拆除、停用消防设施、器材，不得埋压、圈占、遮挡消火栓或者占用防火间距，不得占用、堵塞、封闭疏散通道、安全出口、消防车通道。人员密集场所的门窗不得设置影响逃生和灭火救援的障碍物。</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《深圳经济特区消防条例》第九十四条第一款第四项、第二款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bidi="ar"/>
              </w:rPr>
              <w:t>单位违反本条例规定，有下列行为之一的，由消防救援机构责令改正，处五千元以上五万元以下罚款；情节严重的，处五万元以上十万元以下罚款：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（四）埋压、圈占、遮挡消火栓或者占用防火间距的；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bidi="ar"/>
              </w:rPr>
              <w:t>个人有前款第二项、第三项、第四项、第五项行为之一的，处警告或者五百元以下罚款。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1.生产、储存、经营易燃易爆危险品的场所与人员密集场所、居住场所的防火间距被占用的；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2.既有防火间距在国家工程建设消防技术标准规定值的75%以下，且无法当场改正的。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对单位处罚款（4.1万元≤×≤5万元）</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对个人处罚款（350元≤×≤500元）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1.既有防火间距在国家工程建设消防技术标准规定值的75%以上85%以下，且无法当场改正的；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2.占用防火间距3处以上，且无法当场改正的。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对单位处罚款（3.2万元≤×＜4.1万元）</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对个人处罚款（200≤×＜350元）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1.既有防火间距在国家工程建设消防技术标准规定值的85%以上，且无法当场改正的；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2.既有防火间距在国家工程建设消防技术标准规定值的75%以下，可以当场改正的；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3.占用防火间距2处，且无法当场改正的。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对单位处罚款（2.3万元≤×＜3.2万元）</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对个人处罚款（100元≤×＜200元）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1792605</wp:posOffset>
                  </wp:positionH>
                  <wp:positionV relativeFrom="paragraph">
                    <wp:posOffset>156210</wp:posOffset>
                  </wp:positionV>
                  <wp:extent cx="61595" cy="1038225"/>
                  <wp:effectExtent l="0" t="0" r="14605" b="9525"/>
                  <wp:wrapNone/>
                  <wp:docPr id="1" name="image11"/>
                  <wp:cNvGraphicFramePr/>
                  <a:graphic xmlns:a="http://schemas.openxmlformats.org/drawingml/2006/main">
                    <a:graphicData uri="http://schemas.openxmlformats.org/drawingml/2006/picture">
                      <pic:pic xmlns:pic="http://schemas.openxmlformats.org/drawingml/2006/picture">
                        <pic:nvPicPr>
                          <pic:cNvPr id="1" name="image11"/>
                          <pic:cNvPicPr/>
                        </pic:nvPicPr>
                        <pic:blipFill>
                          <a:blip r:embed="rId8"/>
                          <a:stretch>
                            <a:fillRect/>
                          </a:stretch>
                        </pic:blipFill>
                        <pic:spPr>
                          <a:xfrm>
                            <a:off x="0" y="0"/>
                            <a:ext cx="61595" cy="103822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1.既有防火间距在国家工程建设消防技术标准规定值的75%以上90%以下，可以当场改正的；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2.占用防火间距1处，且无法当场改正的。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对单位处罚款（1.4万元≤×＜2.3万元）</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对个人处罚款（×＜100元）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1.既有防火间距在国家工程建设消防技术标准规定值的90%以上，可以当场改正的；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2.占用防火间距，可以当场改正的。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对单位处罚款（5000元≤×＜1.4万元）</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对个人处警告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因该项违法行为直接引起1人以上死亡、3人以上重伤、受灾10户以上或者过火面积1000平方米以上的火灾事故，可以适用本条罚则中规定的情节严重处罚，</w:t>
            </w:r>
            <w:r>
              <w:rPr>
                <w:rFonts w:hint="eastAsia" w:ascii="仿宋_GB2312" w:hAnsi="仿宋_GB2312" w:eastAsia="仿宋_GB2312" w:cs="仿宋_GB2312"/>
                <w:i w:val="0"/>
                <w:iCs w:val="0"/>
                <w:color w:val="auto"/>
                <w:kern w:val="0"/>
                <w:sz w:val="24"/>
                <w:szCs w:val="24"/>
                <w:highlight w:val="none"/>
                <w:u w:val="none"/>
                <w:lang w:bidi="ar"/>
              </w:rPr>
              <w:t>处五万元以上十万元以下罚款</w:t>
            </w: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cs="仿宋_GB2312"/>
                <w:i w:val="0"/>
                <w:iCs w:val="0"/>
                <w:color w:val="auto"/>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bidi w:val="0"/>
              <w:jc w:val="left"/>
              <w:rPr>
                <w:rFonts w:hint="eastAsia" w:ascii="仿宋_GB2312" w:hAnsi="仿宋_GB2312" w:eastAsia="仿宋_GB2312" w:cs="仿宋_GB2312"/>
                <w:i w:val="0"/>
                <w:iCs w:val="0"/>
                <w:color w:val="auto"/>
                <w:sz w:val="24"/>
                <w:szCs w:val="24"/>
                <w:highlight w:val="none"/>
                <w:u w:val="none"/>
              </w:rPr>
            </w:pPr>
            <w:bookmarkStart w:id="21" w:name="_Toc25824"/>
            <w:bookmarkStart w:id="22" w:name="_Toc28031"/>
            <w:r>
              <w:rPr>
                <w:rFonts w:hint="eastAsia" w:ascii="仿宋_GB2312" w:hAnsi="仿宋_GB2312" w:eastAsia="仿宋_GB2312" w:cs="仿宋_GB2312"/>
                <w:i w:val="0"/>
                <w:iCs w:val="0"/>
                <w:color w:val="auto"/>
                <w:kern w:val="0"/>
                <w:sz w:val="24"/>
                <w:szCs w:val="24"/>
                <w:highlight w:val="none"/>
                <w:u w:val="none"/>
                <w:lang w:val="en-US" w:eastAsia="zh-CN" w:bidi="ar"/>
              </w:rPr>
              <w:t>占用、堵塞、封闭消防车通道，妨碍</w:t>
            </w:r>
            <w:r>
              <w:rPr>
                <w:rFonts w:hint="eastAsia" w:ascii="仿宋_GB2312" w:hAnsi="仿宋_GB2312" w:eastAsia="仿宋_GB2312" w:cs="仿宋_GB2312"/>
                <w:color w:val="auto"/>
                <w:highlight w:val="none"/>
                <w:lang w:val="en-US" w:eastAsia="zh-CN"/>
              </w:rPr>
              <w:t>消防车</w:t>
            </w:r>
            <w:r>
              <w:rPr>
                <w:rFonts w:hint="eastAsia" w:ascii="仿宋_GB2312" w:hAnsi="仿宋_GB2312" w:eastAsia="仿宋_GB2312" w:cs="仿宋_GB2312"/>
                <w:i w:val="0"/>
                <w:iCs w:val="0"/>
                <w:color w:val="auto"/>
                <w:kern w:val="0"/>
                <w:sz w:val="24"/>
                <w:szCs w:val="24"/>
                <w:highlight w:val="none"/>
                <w:u w:val="none"/>
                <w:lang w:val="en-US" w:eastAsia="zh-CN" w:bidi="ar"/>
              </w:rPr>
              <w:t>通行的</w:t>
            </w:r>
            <w:bookmarkEnd w:id="21"/>
            <w:bookmarkEnd w:id="22"/>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《深圳经济特区消防条例》第四十五条第一款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任何单位和个人不得损坏、挪用或者擅自拆除、停用消防设施、器材，不得埋压、圈占、遮挡消火栓或者占用防火间距，不得占用、堵塞、封闭疏散通道、安全出口、消防车通道。人员密集场所的门窗不得设置影响逃生和灭火救援的障碍物。</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《深圳经济特区消防条例》第九十四条第一款第五项、第二款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bidi="ar"/>
              </w:rPr>
              <w:t>单位违反本条例规定，有下列行为之一的，由消防救援机构责令改正，处五千元以上五万元以下罚款；情节严重的，处五万元以上十万元以下罚款：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bidi="ar"/>
              </w:rPr>
              <w:t>（五）占用、堵塞、封闭消防车通道，妨碍消防车通行的；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bidi="ar"/>
              </w:rPr>
              <w:t>个人有前款第二项、第三项、第四项、第五项行为之一的，处警告或者五百元以下罚款。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占用、堵塞、封闭消防车通道，导致消防车无法通行的。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对单位处罚款（4.1万元≤×≤5万元）</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对个人处罚款（350元≤×≤500元）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占用、堵塞、封闭消防车通道4处以上，妨碍消防车通行的。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对单位处罚款（3.2万元≤×＜4.1万元）</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对个人处罚款（200≤×＜350元）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占用、堵塞、封闭消防车通道3处，妨碍消防车通行的。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对单位处罚款（2.3万元≤×＜3.2万元）</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对个人处罚款（100元≤×＜200元）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占用、堵塞、封闭消防车通道2处，妨碍消防车通行的。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对单位处罚款（1.4万元≤×＜2.3万元）</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对个人处罚款（×＜100元）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占用、堵塞、封闭消防车通道1处，妨碍消防车通行的。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对单位处罚款（5000元≤×＜1.4万元）</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对个人处警告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因该项违法行为直接引起1人以上死亡、3人以上重伤、受灾10户以上或者过火面积1000平方米以上的火灾事故，可以适用本条罚则中规定的情节严重处罚，</w:t>
            </w:r>
            <w:r>
              <w:rPr>
                <w:rFonts w:hint="eastAsia" w:ascii="仿宋_GB2312" w:hAnsi="仿宋_GB2312" w:eastAsia="仿宋_GB2312" w:cs="仿宋_GB2312"/>
                <w:i w:val="0"/>
                <w:iCs w:val="0"/>
                <w:color w:val="auto"/>
                <w:kern w:val="0"/>
                <w:sz w:val="24"/>
                <w:szCs w:val="24"/>
                <w:highlight w:val="none"/>
                <w:u w:val="none"/>
                <w:lang w:bidi="ar"/>
              </w:rPr>
              <w:t>处五万元以上十万元以下罚款</w:t>
            </w: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cs="仿宋_GB2312"/>
                <w:i w:val="0"/>
                <w:iCs w:val="0"/>
                <w:color w:val="auto"/>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bidi w:val="0"/>
              <w:rPr>
                <w:rFonts w:hint="eastAsia" w:ascii="仿宋_GB2312" w:hAnsi="仿宋_GB2312" w:eastAsia="仿宋_GB2312" w:cs="仿宋_GB2312"/>
                <w:i w:val="0"/>
                <w:iCs w:val="0"/>
                <w:color w:val="auto"/>
                <w:sz w:val="24"/>
                <w:szCs w:val="24"/>
                <w:highlight w:val="none"/>
                <w:u w:val="none"/>
              </w:rPr>
            </w:pPr>
            <w:bookmarkStart w:id="23" w:name="_Toc32003"/>
            <w:bookmarkStart w:id="24" w:name="_Toc9102"/>
            <w:r>
              <w:rPr>
                <w:rFonts w:hint="eastAsia" w:ascii="仿宋_GB2312" w:hAnsi="仿宋_GB2312" w:eastAsia="仿宋_GB2312" w:cs="仿宋_GB2312"/>
                <w:i w:val="0"/>
                <w:iCs w:val="0"/>
                <w:color w:val="auto"/>
                <w:kern w:val="0"/>
                <w:sz w:val="24"/>
                <w:szCs w:val="24"/>
                <w:highlight w:val="none"/>
                <w:u w:val="none"/>
                <w:lang w:val="en-US" w:eastAsia="zh-CN" w:bidi="ar"/>
              </w:rPr>
              <w:t>人员密集场所在门窗上设置影响逃生和灭火救援的障碍物的</w:t>
            </w:r>
            <w:bookmarkEnd w:id="23"/>
            <w:bookmarkEnd w:id="24"/>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《深圳经济特区消防条例》第四十五条第一款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任何单位和个人不得损坏、挪用或者擅自拆除、停用消防设施、器材，不得埋压、圈占、遮挡消火栓或者占用防火间距，不得占用、堵塞、封闭疏散通道、安全出口、消防车通道。人员密集场所的门窗不得设置影响逃生和灭火救援的障碍物。</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《深圳经济特区消防条例》第九十四条第一款第六项</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bidi="ar"/>
              </w:rPr>
              <w:t>单位违反本条例规定，有下列行为之一的，由消防救援机构责令改正，处五千元以上五万元以下罚款；情节严重的，处五万元以上十万元以下罚款：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（六）在人员密集场所门窗上设置影响逃生和灭火救援的障碍物的；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在消防救援窗或排烟窗设置障碍物，影响逃生和灭火救援的。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4.1万元≤×≤5万元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在5个以上其他门窗上设置障碍物，影响逃生和灭火救援的。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3.2万元≤×＜4.1万元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在3个以上5个以下其他门窗上设置障碍物，影响逃生和灭火救援的。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2.3万元≤×＜3.2万元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在2个其他门窗上设置障碍物，影响逃生和灭火救援的。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1.4万元≤×＜2.3万元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在1个其他门窗上设置障碍物，影响逃生和灭火救援的。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5000元≤×＜1.4万元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81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1.严重情形中消防救援窗仅指专用的消防救援窗。</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2.因该项违法行为直接引起1人以上死亡、3人以上重伤、受灾10户以上或者过火面积1000平方米以上的火灾事故，可以适用本条罚则中规定的情节严重处罚，</w:t>
            </w:r>
            <w:r>
              <w:rPr>
                <w:rFonts w:hint="eastAsia" w:ascii="仿宋_GB2312" w:hAnsi="仿宋_GB2312" w:eastAsia="仿宋_GB2312" w:cs="仿宋_GB2312"/>
                <w:i w:val="0"/>
                <w:iCs w:val="0"/>
                <w:color w:val="auto"/>
                <w:kern w:val="0"/>
                <w:sz w:val="24"/>
                <w:szCs w:val="24"/>
                <w:highlight w:val="none"/>
                <w:u w:val="none"/>
                <w:lang w:bidi="ar"/>
              </w:rPr>
              <w:t>处五万元以上十万元以下罚款</w:t>
            </w: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vMerge w:val="restart"/>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p>
        </w:tc>
        <w:tc>
          <w:tcPr>
            <w:tcW w:w="1940" w:type="dxa"/>
            <w:vMerge w:val="restart"/>
            <w:tcBorders>
              <w:top w:val="single" w:color="auto" w:sz="4" w:space="0"/>
              <w:left w:val="single" w:color="000000" w:sz="4" w:space="0"/>
              <w:right w:val="single" w:color="000000" w:sz="4" w:space="0"/>
            </w:tcBorders>
            <w:shd w:val="clear" w:color="auto" w:fill="auto"/>
            <w:vAlign w:val="center"/>
          </w:tcPr>
          <w:p>
            <w:pPr>
              <w:pStyle w:val="6"/>
              <w:bidi w:val="0"/>
              <w:jc w:val="left"/>
              <w:rPr>
                <w:rFonts w:hint="eastAsia" w:ascii="仿宋_GB2312" w:hAnsi="仿宋_GB2312" w:eastAsia="仿宋_GB2312" w:cs="仿宋_GB2312"/>
                <w:i w:val="0"/>
                <w:iCs w:val="0"/>
                <w:color w:val="auto"/>
                <w:kern w:val="0"/>
                <w:sz w:val="24"/>
                <w:szCs w:val="24"/>
                <w:highlight w:val="none"/>
                <w:u w:val="none"/>
                <w:lang w:val="en-US" w:eastAsia="zh-CN" w:bidi="ar"/>
              </w:rPr>
            </w:pPr>
            <w:bookmarkStart w:id="25" w:name="_Toc15476"/>
            <w:r>
              <w:rPr>
                <w:rFonts w:hint="eastAsia" w:ascii="仿宋_GB2312" w:hAnsi="仿宋_GB2312" w:eastAsia="仿宋_GB2312" w:cs="仿宋_GB2312"/>
                <w:i w:val="0"/>
                <w:iCs w:val="0"/>
                <w:color w:val="auto"/>
                <w:kern w:val="0"/>
                <w:sz w:val="24"/>
                <w:szCs w:val="24"/>
                <w:highlight w:val="none"/>
                <w:u w:val="none"/>
                <w:lang w:val="en-US" w:eastAsia="zh-CN" w:bidi="ar"/>
              </w:rPr>
              <w:t>（单位）不履行消防安全职责逾期未改</w:t>
            </w:r>
            <w:bookmarkEnd w:id="25"/>
            <w:r>
              <w:rPr>
                <w:rFonts w:hint="eastAsia" w:ascii="仿宋_GB2312" w:hAnsi="仿宋_GB2312" w:eastAsia="仿宋_GB2312" w:cs="仿宋_GB2312"/>
                <w:i w:val="0"/>
                <w:iCs w:val="0"/>
                <w:color w:val="auto"/>
                <w:kern w:val="0"/>
                <w:sz w:val="24"/>
                <w:szCs w:val="24"/>
                <w:highlight w:val="none"/>
                <w:u w:val="none"/>
                <w:lang w:val="en-US" w:eastAsia="zh-CN" w:bidi="ar"/>
              </w:rPr>
              <w:t>的</w:t>
            </w:r>
          </w:p>
        </w:tc>
        <w:tc>
          <w:tcPr>
            <w:tcW w:w="3633"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《深圳经济特区消防条例》第十八条第一款第一项、第三项、第五项、第六项</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单位履行下列消防安全职责：</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（一）落实消防安全责任制，制定并实施本单位消防安全制度、消防安全操作规程和灭火、应急疏散预案；</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（三）对消防设施每年至少进行一次全面检测，确保完好有效，检测记录应当完整准确，并保存五年以上备查；</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（五）确定消防安全重点部位并设置明显防火标志；</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（六）开展消防宣传教育，组织有针对性的消防演练；</w:t>
            </w:r>
          </w:p>
        </w:tc>
        <w:tc>
          <w:tcPr>
            <w:tcW w:w="3793" w:type="dxa"/>
            <w:vMerge w:val="restart"/>
            <w:tcBorders>
              <w:top w:val="single" w:color="auto" w:sz="4" w:space="0"/>
              <w:left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《深圳经济特区消防条例》第九十五条第一款第一项、第二项、第三项、第四项</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单位有下列行为之一的，由消防救援机构责令限期改正；逾期不改正的，处一万元以上五万元以下罚款，并对其消防安全责任人处单位罚款数额百分之五以上百分之十以下罚款：</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（一）未落实消防安全责任制，制定并实施本单位的消防安全制度、消防安全操作规程和灭火、应急疏散预案的；</w: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i w:val="0"/>
                <w:iCs w:val="0"/>
                <w:color w:val="auto"/>
                <w:kern w:val="0"/>
                <w:sz w:val="24"/>
                <w:szCs w:val="24"/>
                <w:highlight w:val="none"/>
                <w:u w:val="none"/>
                <w:lang w:val="en-US" w:eastAsia="zh-CN" w:bidi="ar"/>
              </w:rPr>
              <w:instrText xml:space="preserve"> HYPERLINK "javascript:void(0);" </w:instrTex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ind w:left="0" w:leftChars="0" w:firstLine="480" w:firstLineChars="20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bookmarkStart w:id="26" w:name="tiao_95_kuan_1_xiang_2"/>
            <w:bookmarkEnd w:id="26"/>
            <w:r>
              <w:rPr>
                <w:rFonts w:hint="eastAsia" w:ascii="仿宋_GB2312" w:hAnsi="仿宋_GB2312" w:eastAsia="仿宋_GB2312" w:cs="仿宋_GB2312"/>
                <w:i w:val="0"/>
                <w:iCs w:val="0"/>
                <w:color w:val="auto"/>
                <w:kern w:val="0"/>
                <w:sz w:val="24"/>
                <w:szCs w:val="24"/>
                <w:highlight w:val="none"/>
                <w:u w:val="none"/>
                <w:lang w:val="en-US" w:eastAsia="zh-CN" w:bidi="ar"/>
              </w:rPr>
              <w:t>（二）未按照有关规定组织防火检查、消除火灾隐患，确定消防安全重点部位并设置明显防火标志的；</w: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i w:val="0"/>
                <w:iCs w:val="0"/>
                <w:color w:val="auto"/>
                <w:kern w:val="0"/>
                <w:sz w:val="24"/>
                <w:szCs w:val="24"/>
                <w:highlight w:val="none"/>
                <w:u w:val="none"/>
                <w:lang w:val="en-US" w:eastAsia="zh-CN" w:bidi="ar"/>
              </w:rPr>
              <w:instrText xml:space="preserve"> HYPERLINK "javascript:void(0);" </w:instrTex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bookmarkStart w:id="27" w:name="tiao_95_kuan_1_xiang_3"/>
            <w:bookmarkEnd w:id="27"/>
            <w:r>
              <w:rPr>
                <w:rFonts w:hint="eastAsia" w:ascii="仿宋_GB2312" w:hAnsi="仿宋_GB2312" w:eastAsia="仿宋_GB2312" w:cs="仿宋_GB2312"/>
                <w:i w:val="0"/>
                <w:iCs w:val="0"/>
                <w:color w:val="auto"/>
                <w:kern w:val="0"/>
                <w:sz w:val="24"/>
                <w:szCs w:val="24"/>
                <w:highlight w:val="none"/>
                <w:u w:val="none"/>
                <w:lang w:val="en-US" w:eastAsia="zh-CN" w:bidi="ar"/>
              </w:rPr>
              <w:t>（三）未按照有关规定对建筑消防设施每年进行一次全面检测的；</w: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i w:val="0"/>
                <w:iCs w:val="0"/>
                <w:color w:val="auto"/>
                <w:kern w:val="0"/>
                <w:sz w:val="24"/>
                <w:szCs w:val="24"/>
                <w:highlight w:val="none"/>
                <w:u w:val="none"/>
                <w:lang w:val="en-US" w:eastAsia="zh-CN" w:bidi="ar"/>
              </w:rPr>
              <w:instrText xml:space="preserve"> HYPERLINK "javascript:void(0);" </w:instrTex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bookmarkStart w:id="28" w:name="tiao_95_kuan_1_xiang_4"/>
            <w:bookmarkEnd w:id="28"/>
            <w:r>
              <w:rPr>
                <w:rFonts w:hint="eastAsia" w:ascii="仿宋_GB2312" w:hAnsi="仿宋_GB2312" w:eastAsia="仿宋_GB2312" w:cs="仿宋_GB2312"/>
                <w:i w:val="0"/>
                <w:iCs w:val="0"/>
                <w:color w:val="auto"/>
                <w:kern w:val="0"/>
                <w:sz w:val="24"/>
                <w:szCs w:val="24"/>
                <w:highlight w:val="none"/>
                <w:u w:val="none"/>
                <w:lang w:val="en-US" w:eastAsia="zh-CN" w:bidi="ar"/>
              </w:rPr>
              <w:t>（四）未按照有关规定进行消防宣传教育，组织有针对性的消防演练的。</w:t>
            </w:r>
          </w:p>
        </w:tc>
        <w:tc>
          <w:tcPr>
            <w:tcW w:w="828"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严重</w:t>
            </w:r>
          </w:p>
        </w:tc>
        <w:tc>
          <w:tcPr>
            <w:tcW w:w="5294"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4项职责均未采取任何改正措施。</w:t>
            </w:r>
          </w:p>
        </w:tc>
        <w:tc>
          <w:tcPr>
            <w:tcW w:w="4075"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对单位罚款4.2万元≤×≤5万元，对消防安全责任人罚款单位罚款数额的百分之五以上百分之十以下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8" w:type="dxa"/>
            <w:vMerge w:val="continue"/>
            <w:tcBorders>
              <w:left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p>
        </w:tc>
        <w:tc>
          <w:tcPr>
            <w:tcW w:w="1940" w:type="dxa"/>
            <w:vMerge w:val="continue"/>
            <w:tcBorders>
              <w:left w:val="single" w:color="000000" w:sz="4" w:space="0"/>
              <w:right w:val="single" w:color="000000" w:sz="4" w:space="0"/>
            </w:tcBorders>
            <w:shd w:val="clear" w:color="auto" w:fill="auto"/>
            <w:vAlign w:val="center"/>
          </w:tcPr>
          <w:p>
            <w:pPr>
              <w:pStyle w:val="6"/>
              <w:bidi w:val="0"/>
              <w:jc w:val="left"/>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6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793" w:type="dxa"/>
            <w:vMerge w:val="continue"/>
            <w:tcBorders>
              <w:left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28" w:type="dxa"/>
            <w:tcBorders>
              <w:top w:val="single" w:color="000000"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较重</w:t>
            </w:r>
          </w:p>
        </w:tc>
        <w:tc>
          <w:tcPr>
            <w:tcW w:w="529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1.仍有4项职责未履行完毕的；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2.仍有3项职责未采取任何改正措施。</w:t>
            </w:r>
          </w:p>
        </w:tc>
        <w:tc>
          <w:tcPr>
            <w:tcW w:w="407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对单位罚款3.4万元≤×＜4.2万元，对消防安全责任人罚款单位罚款数额的百分之五以上百分之十以下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vMerge w:val="continue"/>
            <w:tcBorders>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p>
        </w:tc>
        <w:tc>
          <w:tcPr>
            <w:tcW w:w="1940" w:type="dxa"/>
            <w:vMerge w:val="continue"/>
            <w:tcBorders>
              <w:left w:val="single" w:color="000000" w:sz="4" w:space="0"/>
              <w:bottom w:val="single" w:color="auto" w:sz="4" w:space="0"/>
              <w:right w:val="single" w:color="000000" w:sz="4" w:space="0"/>
            </w:tcBorders>
            <w:shd w:val="clear" w:color="auto" w:fill="auto"/>
            <w:vAlign w:val="center"/>
          </w:tcPr>
          <w:p>
            <w:pPr>
              <w:pStyle w:val="6"/>
              <w:bidi w:val="0"/>
              <w:jc w:val="left"/>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633"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793" w:type="dxa"/>
            <w:vMerge w:val="continue"/>
            <w:tcBorders>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28" w:type="dxa"/>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一般</w:t>
            </w:r>
          </w:p>
        </w:tc>
        <w:tc>
          <w:tcPr>
            <w:tcW w:w="529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1.仍有3项职责未履行完毕的；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2.仍有2项职责未采取任何改正措施。</w:t>
            </w:r>
          </w:p>
        </w:tc>
        <w:tc>
          <w:tcPr>
            <w:tcW w:w="407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对单位罚款2.6万元≤×＜3.4万元，对消防安全责任人罚款单位罚款数额的百分之五以上百分之十以下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p>
        </w:tc>
        <w:tc>
          <w:tcPr>
            <w:tcW w:w="19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Style w:val="6"/>
              <w:bidi w:val="0"/>
              <w:jc w:val="left"/>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6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79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28"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1.仍有2项职责未履行完毕的；</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2.仍有1项职责未采取任何改正措施。</w:t>
            </w:r>
          </w:p>
        </w:tc>
        <w:tc>
          <w:tcPr>
            <w:tcW w:w="4075"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对单位罚款1.8万元≤×＜2.6万元，对消防安全责任人罚款单位罚款数额的百分之五以上百分之十以下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p>
        </w:tc>
        <w:tc>
          <w:tcPr>
            <w:tcW w:w="19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Style w:val="6"/>
              <w:bidi w:val="0"/>
              <w:jc w:val="left"/>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6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79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28"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轻微</w:t>
            </w:r>
          </w:p>
        </w:tc>
        <w:tc>
          <w:tcPr>
            <w:tcW w:w="529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仍有1项职责未履行完毕的。</w:t>
            </w:r>
          </w:p>
        </w:tc>
        <w:tc>
          <w:tcPr>
            <w:tcW w:w="40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对单位罚款1万元≤×＜1.8万元，对消防安全责任人罚款单位罚款数额的百分之五以上百分之十以下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both"/>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备注</w:t>
            </w:r>
          </w:p>
        </w:tc>
        <w:tc>
          <w:tcPr>
            <w:tcW w:w="19563" w:type="dxa"/>
            <w:gridSpan w:val="6"/>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1.本条</w:t>
            </w:r>
            <w:r>
              <w:rPr>
                <w:rFonts w:hint="eastAsia" w:ascii="仿宋_GB2312" w:hAnsi="仿宋_GB2312" w:cs="仿宋_GB2312"/>
                <w:i w:val="0"/>
                <w:iCs w:val="0"/>
                <w:color w:val="auto"/>
                <w:kern w:val="0"/>
                <w:sz w:val="24"/>
                <w:szCs w:val="24"/>
                <w:highlight w:val="none"/>
                <w:u w:val="none"/>
                <w:lang w:val="en-US" w:eastAsia="zh-CN" w:bidi="ar"/>
              </w:rPr>
              <w:t>违法情节</w:t>
            </w:r>
            <w:r>
              <w:rPr>
                <w:rFonts w:hint="eastAsia" w:ascii="仿宋_GB2312" w:hAnsi="仿宋_GB2312" w:eastAsia="仿宋_GB2312" w:cs="仿宋_GB2312"/>
                <w:i w:val="0"/>
                <w:iCs w:val="0"/>
                <w:color w:val="auto"/>
                <w:kern w:val="0"/>
                <w:sz w:val="24"/>
                <w:szCs w:val="24"/>
                <w:highlight w:val="none"/>
                <w:u w:val="none"/>
                <w:lang w:val="en-US" w:eastAsia="zh-CN" w:bidi="ar"/>
              </w:rPr>
              <w:t>中的“项”是指第十八条第一项、第三项、第五项、第六项义务，并非责令改正文书中的具体违法行为数量。</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2.（公共交通经营者）未履行消防安全职责逾期未改，违反的规定为《深圳经济特区消防条例》第十八条第一款、第二十三条第一款，处罚依据为第九十五条。参照本项裁量基准细则执行。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p>
        </w:tc>
        <w:tc>
          <w:tcPr>
            <w:tcW w:w="1940" w:type="dxa"/>
            <w:vMerge w:val="restart"/>
            <w:tcBorders>
              <w:top w:val="single" w:color="auto" w:sz="4" w:space="0"/>
              <w:left w:val="single" w:color="auto" w:sz="4" w:space="0"/>
              <w:right w:val="single" w:color="000000" w:sz="4" w:space="0"/>
            </w:tcBorders>
            <w:shd w:val="clear" w:color="auto" w:fill="auto"/>
            <w:vAlign w:val="center"/>
          </w:tcPr>
          <w:p>
            <w:pPr>
              <w:pStyle w:val="6"/>
              <w:bidi w:val="0"/>
              <w:jc w:val="left"/>
              <w:rPr>
                <w:rFonts w:hint="eastAsia" w:ascii="仿宋_GB2312" w:hAnsi="仿宋_GB2312" w:eastAsia="仿宋_GB2312" w:cs="仿宋_GB2312"/>
                <w:i w:val="0"/>
                <w:iCs w:val="0"/>
                <w:color w:val="auto"/>
                <w:kern w:val="0"/>
                <w:sz w:val="24"/>
                <w:szCs w:val="24"/>
                <w:highlight w:val="none"/>
                <w:u w:val="none"/>
                <w:lang w:val="en-US" w:eastAsia="zh-CN" w:bidi="ar"/>
              </w:rPr>
            </w:pPr>
            <w:bookmarkStart w:id="29" w:name="_Toc29503"/>
            <w:r>
              <w:rPr>
                <w:rFonts w:hint="eastAsia" w:ascii="仿宋_GB2312" w:hAnsi="仿宋_GB2312" w:eastAsia="仿宋_GB2312" w:cs="仿宋_GB2312"/>
                <w:i w:val="0"/>
                <w:iCs w:val="0"/>
                <w:color w:val="auto"/>
                <w:kern w:val="0"/>
                <w:sz w:val="24"/>
                <w:szCs w:val="24"/>
                <w:highlight w:val="none"/>
                <w:u w:val="none"/>
                <w:lang w:val="en-US" w:eastAsia="zh-CN" w:bidi="ar"/>
              </w:rPr>
              <w:t>（消防安全重点单位，城中村、旧工业区、特定区域的管理单位）未履行消防安全职责逾期未改</w:t>
            </w:r>
            <w:bookmarkEnd w:id="29"/>
            <w:r>
              <w:rPr>
                <w:rFonts w:hint="eastAsia" w:ascii="仿宋_GB2312" w:hAnsi="仿宋_GB2312" w:eastAsia="仿宋_GB2312" w:cs="仿宋_GB2312"/>
                <w:i w:val="0"/>
                <w:iCs w:val="0"/>
                <w:color w:val="auto"/>
                <w:kern w:val="0"/>
                <w:sz w:val="24"/>
                <w:szCs w:val="24"/>
                <w:highlight w:val="none"/>
                <w:u w:val="none"/>
                <w:lang w:val="en-US" w:eastAsia="zh-CN" w:bidi="ar"/>
              </w:rPr>
              <w:t>的</w:t>
            </w:r>
          </w:p>
        </w:tc>
        <w:tc>
          <w:tcPr>
            <w:tcW w:w="3633" w:type="dxa"/>
            <w:vMerge w:val="restart"/>
            <w:tcBorders>
              <w:top w:val="single" w:color="auto" w:sz="4" w:space="0"/>
              <w:left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《深圳经济特区消防条例》第十八条第一项、第三项、第五项、第六项、第十九条</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单位履行下列消防安全职责：</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（一）落实消防安全责任制，制定并实施本单位消防安全制度、消防安全操作规程和灭火、应急疏散预案；</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（三）对消防设施每年至少进行一次全面检测，确保完好有效，检测记录应当完整准确，并保存五年以上备查；</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（五）确定消防安全重点部位并设置明显防火标志；</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（六）开展消防宣传教育，组织有针对性的消防演练；</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《深圳经济特区消防条例》第十九条</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经依法确定的消防安全重点单位，城中村、旧工业区以及消防法律、法规规定的特定区域的管理单位，除履行本条例第十八条规定的消防安全职责外，还应当履行下列职责：</w: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i w:val="0"/>
                <w:iCs w:val="0"/>
                <w:color w:val="auto"/>
                <w:kern w:val="0"/>
                <w:sz w:val="24"/>
                <w:szCs w:val="24"/>
                <w:highlight w:val="none"/>
                <w:u w:val="none"/>
                <w:lang w:val="en-US" w:eastAsia="zh-CN" w:bidi="ar"/>
              </w:rPr>
              <w:instrText xml:space="preserve"> HYPERLINK "javascript:void(0);" </w:instrTex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bookmarkStart w:id="30" w:name="tiao_19_kuan_1_xiang_1"/>
            <w:bookmarkEnd w:id="30"/>
            <w:r>
              <w:rPr>
                <w:rFonts w:hint="eastAsia" w:ascii="仿宋_GB2312" w:hAnsi="仿宋_GB2312" w:eastAsia="仿宋_GB2312" w:cs="仿宋_GB2312"/>
                <w:i w:val="0"/>
                <w:iCs w:val="0"/>
                <w:color w:val="auto"/>
                <w:kern w:val="0"/>
                <w:sz w:val="24"/>
                <w:szCs w:val="24"/>
                <w:highlight w:val="none"/>
                <w:u w:val="none"/>
                <w:lang w:val="en-US" w:eastAsia="zh-CN" w:bidi="ar"/>
              </w:rPr>
              <w:t>　　（一）根据本单位消防安全实际情况建立相应的消防安全管理队伍，确定消防安全管理人，组织实施本单位消防安全管理工作；</w: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i w:val="0"/>
                <w:iCs w:val="0"/>
                <w:color w:val="auto"/>
                <w:kern w:val="0"/>
                <w:sz w:val="24"/>
                <w:szCs w:val="24"/>
                <w:highlight w:val="none"/>
                <w:u w:val="none"/>
                <w:lang w:val="en-US" w:eastAsia="zh-CN" w:bidi="ar"/>
              </w:rPr>
              <w:instrText xml:space="preserve"> HYPERLINK "javascript:void(0);" </w:instrTex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bookmarkStart w:id="31" w:name="tiao_19_kuan_1_xiang_2"/>
            <w:bookmarkEnd w:id="31"/>
            <w:r>
              <w:rPr>
                <w:rFonts w:hint="eastAsia" w:ascii="仿宋_GB2312" w:hAnsi="仿宋_GB2312" w:eastAsia="仿宋_GB2312" w:cs="仿宋_GB2312"/>
                <w:i w:val="0"/>
                <w:iCs w:val="0"/>
                <w:color w:val="auto"/>
                <w:kern w:val="0"/>
                <w:sz w:val="24"/>
                <w:szCs w:val="24"/>
                <w:highlight w:val="none"/>
                <w:u w:val="none"/>
                <w:lang w:val="en-US" w:eastAsia="zh-CN" w:bidi="ar"/>
              </w:rPr>
              <w:t>　　（二）实行每日防火巡查，并建立巡查记录；</w: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i w:val="0"/>
                <w:iCs w:val="0"/>
                <w:color w:val="auto"/>
                <w:kern w:val="0"/>
                <w:sz w:val="24"/>
                <w:szCs w:val="24"/>
                <w:highlight w:val="none"/>
                <w:u w:val="none"/>
                <w:lang w:val="en-US" w:eastAsia="zh-CN" w:bidi="ar"/>
              </w:rPr>
              <w:instrText xml:space="preserve"> HYPERLINK "javascript:void(0);" </w:instrTex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bookmarkStart w:id="32" w:name="tiao_19_kuan_1_xiang_3"/>
            <w:bookmarkEnd w:id="32"/>
            <w:r>
              <w:rPr>
                <w:rFonts w:hint="eastAsia" w:ascii="仿宋_GB2312" w:hAnsi="仿宋_GB2312" w:eastAsia="仿宋_GB2312" w:cs="仿宋_GB2312"/>
                <w:i w:val="0"/>
                <w:iCs w:val="0"/>
                <w:color w:val="auto"/>
                <w:kern w:val="0"/>
                <w:sz w:val="24"/>
                <w:szCs w:val="24"/>
                <w:highlight w:val="none"/>
                <w:u w:val="none"/>
                <w:lang w:val="en-US" w:eastAsia="zh-CN" w:bidi="ar"/>
              </w:rPr>
              <w:t>　　（三）对员工进行岗前消防安全培训，每半年至少组织一次消防安全培训和消防演练；</w: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i w:val="0"/>
                <w:iCs w:val="0"/>
                <w:color w:val="auto"/>
                <w:kern w:val="0"/>
                <w:sz w:val="24"/>
                <w:szCs w:val="24"/>
                <w:highlight w:val="none"/>
                <w:u w:val="none"/>
                <w:lang w:val="en-US" w:eastAsia="zh-CN" w:bidi="ar"/>
              </w:rPr>
              <w:instrText xml:space="preserve"> HYPERLINK "javascript:void(0);" </w:instrTex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bookmarkStart w:id="33" w:name="tiao_19_kuan_1_xiang_4"/>
            <w:bookmarkEnd w:id="33"/>
            <w:r>
              <w:rPr>
                <w:rFonts w:hint="eastAsia" w:ascii="仿宋_GB2312" w:hAnsi="仿宋_GB2312" w:eastAsia="仿宋_GB2312" w:cs="仿宋_GB2312"/>
                <w:i w:val="0"/>
                <w:iCs w:val="0"/>
                <w:color w:val="auto"/>
                <w:kern w:val="0"/>
                <w:sz w:val="24"/>
                <w:szCs w:val="24"/>
                <w:highlight w:val="none"/>
                <w:u w:val="none"/>
                <w:lang w:val="en-US" w:eastAsia="zh-CN" w:bidi="ar"/>
              </w:rPr>
              <w:t>　　（四）建立消防档案，将消防安全管理人员的基本情况，本单位消防设施配置、维护情况，以及防火巡查情况存档五年以上备查；</w: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i w:val="0"/>
                <w:iCs w:val="0"/>
                <w:color w:val="auto"/>
                <w:kern w:val="0"/>
                <w:sz w:val="24"/>
                <w:szCs w:val="24"/>
                <w:highlight w:val="none"/>
                <w:u w:val="none"/>
                <w:lang w:val="en-US" w:eastAsia="zh-CN" w:bidi="ar"/>
              </w:rPr>
              <w:instrText xml:space="preserve"> HYPERLINK "javascript:void(0);" </w:instrTex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bookmarkStart w:id="34" w:name="tiao_19_kuan_1_xiang_5"/>
            <w:bookmarkEnd w:id="34"/>
            <w:r>
              <w:rPr>
                <w:rFonts w:hint="eastAsia" w:ascii="仿宋_GB2312" w:hAnsi="仿宋_GB2312" w:eastAsia="仿宋_GB2312" w:cs="仿宋_GB2312"/>
                <w:i w:val="0"/>
                <w:iCs w:val="0"/>
                <w:color w:val="auto"/>
                <w:kern w:val="0"/>
                <w:sz w:val="24"/>
                <w:szCs w:val="24"/>
                <w:highlight w:val="none"/>
                <w:u w:val="none"/>
                <w:lang w:val="en-US" w:eastAsia="zh-CN" w:bidi="ar"/>
              </w:rPr>
              <w:t>　　（五）法律、法规以及国家和广东省有关规定明确的其他职责。</w:t>
            </w:r>
          </w:p>
        </w:tc>
        <w:tc>
          <w:tcPr>
            <w:tcW w:w="3793"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《深圳经济特区消防条例》第九十六条第一款</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经依法确定的消防安全重点单位，城中村、旧工业区以及消防法律、法规规定的特定区域的管理单位未按照本条例规定履行消防安全职责的，由消防救援机构责令限期改正；逾期不改正的，处五万元以上十万元以下罚款，并对其消防安全责任人处单位罚款数额百分之五以上百分之十以下罚款。</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严重</w:t>
            </w:r>
          </w:p>
        </w:tc>
        <w:tc>
          <w:tcPr>
            <w:tcW w:w="5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1.仍有4项以上职责未履行完毕的；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2.仍有3项以上职责未采取任何改正措施。</w:t>
            </w:r>
          </w:p>
        </w:tc>
        <w:tc>
          <w:tcPr>
            <w:tcW w:w="40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对单位罚款9万元≤×≤10万元，对消防安全责任人罚款单位罚款数额的百分之五以上百分之十以下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p>
        </w:tc>
        <w:tc>
          <w:tcPr>
            <w:tcW w:w="1940" w:type="dxa"/>
            <w:vMerge w:val="continue"/>
            <w:tcBorders>
              <w:left w:val="single" w:color="auto" w:sz="4" w:space="0"/>
              <w:bottom w:val="single" w:color="auto" w:sz="4" w:space="0"/>
              <w:right w:val="single" w:color="000000" w:sz="4" w:space="0"/>
            </w:tcBorders>
            <w:shd w:val="clear" w:color="auto" w:fill="auto"/>
            <w:vAlign w:val="center"/>
          </w:tcPr>
          <w:p>
            <w:pPr>
              <w:pStyle w:val="6"/>
              <w:bidi w:val="0"/>
              <w:jc w:val="left"/>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633" w:type="dxa"/>
            <w:vMerge w:val="continue"/>
            <w:tcBorders>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79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较重</w:t>
            </w:r>
          </w:p>
        </w:tc>
        <w:tc>
          <w:tcPr>
            <w:tcW w:w="5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1.仍有4项职责未履行完毕的；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2.仍有3项职责未采取任何改正措施。</w:t>
            </w:r>
          </w:p>
        </w:tc>
        <w:tc>
          <w:tcPr>
            <w:tcW w:w="40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对单位罚款8万元≤×＜9万元，对消防安全责任人罚款单位罚款数额的百分之五以上百分之十以下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p>
        </w:tc>
        <w:tc>
          <w:tcPr>
            <w:tcW w:w="194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pStyle w:val="6"/>
              <w:bidi w:val="0"/>
              <w:jc w:val="left"/>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63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7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28"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一般</w:t>
            </w:r>
          </w:p>
        </w:tc>
        <w:tc>
          <w:tcPr>
            <w:tcW w:w="5294"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1.仍有3项职责未履行完毕的；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2.仍有2项职责未采取任何改正措施。</w:t>
            </w:r>
          </w:p>
        </w:tc>
        <w:tc>
          <w:tcPr>
            <w:tcW w:w="40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对单位罚款7万元≤×＜8万元，对消防安全责任人罚款单位罚款数额的百分之五以上百分之十以下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p>
        </w:tc>
        <w:tc>
          <w:tcPr>
            <w:tcW w:w="194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pStyle w:val="6"/>
              <w:bidi w:val="0"/>
              <w:jc w:val="left"/>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63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7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28"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较轻</w:t>
            </w:r>
          </w:p>
        </w:tc>
        <w:tc>
          <w:tcPr>
            <w:tcW w:w="5294"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1.仍有2项职责未履行完毕的；</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2.仍有1项职责未采取任何改正措施。</w:t>
            </w:r>
          </w:p>
        </w:tc>
        <w:tc>
          <w:tcPr>
            <w:tcW w:w="40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对单位罚款6万元≤×＜7万元，对消防安全责任人罚款单位罚款数额的百分之五以上百分之十以下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p>
        </w:tc>
        <w:tc>
          <w:tcPr>
            <w:tcW w:w="194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pStyle w:val="6"/>
              <w:bidi w:val="0"/>
              <w:jc w:val="left"/>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63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7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28"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轻微</w:t>
            </w:r>
          </w:p>
        </w:tc>
        <w:tc>
          <w:tcPr>
            <w:tcW w:w="5294"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仍有1项职责未履行完毕的。</w:t>
            </w:r>
          </w:p>
        </w:tc>
        <w:tc>
          <w:tcPr>
            <w:tcW w:w="40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对单位罚款5万元≤×＜6万元，对消防安全责任人罚款单位罚款数额的百分之五以上百分之十以下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818"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both"/>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备注</w:t>
            </w:r>
          </w:p>
        </w:tc>
        <w:tc>
          <w:tcPr>
            <w:tcW w:w="19563" w:type="dxa"/>
            <w:gridSpan w:val="6"/>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1.本条</w:t>
            </w:r>
            <w:r>
              <w:rPr>
                <w:rFonts w:hint="eastAsia" w:ascii="仿宋_GB2312" w:hAnsi="仿宋_GB2312" w:cs="仿宋_GB2312"/>
                <w:i w:val="0"/>
                <w:iCs w:val="0"/>
                <w:color w:val="auto"/>
                <w:kern w:val="0"/>
                <w:sz w:val="24"/>
                <w:szCs w:val="24"/>
                <w:highlight w:val="none"/>
                <w:u w:val="none"/>
                <w:lang w:val="en-US" w:eastAsia="zh-CN" w:bidi="ar"/>
              </w:rPr>
              <w:t>违法情节</w:t>
            </w:r>
            <w:r>
              <w:rPr>
                <w:rFonts w:hint="eastAsia" w:ascii="仿宋_GB2312" w:hAnsi="仿宋_GB2312" w:eastAsia="仿宋_GB2312" w:cs="仿宋_GB2312"/>
                <w:i w:val="0"/>
                <w:iCs w:val="0"/>
                <w:color w:val="auto"/>
                <w:kern w:val="0"/>
                <w:sz w:val="24"/>
                <w:szCs w:val="24"/>
                <w:highlight w:val="none"/>
                <w:u w:val="none"/>
                <w:lang w:val="en-US" w:eastAsia="zh-CN" w:bidi="ar"/>
              </w:rPr>
              <w:t>中的“项”是指第十八条第一项、第三项、第五项、第六项和第十九条中规定的各项义务，并非责令改正文书中的具体违法行为数量。</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大型商业综合体的产权人、使用人)未履行消防安全职责逾期未改，违反的规定为《深圳经济特区消防条例》第十八条、第十九条、第二十条；（高层公共建筑的产权人、使用人)未履行消防安全职责逾期未改，违反的规定为《深圳经济特区消防条例》第十八条、第十九条、第二十一条；（公共娱乐场所经营者)未履行消防安全职责逾期未改，违反的规定为《深圳经济特区消防条例》第十八条、第十九条、第二十二条；上述三个案由的违法，处罚依据为《深圳经济特区消防条例》第九十六条。参照本项裁量基准细则从重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p>
        </w:tc>
        <w:tc>
          <w:tcPr>
            <w:tcW w:w="194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pStyle w:val="6"/>
              <w:bidi w:val="0"/>
              <w:jc w:val="left"/>
              <w:rPr>
                <w:rFonts w:hint="eastAsia" w:ascii="仿宋_GB2312" w:hAnsi="仿宋_GB2312" w:eastAsia="仿宋_GB2312" w:cs="仿宋_GB2312"/>
                <w:i w:val="0"/>
                <w:iCs w:val="0"/>
                <w:color w:val="auto"/>
                <w:kern w:val="0"/>
                <w:sz w:val="24"/>
                <w:szCs w:val="24"/>
                <w:highlight w:val="none"/>
                <w:u w:val="none"/>
                <w:lang w:val="en-US" w:eastAsia="zh-CN" w:bidi="ar"/>
              </w:rPr>
            </w:pPr>
            <w:bookmarkStart w:id="35" w:name="_Toc2206"/>
            <w:bookmarkStart w:id="36" w:name="_Toc2421"/>
            <w:r>
              <w:rPr>
                <w:rFonts w:hint="eastAsia" w:ascii="仿宋_GB2312" w:hAnsi="仿宋_GB2312" w:eastAsia="仿宋_GB2312" w:cs="仿宋_GB2312"/>
                <w:i w:val="0"/>
                <w:iCs w:val="0"/>
                <w:color w:val="auto"/>
                <w:kern w:val="0"/>
                <w:sz w:val="24"/>
                <w:szCs w:val="24"/>
                <w:highlight w:val="none"/>
                <w:u w:val="none"/>
                <w:lang w:val="en-US" w:eastAsia="zh-CN" w:bidi="ar"/>
              </w:rPr>
              <w:t>住宅区的物业服务人未履行消防安全责任的</w:t>
            </w:r>
            <w:bookmarkEnd w:id="35"/>
            <w:bookmarkEnd w:id="36"/>
          </w:p>
        </w:tc>
        <w:tc>
          <w:tcPr>
            <w:tcW w:w="3633"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《深圳经济特区消防条例》第二十四条第一款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住宅区的物业服务人在物业服务区域内履行下列消防安全职责：</w: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i w:val="0"/>
                <w:iCs w:val="0"/>
                <w:color w:val="auto"/>
                <w:kern w:val="0"/>
                <w:sz w:val="24"/>
                <w:szCs w:val="24"/>
                <w:highlight w:val="none"/>
                <w:u w:val="none"/>
                <w:lang w:val="en-US" w:eastAsia="zh-CN" w:bidi="ar"/>
              </w:rPr>
              <w:instrText xml:space="preserve"> HYPERLINK "javascript:void(0);" </w:instrTex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bookmarkStart w:id="37" w:name="tiao_24_kuan_1_xiang_1"/>
            <w:bookmarkEnd w:id="37"/>
            <w:r>
              <w:rPr>
                <w:rFonts w:hint="eastAsia" w:ascii="仿宋_GB2312" w:hAnsi="仿宋_GB2312" w:eastAsia="仿宋_GB2312" w:cs="仿宋_GB2312"/>
                <w:i w:val="0"/>
                <w:iCs w:val="0"/>
                <w:color w:val="auto"/>
                <w:kern w:val="0"/>
                <w:sz w:val="24"/>
                <w:szCs w:val="24"/>
                <w:highlight w:val="none"/>
                <w:u w:val="none"/>
                <w:lang w:val="en-US" w:eastAsia="zh-CN" w:bidi="ar"/>
              </w:rPr>
              <w:t>　　（一）建立健全消防安全制度，明确消防安全责任；</w: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i w:val="0"/>
                <w:iCs w:val="0"/>
                <w:color w:val="auto"/>
                <w:kern w:val="0"/>
                <w:sz w:val="24"/>
                <w:szCs w:val="24"/>
                <w:highlight w:val="none"/>
                <w:u w:val="none"/>
                <w:lang w:val="en-US" w:eastAsia="zh-CN" w:bidi="ar"/>
              </w:rPr>
              <w:instrText xml:space="preserve"> HYPERLINK "javascript:void(0);" </w:instrTex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bookmarkStart w:id="38" w:name="tiao_24_kuan_1_xiang_2"/>
            <w:bookmarkEnd w:id="38"/>
            <w:r>
              <w:rPr>
                <w:rFonts w:hint="eastAsia" w:ascii="仿宋_GB2312" w:hAnsi="仿宋_GB2312" w:eastAsia="仿宋_GB2312" w:cs="仿宋_GB2312"/>
                <w:i w:val="0"/>
                <w:iCs w:val="0"/>
                <w:color w:val="auto"/>
                <w:kern w:val="0"/>
                <w:sz w:val="24"/>
                <w:szCs w:val="24"/>
                <w:highlight w:val="none"/>
                <w:u w:val="none"/>
                <w:lang w:val="en-US" w:eastAsia="zh-CN" w:bidi="ar"/>
              </w:rPr>
              <w:t>　　（二）定期开展防火检查，消除火灾隐患；</w: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i w:val="0"/>
                <w:iCs w:val="0"/>
                <w:color w:val="auto"/>
                <w:kern w:val="0"/>
                <w:sz w:val="24"/>
                <w:szCs w:val="24"/>
                <w:highlight w:val="none"/>
                <w:u w:val="none"/>
                <w:lang w:val="en-US" w:eastAsia="zh-CN" w:bidi="ar"/>
              </w:rPr>
              <w:instrText xml:space="preserve"> HYPERLINK "javascript:void(0);" </w:instrTex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bookmarkStart w:id="39" w:name="tiao_24_kuan_1_xiang_3"/>
            <w:bookmarkEnd w:id="39"/>
            <w:r>
              <w:rPr>
                <w:rFonts w:hint="eastAsia" w:ascii="仿宋_GB2312" w:hAnsi="仿宋_GB2312" w:eastAsia="仿宋_GB2312" w:cs="仿宋_GB2312"/>
                <w:i w:val="0"/>
                <w:iCs w:val="0"/>
                <w:color w:val="auto"/>
                <w:kern w:val="0"/>
                <w:sz w:val="24"/>
                <w:szCs w:val="24"/>
                <w:highlight w:val="none"/>
                <w:u w:val="none"/>
                <w:lang w:val="en-US" w:eastAsia="zh-CN" w:bidi="ar"/>
              </w:rPr>
              <w:t>　　（三）发现消防违法行为的，立即制止，制止无效的，及时报告消防救援机构或者街道办事处；</w: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i w:val="0"/>
                <w:iCs w:val="0"/>
                <w:color w:val="auto"/>
                <w:kern w:val="0"/>
                <w:sz w:val="24"/>
                <w:szCs w:val="24"/>
                <w:highlight w:val="none"/>
                <w:u w:val="none"/>
                <w:lang w:val="en-US" w:eastAsia="zh-CN" w:bidi="ar"/>
              </w:rPr>
              <w:instrText xml:space="preserve"> HYPERLINK "javascript:void(0);" </w:instrTex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bookmarkStart w:id="40" w:name="tiao_24_kuan_1_xiang_4"/>
            <w:bookmarkEnd w:id="40"/>
            <w:r>
              <w:rPr>
                <w:rFonts w:hint="eastAsia" w:ascii="仿宋_GB2312" w:hAnsi="仿宋_GB2312" w:eastAsia="仿宋_GB2312" w:cs="仿宋_GB2312"/>
                <w:i w:val="0"/>
                <w:iCs w:val="0"/>
                <w:color w:val="auto"/>
                <w:kern w:val="0"/>
                <w:sz w:val="24"/>
                <w:szCs w:val="24"/>
                <w:highlight w:val="none"/>
                <w:u w:val="none"/>
                <w:lang w:val="en-US" w:eastAsia="zh-CN" w:bidi="ar"/>
              </w:rPr>
              <w:t>　　（四）落实消防车通道标志、标识、标线管理，保障公共疏散通道、安全出口、消防车通道畅通；</w: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i w:val="0"/>
                <w:iCs w:val="0"/>
                <w:color w:val="auto"/>
                <w:kern w:val="0"/>
                <w:sz w:val="24"/>
                <w:szCs w:val="24"/>
                <w:highlight w:val="none"/>
                <w:u w:val="none"/>
                <w:lang w:val="en-US" w:eastAsia="zh-CN" w:bidi="ar"/>
              </w:rPr>
              <w:instrText xml:space="preserve"> HYPERLINK "javascript:void(0);" </w:instrTex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ind w:firstLine="48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bookmarkStart w:id="41" w:name="tiao_24_kuan_1_xiang_5"/>
            <w:bookmarkEnd w:id="41"/>
            <w:r>
              <w:rPr>
                <w:rFonts w:hint="eastAsia" w:ascii="仿宋_GB2312" w:hAnsi="仿宋_GB2312" w:eastAsia="仿宋_GB2312" w:cs="仿宋_GB2312"/>
                <w:i w:val="0"/>
                <w:iCs w:val="0"/>
                <w:color w:val="auto"/>
                <w:kern w:val="0"/>
                <w:sz w:val="24"/>
                <w:szCs w:val="24"/>
                <w:highlight w:val="none"/>
                <w:u w:val="none"/>
                <w:lang w:val="en-US" w:eastAsia="zh-CN" w:bidi="ar"/>
              </w:rPr>
              <w:t>（五）管理、维护物业服务区域内的公共消防设施、器材，保障消防设施、器材以及消防安全标志完好有效；</w: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i w:val="0"/>
                <w:iCs w:val="0"/>
                <w:color w:val="auto"/>
                <w:kern w:val="0"/>
                <w:sz w:val="24"/>
                <w:szCs w:val="24"/>
                <w:highlight w:val="none"/>
                <w:u w:val="none"/>
                <w:lang w:val="en-US" w:eastAsia="zh-CN" w:bidi="ar"/>
              </w:rPr>
              <w:instrText xml:space="preserve"> HYPERLINK "javascript:void(0);" </w:instrTex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end"/>
            </w:r>
            <w:bookmarkStart w:id="42" w:name="tiao_24_kuan_1_xiang_6"/>
            <w:bookmarkEnd w:id="42"/>
          </w:p>
          <w:p>
            <w:pPr>
              <w:keepNext w:val="0"/>
              <w:keepLines w:val="0"/>
              <w:pageBreakBefore w:val="0"/>
              <w:widowControl/>
              <w:suppressLineNumbers w:val="0"/>
              <w:kinsoku/>
              <w:wordWrap/>
              <w:overflowPunct/>
              <w:topLinePunct w:val="0"/>
              <w:autoSpaceDE/>
              <w:autoSpaceDN/>
              <w:bidi w:val="0"/>
              <w:adjustRightInd/>
              <w:snapToGrid/>
              <w:ind w:firstLine="48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（六）负责物业服务区域内电动自行车、电动摩托车及其蓄电池停放、放置、充电等行为的消防安全管理；</w: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i w:val="0"/>
                <w:iCs w:val="0"/>
                <w:color w:val="auto"/>
                <w:kern w:val="0"/>
                <w:sz w:val="24"/>
                <w:szCs w:val="24"/>
                <w:highlight w:val="none"/>
                <w:u w:val="none"/>
                <w:lang w:val="en-US" w:eastAsia="zh-CN" w:bidi="ar"/>
              </w:rPr>
              <w:instrText xml:space="preserve"> HYPERLINK "javascript:void(0);" </w:instrTex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end"/>
            </w:r>
            <w:bookmarkStart w:id="43" w:name="tiao_24_kuan_1_xiang_7"/>
            <w:bookmarkEnd w:id="43"/>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（七）开展消防宣传教育，每年至少组织一次消防演练；</w: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i w:val="0"/>
                <w:iCs w:val="0"/>
                <w:color w:val="auto"/>
                <w:kern w:val="0"/>
                <w:sz w:val="24"/>
                <w:szCs w:val="24"/>
                <w:highlight w:val="none"/>
                <w:u w:val="none"/>
                <w:lang w:val="en-US" w:eastAsia="zh-CN" w:bidi="ar"/>
              </w:rPr>
              <w:instrText xml:space="preserve"> HYPERLINK "javascript:void(0);" </w:instrTex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bookmarkStart w:id="44" w:name="tiao_24_kuan_1_xiang_8"/>
            <w:bookmarkEnd w:id="44"/>
            <w:r>
              <w:rPr>
                <w:rFonts w:hint="eastAsia" w:ascii="仿宋_GB2312" w:hAnsi="仿宋_GB2312" w:eastAsia="仿宋_GB2312" w:cs="仿宋_GB2312"/>
                <w:i w:val="0"/>
                <w:iCs w:val="0"/>
                <w:color w:val="auto"/>
                <w:kern w:val="0"/>
                <w:sz w:val="24"/>
                <w:szCs w:val="24"/>
                <w:highlight w:val="none"/>
                <w:u w:val="none"/>
                <w:lang w:val="en-US" w:eastAsia="zh-CN" w:bidi="ar"/>
              </w:rPr>
              <w:t>　　（八）法律、法规以及国家和广东省有关规定明确的其他职责。</w:t>
            </w:r>
          </w:p>
        </w:tc>
        <w:tc>
          <w:tcPr>
            <w:tcW w:w="37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《深圳经济特区消防条例》第九十七条</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物业服务人违反本条例规定，有下列行为之一的，由消防救援机构责令限期改正；逾期不改正的，处五千元以上二万元以下罚款；情节严重的，处二万元以上五万元以下罚款：</w: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i w:val="0"/>
                <w:iCs w:val="0"/>
                <w:color w:val="auto"/>
                <w:kern w:val="0"/>
                <w:sz w:val="24"/>
                <w:szCs w:val="24"/>
                <w:highlight w:val="none"/>
                <w:u w:val="none"/>
                <w:lang w:val="en-US" w:eastAsia="zh-CN" w:bidi="ar"/>
              </w:rPr>
              <w:instrText xml:space="preserve"> HYPERLINK "javascript:void(0);" </w:instrTex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bookmarkStart w:id="45" w:name="tiao_97_kuan_1_xiang_1"/>
            <w:bookmarkEnd w:id="45"/>
            <w:r>
              <w:rPr>
                <w:rFonts w:hint="eastAsia" w:ascii="仿宋_GB2312" w:hAnsi="仿宋_GB2312" w:eastAsia="仿宋_GB2312" w:cs="仿宋_GB2312"/>
                <w:i w:val="0"/>
                <w:iCs w:val="0"/>
                <w:color w:val="auto"/>
                <w:kern w:val="0"/>
                <w:sz w:val="24"/>
                <w:szCs w:val="24"/>
                <w:highlight w:val="none"/>
                <w:u w:val="none"/>
                <w:lang w:val="en-US" w:eastAsia="zh-CN" w:bidi="ar"/>
              </w:rPr>
              <w:t>　　（一）未建立健全消防安全制度，明确消防安全责任的；</w: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i w:val="0"/>
                <w:iCs w:val="0"/>
                <w:color w:val="auto"/>
                <w:kern w:val="0"/>
                <w:sz w:val="24"/>
                <w:szCs w:val="24"/>
                <w:highlight w:val="none"/>
                <w:u w:val="none"/>
                <w:lang w:val="en-US" w:eastAsia="zh-CN" w:bidi="ar"/>
              </w:rPr>
              <w:instrText xml:space="preserve"> HYPERLINK "javascript:void(0);" </w:instrTex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bookmarkStart w:id="46" w:name="tiao_97_kuan_1_xiang_2"/>
            <w:bookmarkEnd w:id="46"/>
            <w:r>
              <w:rPr>
                <w:rFonts w:hint="eastAsia" w:ascii="仿宋_GB2312" w:hAnsi="仿宋_GB2312" w:eastAsia="仿宋_GB2312" w:cs="仿宋_GB2312"/>
                <w:i w:val="0"/>
                <w:iCs w:val="0"/>
                <w:color w:val="auto"/>
                <w:kern w:val="0"/>
                <w:sz w:val="24"/>
                <w:szCs w:val="24"/>
                <w:highlight w:val="none"/>
                <w:u w:val="none"/>
                <w:lang w:val="en-US" w:eastAsia="zh-CN" w:bidi="ar"/>
              </w:rPr>
              <w:t>　　（二）未定期开展防火检查，消除火灾隐患的；</w: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i w:val="0"/>
                <w:iCs w:val="0"/>
                <w:color w:val="auto"/>
                <w:kern w:val="0"/>
                <w:sz w:val="24"/>
                <w:szCs w:val="24"/>
                <w:highlight w:val="none"/>
                <w:u w:val="none"/>
                <w:lang w:val="en-US" w:eastAsia="zh-CN" w:bidi="ar"/>
              </w:rPr>
              <w:instrText xml:space="preserve"> HYPERLINK "javascript:void(0);" </w:instrTex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bookmarkStart w:id="47" w:name="tiao_97_kuan_1_xiang_3"/>
            <w:bookmarkEnd w:id="47"/>
            <w:r>
              <w:rPr>
                <w:rFonts w:hint="eastAsia" w:ascii="仿宋_GB2312" w:hAnsi="仿宋_GB2312" w:eastAsia="仿宋_GB2312" w:cs="仿宋_GB2312"/>
                <w:i w:val="0"/>
                <w:iCs w:val="0"/>
                <w:color w:val="auto"/>
                <w:kern w:val="0"/>
                <w:sz w:val="24"/>
                <w:szCs w:val="24"/>
                <w:highlight w:val="none"/>
                <w:u w:val="none"/>
                <w:lang w:val="en-US" w:eastAsia="zh-CN" w:bidi="ar"/>
              </w:rPr>
              <w:t>　　（三）未落实消防车通道管理，保障疏散通道、安全出口、消防车通道畅通的；</w: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i w:val="0"/>
                <w:iCs w:val="0"/>
                <w:color w:val="auto"/>
                <w:kern w:val="0"/>
                <w:sz w:val="24"/>
                <w:szCs w:val="24"/>
                <w:highlight w:val="none"/>
                <w:u w:val="none"/>
                <w:lang w:val="en-US" w:eastAsia="zh-CN" w:bidi="ar"/>
              </w:rPr>
              <w:instrText xml:space="preserve"> HYPERLINK "javascript:void(0);" </w:instrTex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bookmarkStart w:id="48" w:name="tiao_97_kuan_1_xiang_4"/>
            <w:bookmarkEnd w:id="48"/>
            <w:r>
              <w:rPr>
                <w:rFonts w:hint="eastAsia" w:ascii="仿宋_GB2312" w:hAnsi="仿宋_GB2312" w:eastAsia="仿宋_GB2312" w:cs="仿宋_GB2312"/>
                <w:i w:val="0"/>
                <w:iCs w:val="0"/>
                <w:color w:val="auto"/>
                <w:kern w:val="0"/>
                <w:sz w:val="24"/>
                <w:szCs w:val="24"/>
                <w:highlight w:val="none"/>
                <w:u w:val="none"/>
                <w:lang w:val="en-US" w:eastAsia="zh-CN" w:bidi="ar"/>
              </w:rPr>
              <w:t>　　（四）未落实电动自行车、电动摩托车消防安全管理的；</w: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i w:val="0"/>
                <w:iCs w:val="0"/>
                <w:color w:val="auto"/>
                <w:kern w:val="0"/>
                <w:sz w:val="24"/>
                <w:szCs w:val="24"/>
                <w:highlight w:val="none"/>
                <w:u w:val="none"/>
                <w:lang w:val="en-US" w:eastAsia="zh-CN" w:bidi="ar"/>
              </w:rPr>
              <w:instrText xml:space="preserve"> HYPERLINK "javascript:void(0);" </w:instrTex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bookmarkStart w:id="49" w:name="tiao_97_kuan_1_xiang_5"/>
            <w:bookmarkEnd w:id="49"/>
            <w:r>
              <w:rPr>
                <w:rFonts w:hint="eastAsia" w:ascii="仿宋_GB2312" w:hAnsi="仿宋_GB2312" w:eastAsia="仿宋_GB2312" w:cs="仿宋_GB2312"/>
                <w:i w:val="0"/>
                <w:iCs w:val="0"/>
                <w:color w:val="auto"/>
                <w:kern w:val="0"/>
                <w:sz w:val="24"/>
                <w:szCs w:val="24"/>
                <w:highlight w:val="none"/>
                <w:u w:val="none"/>
                <w:lang w:val="en-US" w:eastAsia="zh-CN" w:bidi="ar"/>
              </w:rPr>
              <w:t>　　（五）未开展消防宣传教育，或者未每年组织一次消防演练的。</w:t>
            </w:r>
          </w:p>
        </w:tc>
        <w:tc>
          <w:tcPr>
            <w:tcW w:w="828"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严重</w:t>
            </w:r>
          </w:p>
        </w:tc>
        <w:tc>
          <w:tcPr>
            <w:tcW w:w="5294"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违法行为直接影响的防灭火功能的建筑面积7万㎡以上</w:t>
            </w:r>
          </w:p>
        </w:tc>
        <w:tc>
          <w:tcPr>
            <w:tcW w:w="40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4万元≤×≤5万元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Style w:val="6"/>
              <w:bidi w:val="0"/>
              <w:jc w:val="left"/>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63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7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28" w:type="dxa"/>
            <w:vMerge w:val="continue"/>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529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违法行为直接影响的防灭火功能的建筑面积6万㎡以上，7万㎡以下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3万元≤×＜4万元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Style w:val="6"/>
              <w:bidi w:val="0"/>
              <w:jc w:val="left"/>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63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7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28"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违法行为直接影响的防灭火功能的建筑面积5万㎡以上，6万㎡以下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2万元≤×＜3万元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Style w:val="6"/>
              <w:bidi w:val="0"/>
              <w:jc w:val="left"/>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63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7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2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违法行为直接影响的防灭火功能的建筑面积3.5万㎡以上，5万㎡以下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1.625万元≤×＜2万元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Style w:val="6"/>
              <w:bidi w:val="0"/>
              <w:jc w:val="left"/>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63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7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2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违法行为直接影响的防灭火功能的建筑面积2万㎡以上，3.5万㎡以下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1.25万元≤×＜1.625万元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Style w:val="6"/>
              <w:bidi w:val="0"/>
              <w:jc w:val="left"/>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63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7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2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违法行为直接影响的防灭火功能的建筑面积5000㎡以上，2万㎡以下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8750元≤×＜1.25万元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Style w:val="6"/>
              <w:bidi w:val="0"/>
              <w:jc w:val="left"/>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63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7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28"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违法行为直接影响的防灭火功能的建筑面积5000㎡以下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5000元≤×＜8750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818"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p>
        </w:tc>
        <w:tc>
          <w:tcPr>
            <w:tcW w:w="194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pStyle w:val="6"/>
              <w:bidi w:val="0"/>
              <w:ind w:firstLine="0" w:firstLineChars="0"/>
              <w:rPr>
                <w:rFonts w:hint="eastAsia" w:ascii="仿宋_GB2312" w:hAnsi="仿宋_GB2312" w:eastAsia="仿宋_GB2312" w:cs="仿宋_GB2312"/>
                <w:i w:val="0"/>
                <w:iCs w:val="0"/>
                <w:color w:val="auto"/>
                <w:kern w:val="0"/>
                <w:sz w:val="24"/>
                <w:szCs w:val="24"/>
                <w:highlight w:val="none"/>
                <w:u w:val="none"/>
                <w:lang w:val="en-US" w:eastAsia="zh-CN" w:bidi="ar"/>
              </w:rPr>
            </w:pPr>
            <w:bookmarkStart w:id="50" w:name="_Toc2369"/>
            <w:r>
              <w:rPr>
                <w:rFonts w:hint="eastAsia" w:ascii="仿宋_GB2312" w:hAnsi="仿宋_GB2312" w:eastAsia="仿宋_GB2312" w:cs="仿宋_GB2312"/>
                <w:color w:val="auto"/>
                <w:highlight w:val="none"/>
                <w:lang w:val="en-US" w:eastAsia="zh-CN"/>
              </w:rPr>
              <w:t>公众聚集场所未经消防救援机构许可，擅自投入使用、营业的</w:t>
            </w:r>
            <w:bookmarkEnd w:id="50"/>
          </w:p>
        </w:tc>
        <w:tc>
          <w:tcPr>
            <w:tcW w:w="36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《深圳经济特区消防条例》第三十六条第一款</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公众聚集场所投入使用、营业前应当向消防救援机构申请消防安全检查，未经消防救援机构许可的，不得投入使用、营业。</w:t>
            </w:r>
          </w:p>
        </w:tc>
        <w:tc>
          <w:tcPr>
            <w:tcW w:w="3793"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《深圳经济特区消防条例》第九十八条第一款第四项</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违反本条例规定，有下列行为之一的，由住房建设部门、消防救援机构按照各自职责责令停止施工、停止使用或者停产停业，并处三万元以上十万元以下罚款；情节严重的，由住房建设部门、消防救援机构按照各自职责责令停止施工、停止使用或者停产停业，并处十万元以上三十万元以下罚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（四）公众聚集场所未经消防救援机构许可，擅自投入使用、营业的，或者经核查发现场所使用、营业情况与承诺内容不符的。</w:t>
            </w:r>
          </w:p>
        </w:tc>
        <w:tc>
          <w:tcPr>
            <w:tcW w:w="828"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严重</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p>
        </w:tc>
        <w:tc>
          <w:tcPr>
            <w:tcW w:w="5294"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场所存在重大火灾隐患，且未主动停止使用、营业的。</w:t>
            </w:r>
          </w:p>
        </w:tc>
        <w:tc>
          <w:tcPr>
            <w:tcW w:w="40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责令停止使用或者停产停业，并处罚款（ 2</w:t>
            </w:r>
            <w:r>
              <w:rPr>
                <w:rFonts w:hint="eastAsia" w:ascii="仿宋_GB2312" w:hAnsi="仿宋_GB2312" w:cs="仿宋_GB2312"/>
                <w:i w:val="0"/>
                <w:iCs w:val="0"/>
                <w:color w:val="auto"/>
                <w:kern w:val="0"/>
                <w:sz w:val="24"/>
                <w:szCs w:val="24"/>
                <w:highlight w:val="none"/>
                <w:u w:val="none"/>
                <w:lang w:val="en-US" w:eastAsia="zh-CN" w:bidi="ar"/>
              </w:rPr>
              <w:t>4</w:t>
            </w:r>
            <w:r>
              <w:rPr>
                <w:rFonts w:hint="eastAsia" w:ascii="仿宋_GB2312" w:hAnsi="仿宋_GB2312" w:eastAsia="仿宋_GB2312" w:cs="仿宋_GB2312"/>
                <w:i w:val="0"/>
                <w:iCs w:val="0"/>
                <w:color w:val="auto"/>
                <w:kern w:val="0"/>
                <w:sz w:val="24"/>
                <w:szCs w:val="24"/>
                <w:highlight w:val="none"/>
                <w:u w:val="none"/>
                <w:lang w:val="en-US" w:eastAsia="zh-CN" w:bidi="ar"/>
              </w:rPr>
              <w:t>万元≤×≤30万元）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81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Style w:val="6"/>
              <w:bidi w:val="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79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28" w:type="dxa"/>
            <w:vMerge w:val="continue"/>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p>
        </w:tc>
        <w:tc>
          <w:tcPr>
            <w:tcW w:w="529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存在公众聚集场所投入使用、营业检查规则中涉及消防安全技术条件的重要事项3项以上或者其他消防安全事项的重要事项1项以上，且未主动停止使用、营业的。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责令停止使用或者停产停业，并处罚款（16万元≤×＜2</w:t>
            </w:r>
            <w:r>
              <w:rPr>
                <w:rFonts w:hint="eastAsia" w:ascii="仿宋_GB2312" w:hAnsi="仿宋_GB2312" w:cs="仿宋_GB2312"/>
                <w:i w:val="0"/>
                <w:iCs w:val="0"/>
                <w:color w:val="auto"/>
                <w:kern w:val="0"/>
                <w:sz w:val="24"/>
                <w:szCs w:val="24"/>
                <w:highlight w:val="none"/>
                <w:u w:val="none"/>
                <w:lang w:val="en-US" w:eastAsia="zh-CN" w:bidi="ar"/>
              </w:rPr>
              <w:t>4</w:t>
            </w:r>
            <w:r>
              <w:rPr>
                <w:rFonts w:hint="eastAsia" w:ascii="仿宋_GB2312" w:hAnsi="仿宋_GB2312" w:eastAsia="仿宋_GB2312" w:cs="仿宋_GB2312"/>
                <w:i w:val="0"/>
                <w:iCs w:val="0"/>
                <w:color w:val="auto"/>
                <w:kern w:val="0"/>
                <w:sz w:val="24"/>
                <w:szCs w:val="24"/>
                <w:highlight w:val="none"/>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81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Style w:val="6"/>
              <w:bidi w:val="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79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28"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存在公众聚集场所投入使用、营业检查规则中涉及消防安全技术条件的重要事项1项以上3项以下，且未主动停止使用、营业的。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责令停止使用或者停产停业，并处罚款（10万元≤×＜16万元）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81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Style w:val="6"/>
              <w:bidi w:val="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79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2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存在公众聚集场所投入使用、营业检查规则中涉及消防安全责任、消防安全管理等重要事项，且未主动停止使用、营业的。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责令停止使用或者停产停业，并处罚款（6.5万元 ≤×＜10万元）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81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kern w:val="2"/>
                <w:sz w:val="24"/>
                <w:szCs w:val="24"/>
                <w:highlight w:val="none"/>
                <w:u w:val="none"/>
                <w:lang w:val="en-US" w:eastAsia="zh-CN" w:bidi="ar-SA"/>
              </w:rPr>
            </w:pPr>
          </w:p>
        </w:tc>
        <w:tc>
          <w:tcPr>
            <w:tcW w:w="36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kern w:val="2"/>
                <w:sz w:val="24"/>
                <w:szCs w:val="24"/>
                <w:highlight w:val="none"/>
                <w:u w:val="none"/>
                <w:lang w:val="en-US" w:eastAsia="zh-CN" w:bidi="ar-SA"/>
              </w:rPr>
            </w:pPr>
          </w:p>
        </w:tc>
        <w:tc>
          <w:tcPr>
            <w:tcW w:w="379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kern w:val="2"/>
                <w:sz w:val="24"/>
                <w:szCs w:val="24"/>
                <w:highlight w:val="none"/>
                <w:u w:val="none"/>
                <w:lang w:val="en-US" w:eastAsia="zh-CN" w:bidi="ar-SA"/>
              </w:rPr>
            </w:pPr>
          </w:p>
        </w:tc>
        <w:tc>
          <w:tcPr>
            <w:tcW w:w="828"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1.符合消防安全要求、具备许可条件的；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2.主动停止使用、营业的。</w:t>
            </w:r>
          </w:p>
        </w:tc>
        <w:tc>
          <w:tcPr>
            <w:tcW w:w="40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责令停止使用或者停产停业，并处罚款（3万元≤×＜6.5万元）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8"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备注</w:t>
            </w:r>
          </w:p>
        </w:tc>
        <w:tc>
          <w:tcPr>
            <w:tcW w:w="19563" w:type="dxa"/>
            <w:gridSpan w:val="6"/>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1.“主动停止使用、营业的”是指监督检查当日或者监督检查前主动完成停止使用、营业的。</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2.“重大火灾隐患”，具体以《重大火灾隐患判定规则》（GB35181-2025）为准。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8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p>
        </w:tc>
        <w:tc>
          <w:tcPr>
            <w:tcW w:w="1940"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pStyle w:val="6"/>
              <w:bidi w:val="0"/>
              <w:ind w:firstLine="0" w:firstLineChars="0"/>
              <w:rPr>
                <w:rFonts w:hint="eastAsia" w:ascii="仿宋_GB2312" w:hAnsi="仿宋_GB2312" w:eastAsia="仿宋_GB2312" w:cs="仿宋_GB2312"/>
                <w:i w:val="0"/>
                <w:iCs w:val="0"/>
                <w:color w:val="auto"/>
                <w:kern w:val="0"/>
                <w:sz w:val="24"/>
                <w:szCs w:val="24"/>
                <w:highlight w:val="none"/>
                <w:u w:val="none"/>
                <w:lang w:val="en-US" w:eastAsia="zh-CN" w:bidi="ar"/>
              </w:rPr>
            </w:pPr>
            <w:bookmarkStart w:id="51" w:name="_Toc11273"/>
            <w:r>
              <w:rPr>
                <w:rFonts w:hint="eastAsia" w:ascii="仿宋_GB2312" w:hAnsi="仿宋_GB2312" w:eastAsia="仿宋_GB2312" w:cs="仿宋_GB2312"/>
                <w:color w:val="auto"/>
                <w:highlight w:val="none"/>
                <w:lang w:val="en-US" w:eastAsia="zh-CN"/>
              </w:rPr>
              <w:t>公众聚集场所经核查发现场所使用、营业情况与承诺内容不符的</w:t>
            </w:r>
            <w:bookmarkEnd w:id="51"/>
          </w:p>
        </w:tc>
        <w:tc>
          <w:tcPr>
            <w:tcW w:w="3633"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《深圳经济特区消防条例》第三十六条第一款</w:t>
            </w:r>
            <w:r>
              <w:rPr>
                <w:rFonts w:hint="eastAsia" w:ascii="仿宋_GB2312" w:hAnsi="仿宋_GB2312" w:cs="仿宋_GB2312"/>
                <w:i w:val="0"/>
                <w:iCs w:val="0"/>
                <w:color w:val="auto"/>
                <w:kern w:val="0"/>
                <w:sz w:val="24"/>
                <w:szCs w:val="24"/>
                <w:highlight w:val="none"/>
                <w:u w:val="none"/>
                <w:lang w:val="en-US" w:eastAsia="zh-CN" w:bidi="ar"/>
              </w:rPr>
              <w:t>、第二款</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公众聚集场所投入使用、营业前应当向消防救援机构申请消防安全检查，未经消防救援机构许可的，不得投入使用、营业。</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申请人选择告知承诺方式办理公众聚集场所投入使用、营业前消防安全许可，申请材料齐全、符合法定形式的，消防救援机构应当当场予以许可，并自许可之日起二十个工作日内，根据消防技术标准和管理规定，进行现场核查。</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7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《深圳经济特区消防条例》第九十八条第一款第四项</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违反本条例规定，有下列行为之一的，由住房建设部门、消防救援机构按照各自职责责令停止施工、停止使用或者停产停业，并处三万元以上十万元以下罚款；情节严重的，由住房建设部门、消防救援机构按照各自职责责令停止施工、停止使用或者停产停业，并处十万元以上三十万元以下罚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（四）公众聚集场所未经消防救援机构许可，擅自投入使用、营业的，或者经核查发现场所使用、营业情况与承诺内容不符的。</w:t>
            </w:r>
          </w:p>
        </w:tc>
        <w:tc>
          <w:tcPr>
            <w:tcW w:w="828"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严重</w:t>
            </w:r>
          </w:p>
        </w:tc>
        <w:tc>
          <w:tcPr>
            <w:tcW w:w="5294"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场所存在重大火灾隐患，且未主动停止使用、营业的。</w:t>
            </w:r>
          </w:p>
        </w:tc>
        <w:tc>
          <w:tcPr>
            <w:tcW w:w="40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责令停止使用或者停产停业，并处罚款（ 2</w:t>
            </w:r>
            <w:r>
              <w:rPr>
                <w:rFonts w:hint="eastAsia" w:ascii="仿宋_GB2312" w:hAnsi="仿宋_GB2312" w:cs="仿宋_GB2312"/>
                <w:i w:val="0"/>
                <w:iCs w:val="0"/>
                <w:color w:val="auto"/>
                <w:kern w:val="0"/>
                <w:sz w:val="24"/>
                <w:szCs w:val="24"/>
                <w:highlight w:val="none"/>
                <w:u w:val="none"/>
                <w:lang w:val="en-US" w:eastAsia="zh-CN" w:bidi="ar"/>
              </w:rPr>
              <w:t>4</w:t>
            </w:r>
            <w:r>
              <w:rPr>
                <w:rFonts w:hint="eastAsia" w:ascii="仿宋_GB2312" w:hAnsi="仿宋_GB2312" w:eastAsia="仿宋_GB2312" w:cs="仿宋_GB2312"/>
                <w:i w:val="0"/>
                <w:iCs w:val="0"/>
                <w:color w:val="auto"/>
                <w:kern w:val="0"/>
                <w:sz w:val="24"/>
                <w:szCs w:val="24"/>
                <w:highlight w:val="none"/>
                <w:u w:val="none"/>
                <w:lang w:val="en-US" w:eastAsia="zh-CN" w:bidi="ar"/>
              </w:rPr>
              <w:t>万元≤×≤30万元）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8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p>
        </w:tc>
        <w:tc>
          <w:tcPr>
            <w:tcW w:w="194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pStyle w:val="6"/>
              <w:bidi w:val="0"/>
              <w:ind w:firstLine="0" w:firstLineChars="0"/>
              <w:rPr>
                <w:rFonts w:hint="eastAsia" w:ascii="仿宋_GB2312" w:hAnsi="仿宋_GB2312" w:eastAsia="仿宋_GB2312" w:cs="仿宋_GB2312"/>
                <w:color w:val="auto"/>
                <w:highlight w:val="none"/>
                <w:lang w:val="en-US" w:eastAsia="zh-CN"/>
              </w:rPr>
            </w:pPr>
          </w:p>
        </w:tc>
        <w:tc>
          <w:tcPr>
            <w:tcW w:w="363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793" w:type="dxa"/>
            <w:vMerge w:val="continue"/>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28" w:type="dxa"/>
            <w:vMerge w:val="continue"/>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529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存在公众聚集场所投入使用、营业检查规则中涉及消防安全技术条件的重要事项3项以上或者其他消防安全事项1项以上，与承诺不符，且未主动停止使用、营业的。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责令停止使用或者停产停业，并处罚款（16万元≤×＜2</w:t>
            </w:r>
            <w:r>
              <w:rPr>
                <w:rFonts w:hint="eastAsia" w:ascii="仿宋_GB2312" w:hAnsi="仿宋_GB2312" w:cs="仿宋_GB2312"/>
                <w:i w:val="0"/>
                <w:iCs w:val="0"/>
                <w:color w:val="auto"/>
                <w:kern w:val="0"/>
                <w:sz w:val="24"/>
                <w:szCs w:val="24"/>
                <w:highlight w:val="none"/>
                <w:u w:val="none"/>
                <w:lang w:val="en-US" w:eastAsia="zh-CN" w:bidi="ar"/>
              </w:rPr>
              <w:t>4</w:t>
            </w:r>
            <w:r>
              <w:rPr>
                <w:rFonts w:hint="eastAsia" w:ascii="仿宋_GB2312" w:hAnsi="仿宋_GB2312" w:eastAsia="仿宋_GB2312" w:cs="仿宋_GB2312"/>
                <w:i w:val="0"/>
                <w:iCs w:val="0"/>
                <w:color w:val="auto"/>
                <w:kern w:val="0"/>
                <w:sz w:val="24"/>
                <w:szCs w:val="24"/>
                <w:highlight w:val="none"/>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8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p>
        </w:tc>
        <w:tc>
          <w:tcPr>
            <w:tcW w:w="194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pStyle w:val="6"/>
              <w:bidi w:val="0"/>
              <w:ind w:firstLine="0" w:firstLineChars="0"/>
              <w:rPr>
                <w:rFonts w:hint="eastAsia" w:ascii="仿宋_GB2312" w:hAnsi="仿宋_GB2312" w:eastAsia="仿宋_GB2312" w:cs="仿宋_GB2312"/>
                <w:color w:val="auto"/>
                <w:highlight w:val="none"/>
                <w:lang w:val="en-US" w:eastAsia="zh-CN"/>
              </w:rPr>
            </w:pPr>
          </w:p>
        </w:tc>
        <w:tc>
          <w:tcPr>
            <w:tcW w:w="363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793"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28"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存在公众聚集场所投入使用、营业检查规则中涉及消防安全技术条件的重要事项1项以上3项以下与承诺不符，且未主动停止使用、营业的。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责令停止使用或者停产停业，并处罚款（10万元≤×＜16万元）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8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pStyle w:val="6"/>
              <w:bidi w:val="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7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2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存在公众聚集场所投入使用、营业检查规则中涉及消防安全责任、消防安全管理等重要事项与承诺不符，且未主动停止使用、营业的。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责令停止使用或者停产停业，并处罚款（6.5万元 ≤×＜10万元）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8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pStyle w:val="6"/>
              <w:bidi w:val="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7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2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主动停止使用、营业的。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责令停止使用或者停产停业，并处罚款（3万元≤×＜6.5万元）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5" w:hRule="atLeast"/>
        </w:trPr>
        <w:tc>
          <w:tcPr>
            <w:tcW w:w="8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备注</w:t>
            </w:r>
          </w:p>
        </w:tc>
        <w:tc>
          <w:tcPr>
            <w:tcW w:w="19563" w:type="dxa"/>
            <w:gridSpan w:val="6"/>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1.“主动停止使用、营业的”是指监督检查当日主动完成停止使用、营业的。</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2.“重大火灾隐患”，具体以《重大火灾隐患判定规则》（GB35181-2025）为准。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81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cs="仿宋_GB2312"/>
                <w:i w:val="0"/>
                <w:iCs w:val="0"/>
                <w:color w:val="auto"/>
                <w:sz w:val="24"/>
                <w:szCs w:val="24"/>
                <w:highlight w:val="none"/>
                <w:u w:val="none"/>
              </w:rPr>
            </w:pPr>
          </w:p>
        </w:tc>
        <w:tc>
          <w:tcPr>
            <w:tcW w:w="194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pStyle w:val="6"/>
              <w:bidi w:val="0"/>
              <w:jc w:val="left"/>
              <w:rPr>
                <w:rFonts w:hint="eastAsia" w:ascii="仿宋_GB2312" w:hAnsi="仿宋_GB2312" w:eastAsia="仿宋_GB2312" w:cs="仿宋_GB2312"/>
                <w:i w:val="0"/>
                <w:iCs w:val="0"/>
                <w:color w:val="auto"/>
                <w:sz w:val="24"/>
                <w:szCs w:val="24"/>
                <w:highlight w:val="none"/>
                <w:u w:val="none"/>
                <w:lang w:val="en-US" w:eastAsia="zh-CN"/>
              </w:rPr>
            </w:pPr>
            <w:bookmarkStart w:id="52" w:name="_Toc24794"/>
            <w:r>
              <w:rPr>
                <w:rFonts w:hint="eastAsia" w:ascii="仿宋_GB2312" w:hAnsi="仿宋_GB2312" w:eastAsia="仿宋_GB2312" w:cs="仿宋_GB2312"/>
                <w:i w:val="0"/>
                <w:iCs w:val="0"/>
                <w:color w:val="auto"/>
                <w:sz w:val="24"/>
                <w:szCs w:val="24"/>
                <w:highlight w:val="none"/>
                <w:u w:val="none"/>
              </w:rPr>
              <w:t>违规停放、放置电动自行车、电动摩托车及其蓄电池，或者为其蓄电池充电</w:t>
            </w:r>
            <w:bookmarkEnd w:id="52"/>
            <w:r>
              <w:rPr>
                <w:rFonts w:hint="eastAsia" w:ascii="仿宋_GB2312" w:hAnsi="仿宋_GB2312" w:eastAsia="仿宋_GB2312" w:cs="仿宋_GB2312"/>
                <w:i w:val="0"/>
                <w:iCs w:val="0"/>
                <w:color w:val="auto"/>
                <w:sz w:val="24"/>
                <w:szCs w:val="24"/>
                <w:highlight w:val="none"/>
                <w:u w:val="none"/>
                <w:lang w:val="en-US" w:eastAsia="zh-CN"/>
              </w:rPr>
              <w:t>的</w:t>
            </w:r>
          </w:p>
        </w:tc>
        <w:tc>
          <w:tcPr>
            <w:tcW w:w="36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《深圳经济特区消防条例》第四十八条第一款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除本条例第四十五条第一款规定外，禁止电动自行车、电动摩托车及其蓄电池在下列地点停放、放置或者充电：</w: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i w:val="0"/>
                <w:iCs w:val="0"/>
                <w:color w:val="auto"/>
                <w:kern w:val="0"/>
                <w:sz w:val="24"/>
                <w:szCs w:val="24"/>
                <w:highlight w:val="none"/>
                <w:u w:val="none"/>
                <w:lang w:val="en-US" w:eastAsia="zh-CN" w:bidi="ar"/>
              </w:rPr>
              <w:instrText xml:space="preserve"> HYPERLINK "javascript:void(0);" </w:instrTex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bookmarkStart w:id="53" w:name="tiao_48_kuan_1_xiang_1"/>
            <w:bookmarkEnd w:id="53"/>
            <w:r>
              <w:rPr>
                <w:rFonts w:hint="eastAsia" w:ascii="仿宋_GB2312" w:hAnsi="仿宋_GB2312" w:eastAsia="仿宋_GB2312" w:cs="仿宋_GB2312"/>
                <w:i w:val="0"/>
                <w:iCs w:val="0"/>
                <w:color w:val="auto"/>
                <w:kern w:val="0"/>
                <w:sz w:val="24"/>
                <w:szCs w:val="24"/>
                <w:highlight w:val="none"/>
                <w:u w:val="none"/>
                <w:lang w:val="en-US" w:eastAsia="zh-CN" w:bidi="ar"/>
              </w:rPr>
              <w:t>　　（一）公共门厅、楼梯间、电梯轿厢；</w: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i w:val="0"/>
                <w:iCs w:val="0"/>
                <w:color w:val="auto"/>
                <w:kern w:val="0"/>
                <w:sz w:val="24"/>
                <w:szCs w:val="24"/>
                <w:highlight w:val="none"/>
                <w:u w:val="none"/>
                <w:lang w:val="en-US" w:eastAsia="zh-CN" w:bidi="ar"/>
              </w:rPr>
              <w:instrText xml:space="preserve"> HYPERLINK "javascript:void(0);" </w:instrTex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bookmarkStart w:id="54" w:name="tiao_48_kuan_1_xiang_2"/>
            <w:bookmarkEnd w:id="54"/>
            <w:r>
              <w:rPr>
                <w:rFonts w:hint="eastAsia" w:ascii="仿宋_GB2312" w:hAnsi="仿宋_GB2312" w:eastAsia="仿宋_GB2312" w:cs="仿宋_GB2312"/>
                <w:i w:val="0"/>
                <w:iCs w:val="0"/>
                <w:color w:val="auto"/>
                <w:kern w:val="0"/>
                <w:sz w:val="24"/>
                <w:szCs w:val="24"/>
                <w:highlight w:val="none"/>
                <w:u w:val="none"/>
                <w:lang w:val="en-US" w:eastAsia="zh-CN" w:bidi="ar"/>
              </w:rPr>
              <w:t>　　（二）用于居住、办公等人员聚集的室内场所以及其他不符合消防安全条件的室内场所；</w: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i w:val="0"/>
                <w:iCs w:val="0"/>
                <w:color w:val="auto"/>
                <w:kern w:val="0"/>
                <w:sz w:val="24"/>
                <w:szCs w:val="24"/>
                <w:highlight w:val="none"/>
                <w:u w:val="none"/>
                <w:lang w:val="en-US" w:eastAsia="zh-CN" w:bidi="ar"/>
              </w:rPr>
              <w:instrText xml:space="preserve"> HYPERLINK "javascript:void(0);" </w:instrTex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bookmarkStart w:id="55" w:name="tiao_48_kuan_1_xiang_3"/>
            <w:bookmarkEnd w:id="55"/>
            <w:r>
              <w:rPr>
                <w:rFonts w:hint="eastAsia" w:ascii="仿宋_GB2312" w:hAnsi="仿宋_GB2312" w:eastAsia="仿宋_GB2312" w:cs="仿宋_GB2312"/>
                <w:i w:val="0"/>
                <w:iCs w:val="0"/>
                <w:color w:val="auto"/>
                <w:kern w:val="0"/>
                <w:sz w:val="24"/>
                <w:szCs w:val="24"/>
                <w:highlight w:val="none"/>
                <w:u w:val="none"/>
                <w:lang w:val="en-US" w:eastAsia="zh-CN" w:bidi="ar"/>
              </w:rPr>
              <w:t>　　（三）法律、法规规定禁止停放、放置、充电的其他地点。</w:t>
            </w:r>
          </w:p>
        </w:tc>
        <w:tc>
          <w:tcPr>
            <w:tcW w:w="379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《深圳经济特区消防条例》第一百条</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违反本条例第四十八条规定，停放、放置电动自行车、电动摩托车及其蓄电池，或者为电动自行车、电动摩托车及其蓄电池充电的，由消防救援机构责令改正；拒不改正的，对单位处一千元以上五千元以下罚款，对个人处五百元以上一千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在本条规定禁止的场所，停放电动自行车、电动摩托车，放置蓄电池，或者充电，拒不改正造成火灾事故的。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对单位处罚款（3800元≤A≤5000元）</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对个人处罚款（850元≤A≤1000元）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81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在本条规定禁止的场所，为电动自行车、电动摩托车、蓄电池充电，拒不改正的。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对单位处罚款（2200元≤A＜3800元）</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对个人处罚款（650元≤A＜850元）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在本条规定禁止的场所，停放电动自行车、电动摩托车，或放置蓄电池，拒不改正的。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对单位处罚款（1000元≤A＜2200元）</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对个人处罚款（500元≤A＜650元）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bookmarkStart w:id="56" w:name="_Toc4175"/>
            <w:r>
              <w:rPr>
                <w:rFonts w:hint="eastAsia" w:ascii="仿宋_GB2312" w:hAnsi="仿宋_GB2312" w:eastAsia="仿宋_GB2312" w:cs="仿宋_GB2312"/>
                <w:i w:val="0"/>
                <w:iCs w:val="0"/>
                <w:color w:val="auto"/>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1.该项违法行为同时违反本条例第四十五条第一款规定的，优先适用其对应的处罚条款。</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r>
              <w:rPr>
                <w:rStyle w:val="22"/>
                <w:rFonts w:ascii="仿宋_GB2312" w:hAnsi="仿宋_GB2312" w:eastAsia="仿宋_GB2312" w:cs="仿宋_GB2312"/>
                <w:color w:val="auto"/>
                <w:sz w:val="24"/>
                <w:szCs w:val="24"/>
                <w:highlight w:val="none"/>
                <w:lang w:val="en-US" w:eastAsia="zh-CN" w:bidi="ar"/>
              </w:rPr>
              <w:t>“拒不改正”：是指消防执法人员在开展消防监督检查时，发现电动自行车违规停放或充电，口头责令改正或下发书面法律文书责令立即改正后，违法对象用语言或者行动表示不执行整改要求、拖延整改的</w:t>
            </w:r>
            <w:r>
              <w:rPr>
                <w:rStyle w:val="22"/>
                <w:rFonts w:ascii="仿宋_GB2312" w:hAnsi="仿宋_GB2312" w:cs="仿宋_GB2312"/>
                <w:color w:val="auto"/>
                <w:sz w:val="24"/>
                <w:szCs w:val="24"/>
                <w:highlight w:val="none"/>
                <w:lang w:val="en-US" w:eastAsia="zh-CN" w:bidi="ar"/>
              </w:rPr>
              <w:t>，</w:t>
            </w:r>
            <w:r>
              <w:rPr>
                <w:rStyle w:val="22"/>
                <w:rFonts w:hint="eastAsia" w:ascii="仿宋_GB2312" w:hAnsi="仿宋_GB2312" w:eastAsia="仿宋_GB2312" w:cs="仿宋_GB2312"/>
                <w:color w:val="auto"/>
                <w:sz w:val="24"/>
                <w:szCs w:val="24"/>
                <w:highlight w:val="none"/>
                <w:lang w:val="en-US" w:eastAsia="zh-CN" w:bidi="ar"/>
              </w:rPr>
              <w:t>也包括当时</w:t>
            </w:r>
            <w:r>
              <w:rPr>
                <w:rStyle w:val="22"/>
                <w:rFonts w:ascii="仿宋_GB2312" w:hAnsi="仿宋_GB2312" w:eastAsia="仿宋_GB2312" w:cs="仿宋_GB2312"/>
                <w:color w:val="auto"/>
                <w:sz w:val="24"/>
                <w:szCs w:val="24"/>
                <w:highlight w:val="none"/>
                <w:lang w:val="en-US" w:eastAsia="zh-CN" w:bidi="ar"/>
              </w:rPr>
              <w:t>执行</w:t>
            </w:r>
            <w:r>
              <w:rPr>
                <w:rStyle w:val="22"/>
                <w:rFonts w:hint="eastAsia" w:ascii="仿宋_GB2312" w:hAnsi="仿宋_GB2312" w:eastAsia="仿宋_GB2312" w:cs="仿宋_GB2312"/>
                <w:color w:val="auto"/>
                <w:sz w:val="24"/>
                <w:szCs w:val="24"/>
                <w:highlight w:val="none"/>
                <w:lang w:val="en-US" w:eastAsia="zh-CN" w:bidi="ar"/>
              </w:rPr>
              <w:t>了</w:t>
            </w:r>
            <w:r>
              <w:rPr>
                <w:rStyle w:val="22"/>
                <w:rFonts w:ascii="仿宋_GB2312" w:hAnsi="仿宋_GB2312" w:eastAsia="仿宋_GB2312" w:cs="仿宋_GB2312"/>
                <w:color w:val="auto"/>
                <w:sz w:val="24"/>
                <w:szCs w:val="24"/>
                <w:highlight w:val="none"/>
                <w:lang w:val="en-US" w:eastAsia="zh-CN" w:bidi="ar"/>
              </w:rPr>
              <w:t>整改要求</w:t>
            </w:r>
            <w:r>
              <w:rPr>
                <w:rStyle w:val="22"/>
                <w:rFonts w:hint="eastAsia" w:ascii="仿宋_GB2312" w:hAnsi="仿宋_GB2312" w:eastAsia="仿宋_GB2312" w:cs="仿宋_GB2312"/>
                <w:color w:val="auto"/>
                <w:sz w:val="24"/>
                <w:szCs w:val="24"/>
                <w:highlight w:val="none"/>
                <w:lang w:val="en-US" w:eastAsia="zh-CN" w:bidi="ar"/>
              </w:rPr>
              <w:t>但短期内又再次出现同类违法行为</w:t>
            </w:r>
            <w:r>
              <w:rPr>
                <w:rStyle w:val="22"/>
                <w:rFonts w:ascii="仿宋_GB2312" w:hAnsi="仿宋_GB2312" w:eastAsia="仿宋_GB2312" w:cs="仿宋_GB2312"/>
                <w:color w:val="auto"/>
                <w:sz w:val="24"/>
                <w:szCs w:val="24"/>
                <w:highlight w:val="none"/>
                <w:lang w:val="en-US" w:eastAsia="zh-CN" w:bidi="ar"/>
              </w:rPr>
              <w:t>，可认定为拒不改正，应当依法予以处罚。对于当场改正完毕的，在检查记录中注明，可以不予处罚。</w:t>
            </w:r>
            <w:r>
              <w:rPr>
                <w:rStyle w:val="22"/>
                <w:rFonts w:ascii="仿宋_GB2312" w:hAnsi="仿宋_GB2312" w:eastAsia="仿宋_GB2312" w:cs="仿宋_GB2312"/>
                <w:color w:val="auto"/>
                <w:sz w:val="24"/>
                <w:szCs w:val="24"/>
                <w:highlight w:val="none"/>
                <w:lang w:val="en-US" w:eastAsia="zh-CN" w:bidi="ar"/>
              </w:rPr>
              <w:br w:type="textWrapping"/>
            </w:r>
            <w:r>
              <w:rPr>
                <w:rStyle w:val="22"/>
                <w:rFonts w:hint="eastAsia" w:ascii="仿宋_GB2312" w:hAnsi="仿宋_GB2312" w:eastAsia="仿宋_GB2312" w:cs="仿宋_GB2312"/>
                <w:color w:val="auto"/>
                <w:sz w:val="24"/>
                <w:szCs w:val="24"/>
                <w:highlight w:val="none"/>
                <w:lang w:val="en-US" w:eastAsia="zh-CN" w:bidi="ar"/>
              </w:rPr>
              <w:t>3</w:t>
            </w:r>
            <w:r>
              <w:rPr>
                <w:rStyle w:val="22"/>
                <w:rFonts w:ascii="仿宋_GB2312" w:hAnsi="仿宋_GB2312" w:eastAsia="仿宋_GB2312" w:cs="仿宋_GB2312"/>
                <w:color w:val="auto"/>
                <w:sz w:val="24"/>
                <w:szCs w:val="24"/>
                <w:highlight w:val="none"/>
                <w:lang w:val="en-US" w:eastAsia="zh-CN" w:bidi="ar"/>
              </w:rPr>
              <w:t>.</w:t>
            </w:r>
            <w:r>
              <w:rPr>
                <w:rStyle w:val="21"/>
                <w:rFonts w:hint="eastAsia" w:ascii="仿宋_GB2312" w:hAnsi="仿宋_GB2312" w:eastAsia="仿宋_GB2312" w:cs="仿宋_GB2312"/>
                <w:color w:val="auto"/>
                <w:sz w:val="24"/>
                <w:szCs w:val="24"/>
                <w:highlight w:val="none"/>
                <w:lang w:val="en-US" w:eastAsia="zh-CN" w:bidi="ar"/>
              </w:rPr>
              <w:t xml:space="preserve"> </w:t>
            </w:r>
            <w:r>
              <w:rPr>
                <w:rStyle w:val="22"/>
                <w:rFonts w:hint="eastAsia" w:ascii="仿宋_GB2312" w:hAnsi="仿宋_GB2312" w:eastAsia="仿宋_GB2312" w:cs="仿宋_GB2312"/>
                <w:color w:val="auto"/>
                <w:sz w:val="24"/>
                <w:szCs w:val="24"/>
                <w:highlight w:val="none"/>
                <w:lang w:val="en-US" w:eastAsia="zh-CN" w:bidi="ar"/>
              </w:rPr>
              <w:t>本条裁量权基准</w:t>
            </w:r>
            <w:r>
              <w:rPr>
                <w:rStyle w:val="22"/>
                <w:rFonts w:ascii="仿宋_GB2312" w:hAnsi="仿宋_GB2312" w:eastAsia="仿宋_GB2312" w:cs="仿宋_GB2312"/>
                <w:color w:val="auto"/>
                <w:sz w:val="24"/>
                <w:szCs w:val="24"/>
                <w:highlight w:val="none"/>
                <w:lang w:val="en-US" w:eastAsia="zh-CN" w:bidi="ar"/>
              </w:rPr>
              <w:t>中的“单位”与“个人”，指违法停放电动自行车或违法为电动自行车充电的实施主体。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8"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p>
        </w:tc>
        <w:tc>
          <w:tcPr>
            <w:tcW w:w="1940"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pStyle w:val="6"/>
              <w:bidi w:val="0"/>
              <w:ind w:firstLine="0" w:firstLineChars="0"/>
              <w:jc w:val="left"/>
              <w:rPr>
                <w:rFonts w:hint="eastAsia" w:ascii="仿宋_GB2312" w:hAnsi="仿宋_GB2312" w:eastAsia="仿宋_GB2312" w:cs="仿宋_GB2312"/>
                <w:i w:val="0"/>
                <w:iCs w:val="0"/>
                <w:color w:val="auto"/>
                <w:kern w:val="0"/>
                <w:sz w:val="24"/>
                <w:szCs w:val="24"/>
                <w:highlight w:val="none"/>
                <w:u w:val="none"/>
                <w:lang w:val="en-US" w:eastAsia="zh-CN" w:bidi="ar"/>
              </w:rPr>
            </w:pPr>
            <w:bookmarkStart w:id="57" w:name="_Toc8157"/>
            <w:bookmarkStart w:id="65" w:name="_GoBack"/>
            <w:bookmarkEnd w:id="65"/>
            <w:r>
              <w:rPr>
                <w:rFonts w:hint="eastAsia" w:ascii="仿宋_GB2312" w:hAnsi="仿宋_GB2312" w:eastAsia="仿宋_GB2312" w:cs="仿宋_GB2312"/>
                <w:i w:val="0"/>
                <w:iCs w:val="0"/>
                <w:color w:val="auto"/>
                <w:kern w:val="0"/>
                <w:sz w:val="24"/>
                <w:szCs w:val="24"/>
                <w:highlight w:val="none"/>
                <w:u w:val="none"/>
                <w:lang w:val="en-US" w:eastAsia="zh-CN" w:bidi="ar"/>
              </w:rPr>
              <w:t>经消防救援机构通知后不及时采取措施消除火灾隐患的</w:t>
            </w:r>
            <w:bookmarkEnd w:id="57"/>
          </w:p>
        </w:tc>
        <w:tc>
          <w:tcPr>
            <w:tcW w:w="3633"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pStyle w:val="2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atLeast"/>
              <w:ind w:left="0" w:leftChars="0" w:right="375" w:firstLine="0" w:firstLineChars="0"/>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《深圳经济特区消防条例》第八十八条第一款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消防救援机构、公安派出所在消防监督检查中发现火灾隐患的，应当通知有关单位或者个人立即采取措施消除。对具有下列情形之一，不及时消除火灾隐患可能严重威胁公共安全的，消防救援机构应当按照有关规定对危险部位或者场所采取临时查封措施：</w: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i w:val="0"/>
                <w:iCs w:val="0"/>
                <w:color w:val="auto"/>
                <w:kern w:val="0"/>
                <w:sz w:val="24"/>
                <w:szCs w:val="24"/>
                <w:highlight w:val="none"/>
                <w:u w:val="none"/>
                <w:lang w:val="en-US" w:eastAsia="zh-CN" w:bidi="ar"/>
              </w:rPr>
              <w:instrText xml:space="preserve"> HYPERLINK "javascript:void(0);" </w:instrTex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end"/>
            </w:r>
          </w:p>
          <w:p>
            <w:pPr>
              <w:pStyle w:val="2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atLeast"/>
              <w:ind w:left="0" w:leftChars="0" w:right="375" w:firstLine="480" w:firstLineChars="200"/>
              <w:rPr>
                <w:rFonts w:hint="eastAsia" w:ascii="仿宋_GB2312" w:hAnsi="仿宋_GB2312" w:eastAsia="仿宋_GB2312" w:cs="仿宋_GB2312"/>
                <w:i w:val="0"/>
                <w:iCs w:val="0"/>
                <w:color w:val="auto"/>
                <w:kern w:val="0"/>
                <w:sz w:val="24"/>
                <w:szCs w:val="24"/>
                <w:highlight w:val="none"/>
                <w:u w:val="none"/>
                <w:lang w:val="en-US" w:eastAsia="zh-CN" w:bidi="ar"/>
              </w:rPr>
            </w:pPr>
            <w:bookmarkStart w:id="58" w:name="tiao_88_kuan_1_xiang_1"/>
            <w:bookmarkEnd w:id="58"/>
            <w:r>
              <w:rPr>
                <w:rFonts w:hint="eastAsia" w:ascii="仿宋_GB2312" w:hAnsi="仿宋_GB2312" w:eastAsia="仿宋_GB2312" w:cs="仿宋_GB2312"/>
                <w:i w:val="0"/>
                <w:iCs w:val="0"/>
                <w:color w:val="auto"/>
                <w:kern w:val="0"/>
                <w:sz w:val="24"/>
                <w:szCs w:val="24"/>
                <w:highlight w:val="none"/>
                <w:u w:val="none"/>
                <w:lang w:val="en-US" w:eastAsia="zh-CN" w:bidi="ar"/>
              </w:rPr>
              <w:t>（一）疏散通道、安全出口数量不足或者严重堵塞，已不具备安全疏散条件的；</w: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i w:val="0"/>
                <w:iCs w:val="0"/>
                <w:color w:val="auto"/>
                <w:kern w:val="0"/>
                <w:sz w:val="24"/>
                <w:szCs w:val="24"/>
                <w:highlight w:val="none"/>
                <w:u w:val="none"/>
                <w:lang w:val="en-US" w:eastAsia="zh-CN" w:bidi="ar"/>
              </w:rPr>
              <w:instrText xml:space="preserve"> HYPERLINK "javascript:void(0);" </w:instrTex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end"/>
            </w:r>
          </w:p>
          <w:p>
            <w:pPr>
              <w:pStyle w:val="2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atLeast"/>
              <w:ind w:left="0" w:leftChars="0" w:right="375" w:firstLine="480" w:firstLineChars="200"/>
              <w:rPr>
                <w:rFonts w:hint="eastAsia" w:ascii="仿宋_GB2312" w:hAnsi="仿宋_GB2312" w:eastAsia="仿宋_GB2312" w:cs="仿宋_GB2312"/>
                <w:i w:val="0"/>
                <w:iCs w:val="0"/>
                <w:color w:val="auto"/>
                <w:kern w:val="0"/>
                <w:sz w:val="24"/>
                <w:szCs w:val="24"/>
                <w:highlight w:val="none"/>
                <w:u w:val="none"/>
                <w:lang w:val="en-US" w:eastAsia="zh-CN" w:bidi="ar"/>
              </w:rPr>
            </w:pPr>
            <w:bookmarkStart w:id="59" w:name="tiao_88_kuan_1_xiang_2"/>
            <w:bookmarkEnd w:id="59"/>
            <w:r>
              <w:rPr>
                <w:rFonts w:hint="eastAsia" w:ascii="仿宋_GB2312" w:hAnsi="仿宋_GB2312" w:eastAsia="仿宋_GB2312" w:cs="仿宋_GB2312"/>
                <w:i w:val="0"/>
                <w:iCs w:val="0"/>
                <w:color w:val="auto"/>
                <w:kern w:val="0"/>
                <w:sz w:val="24"/>
                <w:szCs w:val="24"/>
                <w:highlight w:val="none"/>
                <w:u w:val="none"/>
                <w:lang w:val="en-US" w:eastAsia="zh-CN" w:bidi="ar"/>
              </w:rPr>
              <w:t>（二）建筑消防设施严重损坏，不再具备防火灭火功能的；</w: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i w:val="0"/>
                <w:iCs w:val="0"/>
                <w:color w:val="auto"/>
                <w:kern w:val="0"/>
                <w:sz w:val="24"/>
                <w:szCs w:val="24"/>
                <w:highlight w:val="none"/>
                <w:u w:val="none"/>
                <w:lang w:val="en-US" w:eastAsia="zh-CN" w:bidi="ar"/>
              </w:rPr>
              <w:instrText xml:space="preserve"> HYPERLINK "javascript:void(0);" </w:instrTex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end"/>
            </w:r>
          </w:p>
          <w:p>
            <w:pPr>
              <w:pStyle w:val="2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atLeast"/>
              <w:ind w:left="0" w:leftChars="0" w:right="375" w:firstLine="480" w:firstLineChars="200"/>
              <w:rPr>
                <w:rFonts w:hint="eastAsia" w:ascii="仿宋_GB2312" w:hAnsi="仿宋_GB2312" w:eastAsia="仿宋_GB2312" w:cs="仿宋_GB2312"/>
                <w:i w:val="0"/>
                <w:iCs w:val="0"/>
                <w:color w:val="auto"/>
                <w:kern w:val="0"/>
                <w:sz w:val="24"/>
                <w:szCs w:val="24"/>
                <w:highlight w:val="none"/>
                <w:u w:val="none"/>
                <w:lang w:val="en-US" w:eastAsia="zh-CN" w:bidi="ar"/>
              </w:rPr>
            </w:pPr>
            <w:bookmarkStart w:id="60" w:name="tiao_88_kuan_1_xiang_3"/>
            <w:bookmarkEnd w:id="60"/>
            <w:r>
              <w:rPr>
                <w:rFonts w:hint="eastAsia" w:ascii="仿宋_GB2312" w:hAnsi="仿宋_GB2312" w:eastAsia="仿宋_GB2312" w:cs="仿宋_GB2312"/>
                <w:i w:val="0"/>
                <w:iCs w:val="0"/>
                <w:color w:val="auto"/>
                <w:kern w:val="0"/>
                <w:sz w:val="24"/>
                <w:szCs w:val="24"/>
                <w:highlight w:val="none"/>
                <w:u w:val="none"/>
                <w:lang w:val="en-US" w:eastAsia="zh-CN" w:bidi="ar"/>
              </w:rPr>
              <w:t>（三）人员密集场所违反消防安全规定，使用、储存易燃易爆危险品的；</w: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i w:val="0"/>
                <w:iCs w:val="0"/>
                <w:color w:val="auto"/>
                <w:kern w:val="0"/>
                <w:sz w:val="24"/>
                <w:szCs w:val="24"/>
                <w:highlight w:val="none"/>
                <w:u w:val="none"/>
                <w:lang w:val="en-US" w:eastAsia="zh-CN" w:bidi="ar"/>
              </w:rPr>
              <w:instrText xml:space="preserve"> HYPERLINK "javascript:void(0);" </w:instrTex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end"/>
            </w:r>
          </w:p>
          <w:p>
            <w:pPr>
              <w:pStyle w:val="2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atLeast"/>
              <w:ind w:left="0" w:leftChars="0" w:right="375" w:firstLine="480" w:firstLineChars="200"/>
              <w:rPr>
                <w:rFonts w:hint="eastAsia" w:ascii="仿宋_GB2312" w:hAnsi="仿宋_GB2312" w:eastAsia="仿宋_GB2312" w:cs="仿宋_GB2312"/>
                <w:i w:val="0"/>
                <w:iCs w:val="0"/>
                <w:color w:val="auto"/>
                <w:kern w:val="0"/>
                <w:sz w:val="24"/>
                <w:szCs w:val="24"/>
                <w:highlight w:val="none"/>
                <w:u w:val="none"/>
                <w:lang w:val="en-US" w:eastAsia="zh-CN" w:bidi="ar"/>
              </w:rPr>
            </w:pPr>
            <w:bookmarkStart w:id="61" w:name="tiao_88_kuan_1_xiang_4"/>
            <w:bookmarkEnd w:id="61"/>
            <w:r>
              <w:rPr>
                <w:rFonts w:hint="eastAsia" w:ascii="仿宋_GB2312" w:hAnsi="仿宋_GB2312" w:eastAsia="仿宋_GB2312" w:cs="仿宋_GB2312"/>
                <w:i w:val="0"/>
                <w:iCs w:val="0"/>
                <w:color w:val="auto"/>
                <w:kern w:val="0"/>
                <w:sz w:val="24"/>
                <w:szCs w:val="24"/>
                <w:highlight w:val="none"/>
                <w:u w:val="none"/>
                <w:lang w:val="en-US" w:eastAsia="zh-CN" w:bidi="ar"/>
              </w:rPr>
              <w:t>（四）公众聚集场所违反消防技术标准采用易燃可燃材料装修装饰，可能导致重大人员伤亡的；</w: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i w:val="0"/>
                <w:iCs w:val="0"/>
                <w:color w:val="auto"/>
                <w:kern w:val="0"/>
                <w:sz w:val="24"/>
                <w:szCs w:val="24"/>
                <w:highlight w:val="none"/>
                <w:u w:val="none"/>
                <w:lang w:val="en-US" w:eastAsia="zh-CN" w:bidi="ar"/>
              </w:rPr>
              <w:instrText xml:space="preserve"> HYPERLINK "javascript:void(0);" </w:instrTex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end"/>
            </w:r>
          </w:p>
          <w:p>
            <w:pPr>
              <w:pStyle w:val="2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atLeast"/>
              <w:ind w:left="0" w:leftChars="0" w:right="375" w:firstLine="480" w:firstLineChars="200"/>
              <w:rPr>
                <w:rFonts w:hint="eastAsia" w:ascii="仿宋_GB2312" w:hAnsi="仿宋_GB2312" w:eastAsia="仿宋_GB2312" w:cs="仿宋_GB2312"/>
                <w:i w:val="0"/>
                <w:iCs w:val="0"/>
                <w:color w:val="auto"/>
                <w:kern w:val="2"/>
                <w:sz w:val="24"/>
                <w:szCs w:val="24"/>
                <w:highlight w:val="none"/>
                <w:u w:val="none"/>
                <w:lang w:val="en-US" w:eastAsia="zh-CN" w:bidi="ar-SA"/>
              </w:rPr>
            </w:pPr>
            <w:bookmarkStart w:id="62" w:name="tiao_88_kuan_1_xiang_5"/>
            <w:bookmarkEnd w:id="62"/>
            <w:r>
              <w:rPr>
                <w:rFonts w:hint="eastAsia" w:ascii="仿宋_GB2312" w:hAnsi="仿宋_GB2312" w:eastAsia="仿宋_GB2312" w:cs="仿宋_GB2312"/>
                <w:i w:val="0"/>
                <w:iCs w:val="0"/>
                <w:color w:val="auto"/>
                <w:kern w:val="0"/>
                <w:sz w:val="24"/>
                <w:szCs w:val="24"/>
                <w:highlight w:val="none"/>
                <w:u w:val="none"/>
                <w:lang w:val="en-US" w:eastAsia="zh-CN" w:bidi="ar"/>
              </w:rPr>
              <w:t xml:space="preserve">（五）其他可能严重威胁公共安全的火灾隐患。        </w:t>
            </w:r>
          </w:p>
        </w:tc>
        <w:tc>
          <w:tcPr>
            <w:tcW w:w="3793"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pStyle w:val="2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atLeast"/>
              <w:ind w:left="0" w:leftChars="0" w:right="375" w:firstLine="0" w:firstLineChars="0"/>
              <w:rPr>
                <w:rFonts w:hint="eastAsia" w:ascii="仿宋_GB2312" w:hAnsi="仿宋_GB2312" w:eastAsia="仿宋_GB2312" w:cs="仿宋_GB2312"/>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《深圳经济特区消防条例》第一百零一条</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vertAlign w:val="baseline"/>
                <w:lang w:val="en-US" w:eastAsia="zh-CN" w:bidi="ar"/>
              </w:rPr>
              <w:t>违反本条例第八十八条第一款规定，未及时消除隐患的，由消防救援机构责令改正，处五千元以上五万元以下罚款；情节严重的，处五万元以上十万元以下罚款。</w:t>
            </w:r>
            <w:r>
              <w:rPr>
                <w:rFonts w:hint="eastAsia" w:ascii="仿宋_GB2312" w:hAnsi="仿宋_GB2312" w:eastAsia="仿宋_GB2312" w:cs="仿宋_GB2312"/>
                <w:i w:val="0"/>
                <w:iCs w:val="0"/>
                <w:color w:val="auto"/>
                <w:kern w:val="0"/>
                <w:sz w:val="24"/>
                <w:szCs w:val="24"/>
                <w:highlight w:val="none"/>
                <w:u w:val="none"/>
                <w:vertAlign w:val="baseline"/>
                <w:lang w:val="en-US" w:eastAsia="zh-CN" w:bidi="ar"/>
              </w:rPr>
              <w:fldChar w:fldCharType="begin"/>
            </w:r>
            <w:r>
              <w:rPr>
                <w:rFonts w:hint="eastAsia" w:ascii="仿宋_GB2312" w:hAnsi="仿宋_GB2312" w:eastAsia="仿宋_GB2312" w:cs="仿宋_GB2312"/>
                <w:i w:val="0"/>
                <w:iCs w:val="0"/>
                <w:color w:val="auto"/>
                <w:kern w:val="0"/>
                <w:sz w:val="24"/>
                <w:szCs w:val="24"/>
                <w:highlight w:val="none"/>
                <w:u w:val="none"/>
                <w:vertAlign w:val="baseline"/>
                <w:lang w:val="en-US" w:eastAsia="zh-CN" w:bidi="ar"/>
              </w:rPr>
              <w:instrText xml:space="preserve"> HYPERLINK "javascript:void(0);" </w:instrText>
            </w:r>
            <w:r>
              <w:rPr>
                <w:rFonts w:hint="eastAsia" w:ascii="仿宋_GB2312" w:hAnsi="仿宋_GB2312" w:eastAsia="仿宋_GB2312" w:cs="仿宋_GB2312"/>
                <w:i w:val="0"/>
                <w:iCs w:val="0"/>
                <w:color w:val="auto"/>
                <w:kern w:val="0"/>
                <w:sz w:val="24"/>
                <w:szCs w:val="24"/>
                <w:highlight w:val="none"/>
                <w:u w:val="none"/>
                <w:vertAlign w:val="baseline"/>
                <w:lang w:val="en-US" w:eastAsia="zh-CN" w:bidi="ar"/>
              </w:rPr>
              <w:fldChar w:fldCharType="separate"/>
            </w:r>
            <w:r>
              <w:rPr>
                <w:rFonts w:hint="eastAsia" w:ascii="仿宋_GB2312" w:hAnsi="仿宋_GB2312" w:eastAsia="仿宋_GB2312" w:cs="仿宋_GB2312"/>
                <w:i w:val="0"/>
                <w:iCs w:val="0"/>
                <w:color w:val="auto"/>
                <w:kern w:val="0"/>
                <w:sz w:val="24"/>
                <w:szCs w:val="24"/>
                <w:highlight w:val="none"/>
                <w:u w:val="none"/>
                <w:vertAlign w:val="baseline"/>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bookmarkStart w:id="63" w:name="tiao_101_kuan_2"/>
            <w:bookmarkEnd w:id="63"/>
            <w:r>
              <w:rPr>
                <w:rFonts w:hint="eastAsia" w:ascii="仿宋_GB2312" w:hAnsi="仿宋_GB2312" w:eastAsia="仿宋_GB2312" w:cs="仿宋_GB2312"/>
                <w:i w:val="0"/>
                <w:iCs w:val="0"/>
                <w:color w:val="auto"/>
                <w:kern w:val="0"/>
                <w:sz w:val="24"/>
                <w:szCs w:val="24"/>
                <w:highlight w:val="none"/>
                <w:u w:val="none"/>
                <w:vertAlign w:val="baseline"/>
                <w:lang w:val="en-US" w:eastAsia="zh-CN" w:bidi="ar"/>
              </w:rPr>
              <w:t>　　单位或者个人因违反第八十八条规定行为，相关危险部位或者场所被临时查封，查封期限届满后仍未消除火灾隐患的，由消防救援机构责令停止使用或者停产停业。</w:t>
            </w:r>
          </w:p>
        </w:tc>
        <w:tc>
          <w:tcPr>
            <w:tcW w:w="828"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2"/>
                <w:sz w:val="24"/>
                <w:szCs w:val="24"/>
                <w:highlight w:val="none"/>
                <w:u w:val="none"/>
                <w:lang w:val="en-US" w:eastAsia="zh-CN" w:bidi="ar-SA"/>
              </w:rPr>
              <w:t>严重威胁公共安全</w:t>
            </w:r>
          </w:p>
        </w:tc>
        <w:tc>
          <w:tcPr>
            <w:tcW w:w="529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2"/>
                <w:sz w:val="24"/>
                <w:szCs w:val="24"/>
                <w:highlight w:val="none"/>
                <w:u w:val="none"/>
                <w:lang w:val="en-US" w:eastAsia="zh-CN" w:bidi="ar-SA"/>
              </w:rPr>
              <w:t>相关危险部位或者场所被临时查封，查封期限届满后仍未消除火灾隐患的。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2"/>
                <w:sz w:val="24"/>
                <w:szCs w:val="24"/>
                <w:highlight w:val="none"/>
                <w:u w:val="none"/>
                <w:lang w:val="en-US" w:eastAsia="zh-CN" w:bidi="ar-SA"/>
              </w:rPr>
              <w:t>责令停止使用或者停产停业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8" w:type="dxa"/>
            <w:vMerge w:val="continue"/>
            <w:tcBorders>
              <w:left w:val="single" w:color="auto"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p>
        </w:tc>
        <w:tc>
          <w:tcPr>
            <w:tcW w:w="1940" w:type="dxa"/>
            <w:vMerge w:val="continue"/>
            <w:tcBorders>
              <w:left w:val="single" w:color="000000" w:sz="4" w:space="0"/>
              <w:right w:val="single" w:color="auto" w:sz="4" w:space="0"/>
            </w:tcBorders>
            <w:shd w:val="clear" w:color="auto" w:fill="auto"/>
            <w:vAlign w:val="center"/>
          </w:tcPr>
          <w:p>
            <w:pPr>
              <w:pStyle w:val="6"/>
              <w:bidi w:val="0"/>
              <w:ind w:firstLine="0" w:firstLineChars="0"/>
              <w:jc w:val="left"/>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633"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pStyle w:val="2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atLeast"/>
              <w:ind w:left="0" w:leftChars="0" w:right="375" w:firstLine="480" w:firstLineChars="200"/>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79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vertAlign w:val="baseline"/>
                <w:lang w:val="en-US" w:eastAsia="zh-CN" w:bidi="ar"/>
              </w:rPr>
            </w:pPr>
          </w:p>
        </w:tc>
        <w:tc>
          <w:tcPr>
            <w:tcW w:w="828"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严重</w:t>
            </w:r>
          </w:p>
        </w:tc>
        <w:tc>
          <w:tcPr>
            <w:tcW w:w="529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责令改正限期届满后，仍然存在重大火灾隐患直接判定要素的。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4.1万元≤×≤5万元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较重</w:t>
            </w:r>
          </w:p>
        </w:tc>
        <w:tc>
          <w:tcPr>
            <w:tcW w:w="529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1.仍有5处以上一般火灾隐患，未及时采取措施消除的；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2.仍有3处以上一般火灾隐患，但未采取任何措施消除的。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3.2万元≤×＜4.1万元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一般</w:t>
            </w:r>
          </w:p>
        </w:tc>
        <w:tc>
          <w:tcPr>
            <w:tcW w:w="529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1.仍有3处以上5处以下一般火灾隐患，未及时采取措施消除的；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2.仍有1处以上3处以下一般火灾隐患，但未采取任何措施消除的。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2.3万元≤×＜3.2万元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较轻</w:t>
            </w:r>
          </w:p>
        </w:tc>
        <w:tc>
          <w:tcPr>
            <w:tcW w:w="529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仍有2处一般火灾隐患，未及时采取措施消除的。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1.4万元≤×＜2.3万元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cs="仿宋_GB2312"/>
                <w:i w:val="0"/>
                <w:iCs w:val="0"/>
                <w:color w:val="auto"/>
                <w:sz w:val="24"/>
                <w:szCs w:val="24"/>
                <w:highlight w:val="none"/>
                <w:u w:val="none"/>
              </w:rPr>
            </w:pPr>
          </w:p>
        </w:tc>
        <w:tc>
          <w:tcPr>
            <w:tcW w:w="194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633"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379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auto"/>
                <w:sz w:val="24"/>
                <w:szCs w:val="24"/>
                <w:highlight w:val="none"/>
                <w:u w:val="none"/>
              </w:rPr>
            </w:pPr>
          </w:p>
        </w:tc>
        <w:tc>
          <w:tcPr>
            <w:tcW w:w="828" w:type="dxa"/>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轻微</w:t>
            </w:r>
          </w:p>
        </w:tc>
        <w:tc>
          <w:tcPr>
            <w:tcW w:w="529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仍有1处一般火灾隐患，未及时采取措施消除的。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5000元≤×＜1.4万元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vertAlign w:val="baseline"/>
                <w:lang w:val="en-US" w:eastAsia="zh-CN" w:bidi="ar"/>
              </w:rPr>
              <w:t>备注</w:t>
            </w:r>
          </w:p>
        </w:tc>
        <w:tc>
          <w:tcPr>
            <w:tcW w:w="19563" w:type="dxa"/>
            <w:gridSpan w:val="6"/>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1.“重大火灾隐患”，具体以《重大火灾隐患判定规则》（GB35181-2025）为准。</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2.因该项违法行为直接引起1人以上死亡、3人以上重伤、受灾10户以上或者过火面积1000平方米以上的火灾事故，可以适用本条罚则中规定的情节严重处罚，</w:t>
            </w:r>
            <w:r>
              <w:rPr>
                <w:rFonts w:hint="eastAsia" w:ascii="仿宋_GB2312" w:hAnsi="仿宋_GB2312" w:eastAsia="仿宋_GB2312" w:cs="仿宋_GB2312"/>
                <w:i w:val="0"/>
                <w:iCs w:val="0"/>
                <w:color w:val="auto"/>
                <w:kern w:val="0"/>
                <w:sz w:val="24"/>
                <w:szCs w:val="24"/>
                <w:highlight w:val="none"/>
                <w:u w:val="none"/>
                <w:lang w:bidi="ar"/>
              </w:rPr>
              <w:t>处五万元以上十万元以下罚款</w:t>
            </w:r>
            <w:r>
              <w:rPr>
                <w:rFonts w:hint="eastAsia" w:ascii="仿宋_GB2312" w:hAnsi="仿宋_GB2312" w:eastAsia="仿宋_GB2312" w:cs="仿宋_GB2312"/>
                <w:i w:val="0"/>
                <w:iCs w:val="0"/>
                <w:color w:val="auto"/>
                <w:kern w:val="0"/>
                <w:sz w:val="24"/>
                <w:szCs w:val="24"/>
                <w:highlight w:val="none"/>
                <w:u w:val="none"/>
                <w:lang w:val="en-US" w:eastAsia="zh-CN" w:bidi="ar"/>
              </w:rPr>
              <w:t>。</w:t>
            </w:r>
          </w:p>
        </w:tc>
      </w:tr>
    </w:tbl>
    <w:p>
      <w:pPr>
        <w:pStyle w:val="5"/>
        <w:bidi w:val="0"/>
        <w:jc w:val="both"/>
        <w:rPr>
          <w:rFonts w:hint="eastAsia" w:ascii="仿宋_GB2312" w:hAnsi="仿宋_GB2312" w:eastAsia="仿宋_GB2312" w:cs="仿宋_GB2312"/>
          <w:color w:val="0000FF"/>
          <w:highlight w:val="none"/>
          <w:lang w:val="en-US" w:eastAsia="zh-CN"/>
        </w:rPr>
      </w:pPr>
    </w:p>
    <w:p>
      <w:pPr>
        <w:pStyle w:val="5"/>
        <w:bidi w:val="0"/>
        <w:rPr>
          <w:rFonts w:hint="eastAsia" w:ascii="仿宋_GB2312" w:hAnsi="仿宋_GB2312" w:eastAsia="仿宋_GB2312" w:cs="仿宋_GB2312"/>
          <w:color w:val="auto"/>
          <w:highlight w:val="none"/>
          <w:lang w:val="en-US" w:eastAsia="zh-CN"/>
        </w:rPr>
        <w:sectPr>
          <w:pgSz w:w="23811" w:h="16838" w:orient="landscape"/>
          <w:pgMar w:top="1803" w:right="1440" w:bottom="1803" w:left="1440" w:header="851" w:footer="992" w:gutter="0"/>
          <w:pgNumType w:fmt="decimal"/>
          <w:cols w:space="0" w:num="1"/>
          <w:rtlGutter w:val="0"/>
          <w:docGrid w:type="lines" w:linePitch="312" w:charSpace="0"/>
        </w:sectPr>
      </w:pPr>
      <w:bookmarkStart w:id="64" w:name="_Toc27551"/>
    </w:p>
    <w:p>
      <w:pPr>
        <w:pStyle w:val="5"/>
        <w:bidi w:val="0"/>
        <w:rPr>
          <w:rFonts w:hint="default" w:ascii="方正小标宋_GBK" w:hAnsi="方正小标宋_GBK" w:eastAsia="方正小标宋_GBK" w:cs="方正小标宋_GBK"/>
          <w:color w:val="000000"/>
          <w:highlight w:val="none"/>
          <w:lang w:val="en-US" w:eastAsia="en-US"/>
        </w:rPr>
      </w:pPr>
      <w:r>
        <w:rPr>
          <w:rFonts w:hint="default" w:ascii="方正小标宋_GBK" w:hAnsi="方正小标宋_GBK" w:eastAsia="方正小标宋_GBK" w:cs="方正小标宋_GBK"/>
          <w:color w:val="000000"/>
          <w:highlight w:val="none"/>
          <w:lang w:val="en-US" w:eastAsia="en-US"/>
        </w:rPr>
        <w:t xml:space="preserve">第三部分    </w:t>
      </w:r>
      <w:r>
        <w:rPr>
          <w:rFonts w:hint="eastAsia" w:cs="方正小标宋_GBK"/>
          <w:color w:val="000000"/>
          <w:highlight w:val="none"/>
          <w:lang w:val="en-US" w:eastAsia="zh-CN"/>
        </w:rPr>
        <w:t>《深圳经济特区消防条例》</w:t>
      </w:r>
      <w:r>
        <w:rPr>
          <w:rFonts w:hint="default" w:ascii="方正小标宋_GBK" w:hAnsi="方正小标宋_GBK" w:eastAsia="方正小标宋_GBK" w:cs="方正小标宋_GBK"/>
          <w:color w:val="000000"/>
          <w:highlight w:val="none"/>
          <w:lang w:val="en-US" w:eastAsia="en-US"/>
        </w:rPr>
        <w:t>不予行政处罚事项清单</w:t>
      </w:r>
      <w:bookmarkEnd w:id="56"/>
      <w:bookmarkEnd w:id="64"/>
    </w:p>
    <w:tbl>
      <w:tblPr>
        <w:tblStyle w:val="1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3"/>
        <w:gridCol w:w="3239"/>
        <w:gridCol w:w="3772"/>
        <w:gridCol w:w="6977"/>
        <w:gridCol w:w="6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blHead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序号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违法行为</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适用情形</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法律规定</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处罚依据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FF"/>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一、初次违法且危害后果轻微并及时改正的，可以不予行政处罚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1</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损坏、挪用消防设施、器材的</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首次发现后，当场改正，且没有实际影响使用的。</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《深圳经济特区消防条例》第四十五条第一款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任何单位和个人不得损坏、挪用或者擅自拆除、停用消防设施、器材，不得埋压、圈占、遮挡消火栓或者占用防火间距，不得占用、堵塞、封闭疏散通道、安全出口、消防车通道。人员密集场所的门窗不得设置影响逃生和灭火救援的障碍物。</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《深圳经济特区消防条例》第九十四条第一款第二项、第二款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bidi="ar"/>
              </w:rPr>
              <w:t>单位违反本条例规定，有下列行为之一的，由消防救援机构责令改正，处五千元以上五万元以下罚款；情节严重的，处五万元以上十万元以下罚款：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bidi="ar"/>
              </w:rPr>
              <w:t>（二）损坏、挪用或者擅自拆除、停用消防设施、器材的；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bidi="ar"/>
              </w:rPr>
              <w:t>个人有前款第二项、第三项、第四项、第五项行为之一的，处警告或者五百元以下罚款。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2</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占用、堵塞、封闭疏散通道、安全出口或者有其他妨碍安全疏散行为的</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首次发现后，当场改正，且没有实际影响疏散逃生的。</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FF"/>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《深圳经济特区消防条例》第四十五条第一款</w:t>
            </w:r>
            <w:r>
              <w:rPr>
                <w:rFonts w:hint="eastAsia" w:ascii="仿宋_GB2312" w:hAnsi="仿宋_GB2312" w:eastAsia="仿宋_GB2312" w:cs="仿宋_GB2312"/>
                <w:i w:val="0"/>
                <w:iCs w:val="0"/>
                <w:color w:val="0000FF"/>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FF"/>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val="en-US" w:eastAsia="zh-CN" w:bidi="ar"/>
              </w:rPr>
              <w:t>任何单位和个人不得损坏、挪用或者擅自拆除、停用消防设施、器材，不得埋压、圈占、遮挡消火栓或者占用防火间距，不得占用、堵塞、封闭疏散通道、安全出口、消防车通道。人员密集场所的门窗不得设置影响逃生和灭火救援的障碍物。</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FF"/>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《深圳经济特区消防条例》第九十四条第一款第三项、第二款</w:t>
            </w:r>
            <w:r>
              <w:rPr>
                <w:rFonts w:hint="eastAsia" w:ascii="仿宋_GB2312" w:hAnsi="仿宋_GB2312" w:eastAsia="仿宋_GB2312" w:cs="仿宋_GB2312"/>
                <w:i w:val="0"/>
                <w:iCs w:val="0"/>
                <w:color w:val="0000FF"/>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FF"/>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bidi="ar"/>
              </w:rPr>
              <w:t>单位违反本条例规定，有下列行为之一的，由消防救援机构责令改正，处五千元以上五万元以下罚款；情节严重的，处五万元以上十万元以下罚款：</w:t>
            </w:r>
            <w:r>
              <w:rPr>
                <w:rFonts w:hint="eastAsia" w:ascii="仿宋_GB2312" w:hAnsi="仿宋_GB2312" w:eastAsia="仿宋_GB2312" w:cs="仿宋_GB2312"/>
                <w:i w:val="0"/>
                <w:iCs w:val="0"/>
                <w:color w:val="0000FF"/>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FF"/>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（三）占用、堵塞、封闭疏散通道、安全出口或者有其他妨碍安全疏散行为的；</w:t>
            </w:r>
            <w:r>
              <w:rPr>
                <w:rFonts w:hint="eastAsia" w:ascii="仿宋_GB2312" w:hAnsi="仿宋_GB2312" w:eastAsia="仿宋_GB2312" w:cs="仿宋_GB2312"/>
                <w:i w:val="0"/>
                <w:iCs w:val="0"/>
                <w:color w:val="0000FF"/>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FF"/>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bidi="ar"/>
              </w:rPr>
              <w:t>个人有前款第二项、第三项、第四项、第五项行为之一的，处警告或者五百元以下罚款。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3</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埋压、圈占、遮挡消火栓的</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首次发现后，当场改正，且没有实际影响使用的。</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FF"/>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《深圳经济特区消防条例》第四十五条第一款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任何单位和个人不得损坏、挪用或者擅自拆除、停用消防设施、器材，不得埋压、圈占、遮挡消火栓或者占用防火间距，不得占用、堵塞、封闭疏散通道、安全出口、消防车通道。人员密集场所的门窗不得设置影响逃生和灭火救援的障碍物。</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FF"/>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《深圳经济特区消防条例》第九十四条第一款第四项、第二款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bidi="ar"/>
              </w:rPr>
              <w:t>单位违反本条例规定，有下列行为之一的，由消防救援机构责令改正，处五千元以上五万元以下罚款；情节严重的，处五万元以上十万元以下罚款：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（四）埋压、圈占、遮挡消火栓或者占用防火间距的；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bidi="ar"/>
              </w:rPr>
              <w:t>个人有前款第二项、第三项、第四项、第五项行为之一的，处警告或者五百元以下罚款。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4</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占用防火间距的</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首次发现后，当场改正，且没有实际造成火灾蔓延的。</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FF"/>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《深圳经济特区消防条例》第四十五条第一款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任何单位和个人不得损坏、挪用或者擅自拆除、停用消防设施、器材，不得埋压、圈占、遮挡消火栓或者占用防火间距，不得占用、堵塞、封闭疏散通道、安全出口、消防车通道。人员密集场所的门窗不得设置影响逃生和灭火救援的障碍物。</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FF"/>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《深圳经济特区消防条例》第九十四条第一款第四项、第二款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bidi="ar"/>
              </w:rPr>
              <w:t>单位违反本条例规定，有下列行为之一的，由消防救援机构责令改正，处五千元以上五万元以下罚款；情节严重的，处五万元以上十万元以下罚款：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（四）埋压、圈占、遮挡消火栓或者占用防火间距的；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bidi="ar"/>
              </w:rPr>
              <w:t>个人有前款第二项、第三项、第四项、第五项行为之一的，处警告或者五百元以下罚款。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5</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占用、堵塞、封闭消防车通道，妨碍消防车通行的</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首次发现后，当场改正，且没有实际影响消防车通行的。</w:t>
            </w:r>
          </w:p>
        </w:tc>
        <w:tc>
          <w:tcPr>
            <w:tcW w:w="165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FF"/>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《深圳经济特区消防条例》第四十五条第一款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任何单位和个人不得损坏、挪用或者擅自拆除、停用消防设施、器材，不得埋压、圈占、遮挡消火栓或者占用防火间距，不得占用、堵塞、封闭疏散通道、安全出口、消防车通道。人员密集场所的门窗不得设置影响逃生和灭火救援的障碍物。</w:t>
            </w:r>
          </w:p>
        </w:tc>
        <w:tc>
          <w:tcPr>
            <w:tcW w:w="142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FF"/>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《深圳经济特区消防条例》第九十四条第一款第五项、第二款</w:t>
            </w:r>
            <w:r>
              <w:rPr>
                <w:rFonts w:hint="eastAsia" w:ascii="仿宋_GB2312" w:hAnsi="仿宋_GB2312" w:eastAsia="仿宋_GB2312" w:cs="仿宋_GB2312"/>
                <w:i w:val="0"/>
                <w:iCs w:val="0"/>
                <w:color w:val="0000FF"/>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FF"/>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bidi="ar"/>
              </w:rPr>
              <w:t>单位违反本条例规定，有下列行为之一的，由消防救援机构责令改正，处五千元以上五万元以下罚款；情节严重的，处五万元以上十万元以下罚款：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bidi="ar"/>
              </w:rPr>
              <w:t>（五）占用、堵塞、封闭消防车通道，妨碍消防车通行的；</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bidi="ar"/>
              </w:rPr>
              <w:t>个人有前款第二项、第三项、第四项、第五项行为之一的，处警告或者五百元以下罚款。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6</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公众聚集场所未经消防救援机构许可，擅自投入使用、营业</w:t>
            </w:r>
          </w:p>
        </w:tc>
        <w:tc>
          <w:tcPr>
            <w:tcW w:w="89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有下列情形之一的：</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1.公众聚集场所经消防救援机构许可后，仅变更场所名称、消防安全责任人，未重新申请许可继续使用、营业，违法行为首次被发现的；</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FF"/>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2.首次发现公众聚集场所未经消防救援机构许可擅自投入使用、营业，场所属于公共娱乐场所，建筑面积不超过200平方米，或者场所属于其他公众聚集场所，建筑面积不超过300平方米，主动停止使用、营业的。</w:t>
            </w:r>
          </w:p>
        </w:tc>
        <w:tc>
          <w:tcPr>
            <w:tcW w:w="1650" w:type="pc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《深圳经济特区消防条例》第三十六条第一款</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i w:val="0"/>
                <w:iCs w:val="0"/>
                <w:color w:val="0000FF"/>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公众聚集场所投入使用、营业前应当向消防救援机构申请消防安全检查，未经消防救援机构许可的，不得投入使用、营业。</w:t>
            </w:r>
          </w:p>
        </w:tc>
        <w:tc>
          <w:tcPr>
            <w:tcW w:w="1420" w:type="pc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FF"/>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《深圳经济特区消防条例》第九十八条第一款第四项</w:t>
            </w:r>
            <w:r>
              <w:rPr>
                <w:rFonts w:hint="eastAsia" w:ascii="仿宋_GB2312" w:hAnsi="仿宋_GB2312" w:eastAsia="仿宋_GB2312" w:cs="仿宋_GB2312"/>
                <w:i w:val="0"/>
                <w:iCs w:val="0"/>
                <w:color w:val="0000FF"/>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FF"/>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val="en-US" w:eastAsia="zh-CN" w:bidi="ar"/>
              </w:rPr>
              <w:t>违反本条例规定，有下列行为之一的，由住房建设部门、消防救援机构按照各自职责责令停止施工、停止使用或者停产停业，并处三万元以上十万元以下罚款；情节严重的，由住房建设部门、消防救援机构按照各自职责责令停止施工、停止使用或者停产停业，并处十万元以上三十万元以下罚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（四）公众聚集场所未经消防救援机构许可，擅自投入使用、营业的，或者经核查发现场所使用、营业情况与承诺内容不符的。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7</w:t>
            </w:r>
          </w:p>
        </w:tc>
        <w:tc>
          <w:tcPr>
            <w:tcW w:w="47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其他符合《中华人民共和国行政处罚法》等法律法规规定 ，初次违法且危害后果轻微并及时改正情形的 ，可以不予行政处罚。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备注</w:t>
            </w:r>
          </w:p>
        </w:tc>
        <w:tc>
          <w:tcPr>
            <w:tcW w:w="47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1.本清单中的当场完成整改是指，在监督员完成检查工作，离开被检查的场所前完成整改；当日完成整改是指在监督员向有关现场负责人员指出违法行为起24小时内完成整改。</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监督检查中监督员认为违法行为适用本条规定不予行政处罚的，可以不立案，但应当制作《行政指导建议书》，载明违法行为人基本情况、违法事实、有关证据和有关行政指导建议，在3个工作日内送达违法行为人；受案后经调查认为违法行为适用本条规定可以不予处罚的，按照《消防救援机构办理行政案件程序规定》有关要求作出不予处罚决定，并应当对单位场所的主要负责人、消防安全管理人等责任人员开展普法守法和火灾警示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序号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违法行为</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适用情形</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法律规定</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处罚依据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二、违法行为轻微并及时改正，没有造成危害后果的，不予行政处罚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1</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消防设施、器材或者消防安全标志未保持完好有效的</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未保持完好有效的消防设施类别为1类，或消防器材、消防安全标志未保持完好有效，当场改正，且不影响系统功能的。</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FF"/>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《深圳经济特区消防条例》第十八条第一款第二项</w:t>
            </w:r>
            <w:r>
              <w:rPr>
                <w:rFonts w:hint="eastAsia" w:ascii="仿宋_GB2312" w:hAnsi="仿宋_GB2312" w:eastAsia="仿宋_GB2312" w:cs="仿宋_GB2312"/>
                <w:i w:val="0"/>
                <w:iCs w:val="0"/>
                <w:color w:val="0000FF"/>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FF"/>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单位履行下列消防安全职责：</w:t>
            </w:r>
            <w:r>
              <w:rPr>
                <w:rFonts w:hint="eastAsia" w:ascii="仿宋_GB2312" w:hAnsi="仿宋_GB2312" w:eastAsia="仿宋_GB2312" w:cs="仿宋_GB2312"/>
                <w:i w:val="0"/>
                <w:iCs w:val="0"/>
                <w:color w:val="0000FF"/>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FF"/>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val="en-US" w:eastAsia="zh-CN" w:bidi="ar"/>
              </w:rPr>
              <w:t>（二）按照国家标准、行业标准配置消防设施、器材，设置消防安全标志，并定期组织检验、维修，确保完好有效；</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FF"/>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《深圳经济特区消防条例》第九十四条第一款第一项</w:t>
            </w:r>
            <w:r>
              <w:rPr>
                <w:rFonts w:hint="eastAsia" w:ascii="仿宋_GB2312" w:hAnsi="仿宋_GB2312" w:eastAsia="仿宋_GB2312" w:cs="仿宋_GB2312"/>
                <w:i w:val="0"/>
                <w:iCs w:val="0"/>
                <w:color w:val="0000FF"/>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FF"/>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val="en-US" w:eastAsia="zh-CN" w:bidi="ar"/>
              </w:rPr>
              <w:t>单位违反本条例规定，有下列行为之一的，由消防救援机构责令改正，处五千元以上五万元以下罚款；情节严重的，处五万元以上十万元以下罚款：</w:t>
            </w:r>
            <w:r>
              <w:rPr>
                <w:rFonts w:hint="eastAsia" w:ascii="仿宋_GB2312" w:hAnsi="仿宋_GB2312" w:eastAsia="仿宋_GB2312" w:cs="仿宋_GB2312"/>
                <w:i w:val="0"/>
                <w:iCs w:val="0"/>
                <w:color w:val="0000FF"/>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FF"/>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val="en-US" w:eastAsia="zh-CN" w:bidi="ar"/>
              </w:rPr>
              <w:t>（一）消防设施、器材或者消防安全标志的配置、设置不符合国家标准、行业标准，或者未保持完好有效的；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2</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擅自拆除、停用消防设施、器材的</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拆除、停用消防器材1处或停用消防设施1类，已书面报经消防安全责任人或者管理人同意，并落实消防安全防范措施或者将危险部位停用，且不影响其他区域消防设施、器材正常使用的。</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FF"/>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《深圳经济特区消防条例》第四十五条第一款</w:t>
            </w:r>
            <w:r>
              <w:rPr>
                <w:rFonts w:hint="eastAsia" w:ascii="仿宋_GB2312" w:hAnsi="仿宋_GB2312" w:eastAsia="仿宋_GB2312" w:cs="仿宋_GB2312"/>
                <w:i w:val="0"/>
                <w:iCs w:val="0"/>
                <w:color w:val="0000FF"/>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FF"/>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val="en-US" w:eastAsia="zh-CN" w:bidi="ar"/>
              </w:rPr>
              <w:t>任何单位和个人不得损坏、挪用或者擅自拆除、停用消防设施、器材，不得埋压、圈占、遮挡消火栓或者占用防火间距，不得占用、堵塞、封闭疏散通道、安全出口、消防车通道。人员密集场所的门窗不得设置影响逃生和灭火救援的障碍物。</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FF"/>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《深圳经济特区消防条例》第九十四条第一款第二项、第二款</w:t>
            </w:r>
            <w:r>
              <w:rPr>
                <w:rFonts w:hint="eastAsia" w:ascii="仿宋_GB2312" w:hAnsi="仿宋_GB2312" w:eastAsia="仿宋_GB2312" w:cs="仿宋_GB2312"/>
                <w:i w:val="0"/>
                <w:iCs w:val="0"/>
                <w:color w:val="0000FF"/>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FF"/>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bidi="ar"/>
              </w:rPr>
              <w:t>单位违反本条例规定，有下列行为之一的，由消防救援机构责令改正，处五千元以上五万元以下罚款；情节严重的，处五万元以上十万元以下罚款：</w:t>
            </w:r>
            <w:r>
              <w:rPr>
                <w:rFonts w:hint="eastAsia" w:ascii="仿宋_GB2312" w:hAnsi="仿宋_GB2312" w:eastAsia="仿宋_GB2312" w:cs="仿宋_GB2312"/>
                <w:i w:val="0"/>
                <w:iCs w:val="0"/>
                <w:color w:val="0000FF"/>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FF"/>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bidi="ar"/>
              </w:rPr>
              <w:t>（二）损坏、挪用或者擅自拆除、停用消防设施、器材的；</w:t>
            </w:r>
            <w:r>
              <w:rPr>
                <w:rFonts w:hint="eastAsia" w:ascii="仿宋_GB2312" w:hAnsi="仿宋_GB2312" w:eastAsia="仿宋_GB2312" w:cs="仿宋_GB2312"/>
                <w:i w:val="0"/>
                <w:iCs w:val="0"/>
                <w:color w:val="0000FF"/>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FF"/>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bidi="ar"/>
              </w:rPr>
              <w:t>个人有前款第二项、第三项、第四项、第五项行为之一的，处警告或者五百元以下罚款。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3</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公众聚集场所经核查发现场所使用、营业情况与承诺内容不符</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采用告知承诺方式申报安检的场所使用、营业情况与承诺内容不符，核查发现的重要事项不超过2项，并在当日完成整改，且场所面积不超过300平方米，违法行为被发现后，当场停止使用、营业的。</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《深圳经济特区消防条例》第三十六条第一款</w:t>
            </w:r>
            <w:r>
              <w:rPr>
                <w:rFonts w:hint="eastAsia" w:ascii="仿宋_GB2312" w:hAnsi="仿宋_GB2312" w:cs="仿宋_GB2312"/>
                <w:i w:val="0"/>
                <w:iCs w:val="0"/>
                <w:color w:val="auto"/>
                <w:kern w:val="0"/>
                <w:sz w:val="24"/>
                <w:szCs w:val="24"/>
                <w:highlight w:val="none"/>
                <w:u w:val="none"/>
                <w:lang w:val="en-US" w:eastAsia="zh-CN" w:bidi="ar"/>
              </w:rPr>
              <w:t>、第二款</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公众聚集场所投入使用、营业前应当向消防救援机构申请消防安全检查，未经消防救援机构许可的，不得投入使用、营业。</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申请人选择告知承诺方式办理公众聚集场所投入使用、营业前消防安全许可，申请材料齐全、符合法定形式的，消防救援机构应当当场予以许可，并自许可之日起二十个工作日内，根据消防技术标准和管理规定，进行现场核查。</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FF"/>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FF"/>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《深圳经济特区消防条例》第九十八条第一款第四项</w:t>
            </w:r>
            <w:r>
              <w:rPr>
                <w:rFonts w:hint="eastAsia" w:ascii="仿宋_GB2312" w:hAnsi="仿宋_GB2312" w:eastAsia="仿宋_GB2312" w:cs="仿宋_GB2312"/>
                <w:i w:val="0"/>
                <w:iCs w:val="0"/>
                <w:color w:val="0000FF"/>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FF"/>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val="en-US" w:eastAsia="zh-CN" w:bidi="ar"/>
              </w:rPr>
              <w:t>违反本条例规定，有下列行为之一的，由住房建设部门、消防救援机构按照各自职责责令停止施工、停止使用或者停产停业，并处三万元以上十万元以下罚款；情节严重的，由住房建设部门、消防救援机构按照各自职责责令停止施工、停止使用或者停产停业，并处十万元以上三十万元以下罚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（四）公众聚集场所未经消防救援机构许可，擅自投入使用、营业的，或者经核查发现场所使用、营业情况与承诺内容不符的。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4</w:t>
            </w:r>
          </w:p>
        </w:tc>
        <w:tc>
          <w:tcPr>
            <w:tcW w:w="47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其他符合《中华人民共和国行政处罚法》等法律法规规定的 ，违法行为轻微并及时改正没有造成危害后果的 ，不予行政处罚。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备注</w:t>
            </w:r>
          </w:p>
        </w:tc>
        <w:tc>
          <w:tcPr>
            <w:tcW w:w="47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1.本清单中的当场完成整改是指，在监督员完成检查工作，离开被检查的场所前完成整改；当日完成整改是指在监督员向有关现场负责人员指出违法行为起24小时内完成整改。</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监督检查中监督员认为违法行为适用本条规定不予行政处罚的，可以不立案，但应当制作《行政指导建议书》，载明违法行为人基本情况、违法事实、有关证据和有关行政指导建议，在3个工作日内送达违法行为人；受案后经调查认为违法行为适用本条规定可以不予处罚的，按照《消防救援机构办理行政案件程序规定》有关要求作出不予处罚决定，并应当对单位场所的主要负责人、消防安全管理人等责任人员开展普法守法和火灾警示教育。</w:t>
            </w:r>
          </w:p>
          <w:p>
            <w:pPr>
              <w:pStyle w:val="2"/>
              <w:rPr>
                <w:rFonts w:hint="eastAsia" w:ascii="仿宋_GB2312" w:hAnsi="仿宋_GB2312" w:eastAsia="仿宋_GB2312" w:cs="仿宋_GB2312"/>
                <w:i w:val="0"/>
                <w:iCs w:val="0"/>
                <w:color w:val="auto"/>
                <w:kern w:val="0"/>
                <w:sz w:val="24"/>
                <w:szCs w:val="24"/>
                <w:highlight w:val="none"/>
                <w:u w:val="none"/>
                <w:lang w:val="en-US" w:eastAsia="zh-CN" w:bidi="ar"/>
              </w:rPr>
            </w:pPr>
          </w:p>
          <w:p>
            <w:pP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三、当事人有证据足以证明没有主观过错的，不予行政处罚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1</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消防设施、器材或者消防安全标志的配置、设置不符合国家标准、行业标准的</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建筑物已依法通过消防行政许可，且未进行新的改建、扩建（含室内装修），消防监督检查时发现许可范围内消防设施、消防安全标志配置、设置不符合标准的</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《深圳经济特区消防条例》第十八条第一款第二项</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单位履行下列消防安全职责：</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（二）按照国家标准、行业标准配置消防设施、器材，设置消防安全标志，并定期组织检验、维修，确保完好有效；</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FF"/>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《深圳经济特区消防条例》第九十四条第一款第一项</w:t>
            </w:r>
            <w:r>
              <w:rPr>
                <w:rFonts w:hint="eastAsia" w:ascii="仿宋_GB2312" w:hAnsi="仿宋_GB2312" w:eastAsia="仿宋_GB2312" w:cs="仿宋_GB2312"/>
                <w:i w:val="0"/>
                <w:iCs w:val="0"/>
                <w:color w:val="0000FF"/>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FF"/>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val="en-US" w:eastAsia="zh-CN" w:bidi="ar"/>
              </w:rPr>
              <w:t>单位违反本条例规定，有下列行为之一的，由消防救援机构责令改正，处五千元以上五万元以下罚款；情节严重的，处五万元以上十万元以下罚款：</w:t>
            </w:r>
            <w:r>
              <w:rPr>
                <w:rFonts w:hint="eastAsia" w:ascii="仿宋_GB2312" w:hAnsi="仿宋_GB2312" w:eastAsia="仿宋_GB2312" w:cs="仿宋_GB2312"/>
                <w:i w:val="0"/>
                <w:iCs w:val="0"/>
                <w:color w:val="0000FF"/>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FF"/>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val="en-US" w:eastAsia="zh-CN" w:bidi="ar"/>
              </w:rPr>
              <w:t>（一）消防设施、器材或者消防安全标志的配置、设置不符合国家标准、行业标准，或者未保持完好有效的；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2</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消防设施、器材和消防安全标志未保持完好有效</w:t>
            </w:r>
          </w:p>
        </w:tc>
        <w:tc>
          <w:tcPr>
            <w:tcW w:w="89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消防设施、器材和消防安全标志存在的未保持完好有效的问题和故障，单位已自行发现，并采取措施进行整改，且已落实人防、物防、技防等保证消防安全的防范措施或者将危险部位停用的，且不影响其他区域消防设施、器材正常使用的。</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《深圳经济特区消防条例》第十八条第一款第二项</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单位履行下列消防安全职责：</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   （二）按照国家标准、行业标准配置消防设施、器材，设置消防安全标志，并定期组织检验、维修，确保完好有效；</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FF"/>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《深圳经济特区消防条例》第九十四条第一款第一项</w:t>
            </w:r>
            <w:r>
              <w:rPr>
                <w:rFonts w:hint="eastAsia" w:ascii="仿宋_GB2312" w:hAnsi="仿宋_GB2312" w:eastAsia="仿宋_GB2312" w:cs="仿宋_GB2312"/>
                <w:i w:val="0"/>
                <w:iCs w:val="0"/>
                <w:color w:val="0000FF"/>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FF"/>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val="en-US" w:eastAsia="zh-CN" w:bidi="ar"/>
              </w:rPr>
              <w:t>单位违反本条例规定，有下列行为之一的，由消防救援机构责令改正，处五千元以上五万元以下罚款；情节严重的，处五万元以上十万元以下罚款：</w:t>
            </w:r>
            <w:r>
              <w:rPr>
                <w:rFonts w:hint="eastAsia" w:ascii="仿宋_GB2312" w:hAnsi="仿宋_GB2312" w:eastAsia="仿宋_GB2312" w:cs="仿宋_GB2312"/>
                <w:i w:val="0"/>
                <w:iCs w:val="0"/>
                <w:color w:val="0000FF"/>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FF"/>
                <w:kern w:val="0"/>
                <w:sz w:val="24"/>
                <w:szCs w:val="24"/>
                <w:highlight w:val="none"/>
                <w:u w:val="non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val="en-US" w:eastAsia="zh-CN" w:bidi="ar"/>
              </w:rPr>
              <w:t>（一）消防设施、器材或者消防安全标志的配置、设置不符合国家标准、行业标准，或者未保持完好有效的；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3</w:t>
            </w:r>
          </w:p>
        </w:tc>
        <w:tc>
          <w:tcPr>
            <w:tcW w:w="473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其他符合《中华人民共和国行政处罚法》等法律法规规定的 ，当事人有证据足以证明没有主观过错的，不予行政处罚</w:t>
            </w:r>
          </w:p>
        </w:tc>
      </w:tr>
    </w:tbl>
    <w:p>
      <w:pPr>
        <w:pStyle w:val="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color w:val="0000FF"/>
          <w:highlight w:val="none"/>
          <w:lang w:val="en-US" w:eastAsia="zh-CN"/>
        </w:rPr>
      </w:pPr>
    </w:p>
    <w:sectPr>
      <w:pgSz w:w="23811" w:h="16838" w:orient="landscape"/>
      <w:pgMar w:top="1803" w:right="1440" w:bottom="1803" w:left="1440"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1E91208-1592-442D-961C-88DAE1842183}"/>
  </w:font>
  <w:font w:name="黑体">
    <w:panose1 w:val="02010609060101010101"/>
    <w:charset w:val="86"/>
    <w:family w:val="auto"/>
    <w:pitch w:val="default"/>
    <w:sig w:usb0="800002BF" w:usb1="38CF7CFA" w:usb2="00000016" w:usb3="00000000" w:csb0="00040001" w:csb1="00000000"/>
    <w:embedRegular r:id="rId2" w:fontKey="{3D6AE427-8029-4E12-A118-41B7AEB28E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3" w:fontKey="{A38E1E55-4944-4C23-91CA-DA9F853C78D8}"/>
  </w:font>
  <w:font w:name="仿宋_GB2312">
    <w:panose1 w:val="02010609030101010101"/>
    <w:charset w:val="86"/>
    <w:family w:val="auto"/>
    <w:pitch w:val="default"/>
    <w:sig w:usb0="00000001" w:usb1="080E0000" w:usb2="00000000" w:usb3="00000000" w:csb0="00040000" w:csb1="00000000"/>
    <w:embedRegular r:id="rId4" w:fontKey="{80613889-98AB-4726-9C6B-D5AF151AB7C3}"/>
  </w:font>
  <w:font w:name="方正小标宋_GBK">
    <w:panose1 w:val="03000509000000000000"/>
    <w:charset w:val="86"/>
    <w:family w:val="script"/>
    <w:pitch w:val="default"/>
    <w:sig w:usb0="00000001" w:usb1="080E0000" w:usb2="00000000" w:usb3="00000000" w:csb0="00040000" w:csb1="00000000"/>
    <w:embedRegular r:id="rId5" w:fontKey="{4F0EEDD1-D8A0-486B-9D0B-83C6181D9A33}"/>
  </w:font>
  <w:font w:name="方正黑体_GBK">
    <w:altName w:val="微软雅黑"/>
    <w:panose1 w:val="03000509000000000000"/>
    <w:charset w:val="86"/>
    <w:family w:val="auto"/>
    <w:pitch w:val="default"/>
    <w:sig w:usb0="00000000" w:usb1="00000000" w:usb2="00000000" w:usb3="00000000" w:csb0="00040000" w:csb1="00000000"/>
    <w:embedRegular r:id="rId6" w:fontKey="{A267FA3C-EE65-48C8-8110-1CC325291B8F}"/>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7" w:fontKey="{229CEDD3-7C9C-4402-9C9A-F1A501B16B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233" w:lineRule="auto"/>
      <w:ind w:left="3662" w:firstLine="0" w:firstLineChars="0"/>
      <w:jc w:val="left"/>
      <w:textAlignment w:val="baseline"/>
      <w:rPr>
        <w:rFonts w:ascii="宋体" w:hAnsi="宋体" w:eastAsia="宋体" w:cs="宋体"/>
        <w:snapToGrid w:val="0"/>
        <w:color w:val="000000"/>
        <w:kern w:val="0"/>
        <w:sz w:val="28"/>
        <w:szCs w:val="28"/>
        <w:lang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3662"/>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EB077"/>
    <w:multiLevelType w:val="singleLevel"/>
    <w:tmpl w:val="29FEB077"/>
    <w:lvl w:ilvl="0" w:tentative="0">
      <w:start w:val="1"/>
      <w:numFmt w:val="decimal"/>
      <w:suff w:val="nothing"/>
      <w:lvlText w:val="%1"/>
      <w:lvlJc w:val="center"/>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251E8"/>
    <w:rsid w:val="020967F0"/>
    <w:rsid w:val="04137DFA"/>
    <w:rsid w:val="055F4153"/>
    <w:rsid w:val="0869448C"/>
    <w:rsid w:val="09336848"/>
    <w:rsid w:val="094073D3"/>
    <w:rsid w:val="0AC51722"/>
    <w:rsid w:val="0B441E89"/>
    <w:rsid w:val="0C3B1306"/>
    <w:rsid w:val="0DA95866"/>
    <w:rsid w:val="0E5139F9"/>
    <w:rsid w:val="11A95568"/>
    <w:rsid w:val="11C6566B"/>
    <w:rsid w:val="14A127E5"/>
    <w:rsid w:val="15EB4D79"/>
    <w:rsid w:val="15FD6214"/>
    <w:rsid w:val="165B4723"/>
    <w:rsid w:val="16995231"/>
    <w:rsid w:val="18441ED8"/>
    <w:rsid w:val="19766A09"/>
    <w:rsid w:val="1A372757"/>
    <w:rsid w:val="1A457CBD"/>
    <w:rsid w:val="1AF06347"/>
    <w:rsid w:val="1B3E075A"/>
    <w:rsid w:val="1D3C5874"/>
    <w:rsid w:val="1E0A3BC4"/>
    <w:rsid w:val="1E1723C2"/>
    <w:rsid w:val="1F102F0E"/>
    <w:rsid w:val="1F137DBD"/>
    <w:rsid w:val="1F246979"/>
    <w:rsid w:val="212257B1"/>
    <w:rsid w:val="21515666"/>
    <w:rsid w:val="235558E1"/>
    <w:rsid w:val="23C14D25"/>
    <w:rsid w:val="24672A8C"/>
    <w:rsid w:val="252F351C"/>
    <w:rsid w:val="25F9236A"/>
    <w:rsid w:val="26C04F5C"/>
    <w:rsid w:val="27E965F8"/>
    <w:rsid w:val="298E38FB"/>
    <w:rsid w:val="29FA689B"/>
    <w:rsid w:val="2A846AAC"/>
    <w:rsid w:val="2B173E19"/>
    <w:rsid w:val="2B191B0E"/>
    <w:rsid w:val="2B794137"/>
    <w:rsid w:val="2C772424"/>
    <w:rsid w:val="2C8B2374"/>
    <w:rsid w:val="2CB847EB"/>
    <w:rsid w:val="2F154177"/>
    <w:rsid w:val="2F5C43CB"/>
    <w:rsid w:val="2FEF49C8"/>
    <w:rsid w:val="30A47B90"/>
    <w:rsid w:val="31181CFC"/>
    <w:rsid w:val="34C93A39"/>
    <w:rsid w:val="35070365"/>
    <w:rsid w:val="35C67F79"/>
    <w:rsid w:val="35DC59EE"/>
    <w:rsid w:val="37C9355B"/>
    <w:rsid w:val="38E64607"/>
    <w:rsid w:val="39DD69D1"/>
    <w:rsid w:val="3A340901"/>
    <w:rsid w:val="3AF630AE"/>
    <w:rsid w:val="3C4D6CFE"/>
    <w:rsid w:val="3CBE7BFC"/>
    <w:rsid w:val="40447670"/>
    <w:rsid w:val="41175B2C"/>
    <w:rsid w:val="419D6263"/>
    <w:rsid w:val="43E4263E"/>
    <w:rsid w:val="43F65ECD"/>
    <w:rsid w:val="43F959BD"/>
    <w:rsid w:val="453C0257"/>
    <w:rsid w:val="45AF0A1E"/>
    <w:rsid w:val="4953791E"/>
    <w:rsid w:val="4AE051E1"/>
    <w:rsid w:val="4BBE3774"/>
    <w:rsid w:val="4C61568D"/>
    <w:rsid w:val="4C6F4EFE"/>
    <w:rsid w:val="4D4E28D6"/>
    <w:rsid w:val="4F1B2C8C"/>
    <w:rsid w:val="4F9728E2"/>
    <w:rsid w:val="509727E6"/>
    <w:rsid w:val="50A0169A"/>
    <w:rsid w:val="50A45A36"/>
    <w:rsid w:val="52AF02BB"/>
    <w:rsid w:val="541128AF"/>
    <w:rsid w:val="546E121C"/>
    <w:rsid w:val="54F14BBA"/>
    <w:rsid w:val="55087A94"/>
    <w:rsid w:val="552F02DB"/>
    <w:rsid w:val="554B58B7"/>
    <w:rsid w:val="574A6804"/>
    <w:rsid w:val="58DE76D7"/>
    <w:rsid w:val="59B36D5C"/>
    <w:rsid w:val="5B6559BA"/>
    <w:rsid w:val="5BE2700B"/>
    <w:rsid w:val="5EAA22BC"/>
    <w:rsid w:val="60993AAB"/>
    <w:rsid w:val="61A22D98"/>
    <w:rsid w:val="62A212A2"/>
    <w:rsid w:val="6400213E"/>
    <w:rsid w:val="641B37E3"/>
    <w:rsid w:val="64837995"/>
    <w:rsid w:val="6502427A"/>
    <w:rsid w:val="65331F13"/>
    <w:rsid w:val="66C206FB"/>
    <w:rsid w:val="672E75A8"/>
    <w:rsid w:val="67C65A33"/>
    <w:rsid w:val="69E71C90"/>
    <w:rsid w:val="6A822585"/>
    <w:rsid w:val="6B7A4BFE"/>
    <w:rsid w:val="6C296590"/>
    <w:rsid w:val="6DC418DC"/>
    <w:rsid w:val="70C8271B"/>
    <w:rsid w:val="710E725E"/>
    <w:rsid w:val="720D24B0"/>
    <w:rsid w:val="7329339F"/>
    <w:rsid w:val="74244BBD"/>
    <w:rsid w:val="746023F8"/>
    <w:rsid w:val="747F11E4"/>
    <w:rsid w:val="77163BB5"/>
    <w:rsid w:val="78A5102B"/>
    <w:rsid w:val="79970794"/>
    <w:rsid w:val="79B439A0"/>
    <w:rsid w:val="7BF070CA"/>
    <w:rsid w:val="7C322773"/>
    <w:rsid w:val="7C464F3C"/>
    <w:rsid w:val="7C52568F"/>
    <w:rsid w:val="7C831CEC"/>
    <w:rsid w:val="7CF46746"/>
    <w:rsid w:val="7D571280"/>
    <w:rsid w:val="7DCD7244"/>
    <w:rsid w:val="7DE251E8"/>
    <w:rsid w:val="7E8E6727"/>
    <w:rsid w:val="7E953F59"/>
    <w:rsid w:val="7F71407E"/>
    <w:rsid w:val="7FCD0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4" w:lineRule="exact"/>
      <w:ind w:firstLine="420" w:firstLineChars="200"/>
      <w:jc w:val="both"/>
    </w:pPr>
    <w:rPr>
      <w:rFonts w:ascii="Times New Roman" w:hAnsi="Times New Roman" w:eastAsia="仿宋_GB2312" w:cstheme="minorBidi"/>
      <w:kern w:val="2"/>
      <w:sz w:val="32"/>
      <w:szCs w:val="24"/>
      <w:lang w:val="en-US" w:eastAsia="zh-CN" w:bidi="ar-SA"/>
    </w:rPr>
  </w:style>
  <w:style w:type="paragraph" w:styleId="5">
    <w:name w:val="heading 1"/>
    <w:basedOn w:val="1"/>
    <w:next w:val="1"/>
    <w:qFormat/>
    <w:uiPriority w:val="0"/>
    <w:pPr>
      <w:widowControl/>
      <w:kinsoku w:val="0"/>
      <w:autoSpaceDE w:val="0"/>
      <w:autoSpaceDN w:val="0"/>
      <w:adjustRightInd w:val="0"/>
      <w:snapToGrid w:val="0"/>
      <w:spacing w:before="164" w:line="666" w:lineRule="exact"/>
      <w:ind w:firstLine="0" w:firstLineChars="0"/>
      <w:jc w:val="center"/>
      <w:textAlignment w:val="baseline"/>
      <w:outlineLvl w:val="0"/>
    </w:pPr>
    <w:rPr>
      <w:rFonts w:ascii="方正小标宋_GBK" w:hAnsi="方正小标宋_GBK" w:eastAsia="方正小标宋_GBK" w:cs="方正小标宋_GBK"/>
      <w:snapToGrid w:val="0"/>
      <w:color w:val="000000"/>
      <w:spacing w:val="7"/>
      <w:kern w:val="0"/>
      <w:position w:val="5"/>
      <w:sz w:val="43"/>
      <w:szCs w:val="43"/>
      <w:lang w:eastAsia="en-US"/>
    </w:rPr>
  </w:style>
  <w:style w:type="paragraph" w:styleId="6">
    <w:name w:val="heading 2"/>
    <w:basedOn w:val="1"/>
    <w:next w:val="1"/>
    <w:unhideWhenUsed/>
    <w:qFormat/>
    <w:uiPriority w:val="0"/>
    <w:pPr>
      <w:widowControl/>
      <w:ind w:firstLine="0" w:firstLineChars="0"/>
      <w:jc w:val="left"/>
      <w:textAlignment w:val="center"/>
      <w:outlineLvl w:val="1"/>
    </w:pPr>
    <w:rPr>
      <w:rFonts w:ascii="方正黑体_GBK" w:hAnsi="方正黑体_GBK" w:eastAsia="方正黑体_GBK" w:cs="方正黑体_GBK"/>
      <w:color w:val="000000"/>
      <w:kern w:val="0"/>
      <w:sz w:val="24"/>
      <w:u w:val="none"/>
      <w:lang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beforeLines="0" w:afterLines="0"/>
      <w:ind w:firstLine="420" w:firstLineChars="200"/>
    </w:pPr>
    <w:rPr>
      <w:rFonts w:hint="default"/>
      <w:sz w:val="36"/>
      <w:szCs w:val="24"/>
    </w:rPr>
  </w:style>
  <w:style w:type="paragraph" w:styleId="3">
    <w:name w:val="Body Text Indent"/>
    <w:basedOn w:val="1"/>
    <w:next w:val="4"/>
    <w:unhideWhenUsed/>
    <w:qFormat/>
    <w:uiPriority w:val="99"/>
    <w:pPr>
      <w:spacing w:beforeLines="0" w:after="120" w:afterLines="0"/>
      <w:ind w:left="420" w:leftChars="200"/>
    </w:pPr>
    <w:rPr>
      <w:rFonts w:hint="default"/>
      <w:sz w:val="36"/>
      <w:szCs w:val="24"/>
    </w:rPr>
  </w:style>
  <w:style w:type="paragraph" w:styleId="4">
    <w:name w:val="Normal Indent"/>
    <w:basedOn w:val="1"/>
    <w:unhideWhenUsed/>
    <w:qFormat/>
    <w:uiPriority w:val="0"/>
    <w:pPr>
      <w:spacing w:beforeLines="0" w:afterLines="0"/>
      <w:ind w:firstLine="200" w:firstLineChars="200"/>
    </w:pPr>
    <w:rPr>
      <w:rFonts w:hint="default" w:eastAsia="仿宋"/>
      <w:sz w:val="32"/>
      <w:szCs w:val="24"/>
    </w:rPr>
  </w:style>
  <w:style w:type="paragraph" w:styleId="7">
    <w:name w:val="annotation text"/>
    <w:basedOn w:val="1"/>
    <w:qFormat/>
    <w:uiPriority w:val="0"/>
    <w:pPr>
      <w:jc w:val="left"/>
    </w:pPr>
  </w:style>
  <w:style w:type="paragraph" w:styleId="8">
    <w:name w:val="Body Text"/>
    <w:basedOn w:val="1"/>
    <w:semiHidden/>
    <w:qFormat/>
    <w:uiPriority w:val="0"/>
    <w:rPr>
      <w:rFonts w:ascii="Arial" w:hAnsi="Arial" w:eastAsia="Arial" w:cs="Arial"/>
      <w:sz w:val="21"/>
      <w:szCs w:val="21"/>
      <w:lang w:val="en-US" w:eastAsia="en-US"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14">
    <w:name w:val="Body Text First Indent"/>
    <w:qFormat/>
    <w:uiPriority w:val="0"/>
    <w:pPr>
      <w:widowControl w:val="0"/>
      <w:spacing w:after="0"/>
      <w:ind w:firstLine="420" w:firstLineChars="100"/>
      <w:jc w:val="both"/>
    </w:pPr>
    <w:rPr>
      <w:rFonts w:ascii="Times New Roman" w:hAnsi="Times New Roman" w:eastAsia="宋体" w:cs="Times New Roman"/>
      <w:kern w:val="2"/>
      <w:sz w:val="32"/>
      <w:szCs w:val="24"/>
      <w:lang w:val="en-US" w:eastAsia="zh-CN" w:bidi="ar-SA"/>
    </w:rPr>
  </w:style>
  <w:style w:type="character" w:styleId="17">
    <w:name w:val="page number"/>
    <w:basedOn w:val="16"/>
    <w:qFormat/>
    <w:uiPriority w:val="0"/>
  </w:style>
  <w:style w:type="character" w:customStyle="1" w:styleId="18">
    <w:name w:val="font61"/>
    <w:basedOn w:val="16"/>
    <w:qFormat/>
    <w:uiPriority w:val="0"/>
    <w:rPr>
      <w:rFonts w:hint="eastAsia" w:ascii="方正仿宋_GBK" w:hAnsi="方正仿宋_GBK" w:eastAsia="方正仿宋_GBK" w:cs="方正仿宋_GBK"/>
      <w:color w:val="000000"/>
      <w:sz w:val="28"/>
      <w:szCs w:val="28"/>
      <w:u w:val="none"/>
    </w:rPr>
  </w:style>
  <w:style w:type="character" w:customStyle="1" w:styleId="19">
    <w:name w:val="font131"/>
    <w:basedOn w:val="16"/>
    <w:qFormat/>
    <w:uiPriority w:val="0"/>
    <w:rPr>
      <w:rFonts w:hint="default" w:ascii="Times New Roman" w:hAnsi="Times New Roman" w:cs="Times New Roman"/>
      <w:color w:val="000000"/>
      <w:sz w:val="28"/>
      <w:szCs w:val="28"/>
      <w:u w:val="none"/>
    </w:rPr>
  </w:style>
  <w:style w:type="character" w:customStyle="1" w:styleId="20">
    <w:name w:val="font141"/>
    <w:basedOn w:val="16"/>
    <w:qFormat/>
    <w:uiPriority w:val="0"/>
    <w:rPr>
      <w:rFonts w:ascii="Arial" w:hAnsi="Arial" w:cs="Arial"/>
      <w:color w:val="000000"/>
      <w:sz w:val="28"/>
      <w:szCs w:val="28"/>
      <w:u w:val="none"/>
    </w:rPr>
  </w:style>
  <w:style w:type="character" w:customStyle="1" w:styleId="21">
    <w:name w:val="font151"/>
    <w:basedOn w:val="16"/>
    <w:qFormat/>
    <w:uiPriority w:val="0"/>
    <w:rPr>
      <w:rFonts w:hint="default" w:ascii="Arial" w:hAnsi="Arial" w:cs="Arial"/>
      <w:color w:val="000000"/>
      <w:sz w:val="28"/>
      <w:szCs w:val="28"/>
      <w:u w:val="none"/>
    </w:rPr>
  </w:style>
  <w:style w:type="character" w:customStyle="1" w:styleId="22">
    <w:name w:val="font71"/>
    <w:basedOn w:val="16"/>
    <w:qFormat/>
    <w:uiPriority w:val="0"/>
    <w:rPr>
      <w:rFonts w:hint="eastAsia" w:ascii="方正仿宋_GBK" w:hAnsi="方正仿宋_GBK" w:eastAsia="方正仿宋_GBK" w:cs="方正仿宋_GBK"/>
      <w:color w:val="000000"/>
      <w:sz w:val="28"/>
      <w:szCs w:val="28"/>
      <w:u w:val="none"/>
    </w:rPr>
  </w:style>
  <w:style w:type="paragraph" w:customStyle="1" w:styleId="23">
    <w:name w:val="div"/>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3738</Words>
  <Characters>3792</Characters>
  <Lines>0</Lines>
  <Paragraphs>0</Paragraphs>
  <TotalTime>8</TotalTime>
  <ScaleCrop>false</ScaleCrop>
  <LinksUpToDate>false</LinksUpToDate>
  <CharactersWithSpaces>3969</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2025-10-14T08:34:00Z</dcterms:created>
  <dc:creator>kp-lzq</dc:creator>
  <cp:lastModifiedBy>杜世雄</cp:lastModifiedBy>
  <dcterms:modified xsi:type="dcterms:W3CDTF">2026-03-13T07:02:17Z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E43A7B0B1B814AFEAD101ACEEDDFE4DF_13</vt:lpwstr>
  </property>
  <property fmtid="{D5CDD505-2E9C-101B-9397-08002B2CF9AE}" pid="4" name="KSOTemplateDocerSaveRecord">
    <vt:lpwstr>eyJoZGlkIjoiZjM1MGM4YzliYTc4ODllZmI1ODI4MzY4YjczZjNkMWIiLCJ1c2VySWQiOiIyNzgzOTg3MDkifQ==</vt:lpwstr>
  </property>
</Properties>
</file>